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6256" w14:textId="77777777" w:rsidR="00523CDB" w:rsidRPr="002B2BF7" w:rsidRDefault="00523CDB" w:rsidP="00523CDB">
      <w:pPr>
        <w:pStyle w:val="ResNo"/>
        <w:rPr>
          <w:lang w:val="ru-RU"/>
        </w:rPr>
      </w:pPr>
      <w:bookmarkStart w:id="0" w:name="_Toc116554208"/>
      <w:r w:rsidRPr="002B2BF7">
        <w:rPr>
          <w:lang w:val="ru-RU"/>
        </w:rPr>
        <w:t xml:space="preserve">РЕЗОЛЮЦИЯ </w:t>
      </w:r>
      <w:r w:rsidRPr="002B2BF7">
        <w:rPr>
          <w:rStyle w:val="href"/>
          <w:lang w:val="ru-RU"/>
        </w:rPr>
        <w:t>58</w:t>
      </w:r>
      <w:r w:rsidRPr="002B2BF7">
        <w:rPr>
          <w:lang w:val="ru-RU"/>
        </w:rPr>
        <w:t xml:space="preserve"> (Пересм. Кигали, 2022 г.)</w:t>
      </w:r>
      <w:bookmarkEnd w:id="0"/>
    </w:p>
    <w:p w14:paraId="2FDB7488" w14:textId="77777777" w:rsidR="00523CDB" w:rsidRPr="002B2BF7" w:rsidRDefault="00523CDB" w:rsidP="00523CDB">
      <w:pPr>
        <w:pStyle w:val="Restitle"/>
        <w:rPr>
          <w:lang w:val="ru-RU"/>
        </w:rPr>
      </w:pPr>
      <w:bookmarkStart w:id="1" w:name="_Toc116554209"/>
      <w:r w:rsidRPr="002B2BF7">
        <w:rPr>
          <w:lang w:val="ru-RU"/>
        </w:rPr>
        <w:t xml:space="preserve">Доступность средств электросвязи/информационно-коммуникационных технологий для лиц с ограниченными возможностями и </w:t>
      </w:r>
      <w:r>
        <w:rPr>
          <w:lang w:val="ru-RU"/>
        </w:rPr>
        <w:br/>
      </w:r>
      <w:r w:rsidRPr="002B2BF7">
        <w:rPr>
          <w:lang w:val="ru-RU"/>
        </w:rPr>
        <w:t>лиц с особыми потребностями</w:t>
      </w:r>
      <w:bookmarkEnd w:id="1"/>
    </w:p>
    <w:p w14:paraId="11123F7B" w14:textId="77777777" w:rsidR="00523CDB" w:rsidRPr="002B2BF7" w:rsidRDefault="00523CDB" w:rsidP="00523CDB">
      <w:pPr>
        <w:pStyle w:val="Normalaftertitle"/>
        <w:keepNext/>
        <w:keepLines/>
        <w:rPr>
          <w:lang w:val="ru-RU"/>
        </w:rPr>
      </w:pPr>
      <w:r w:rsidRPr="002B2BF7">
        <w:rPr>
          <w:lang w:val="ru-RU"/>
        </w:rPr>
        <w:t>Всемирная конференция по развитию электросвязи (Кигали, 2022 г.),</w:t>
      </w:r>
    </w:p>
    <w:p w14:paraId="0419FC66" w14:textId="77777777" w:rsidR="00523CDB" w:rsidRPr="002B2BF7" w:rsidRDefault="00523CDB" w:rsidP="00523CDB">
      <w:pPr>
        <w:pStyle w:val="Call"/>
        <w:rPr>
          <w:lang w:val="ru-RU"/>
        </w:rPr>
      </w:pPr>
      <w:r w:rsidRPr="002B2BF7">
        <w:rPr>
          <w:lang w:val="ru-RU"/>
        </w:rPr>
        <w:t>признавая</w:t>
      </w:r>
    </w:p>
    <w:p w14:paraId="73F476B2" w14:textId="77777777" w:rsidR="00523CDB" w:rsidRPr="002B2BF7" w:rsidRDefault="00523CDB" w:rsidP="00523CDB">
      <w:pPr>
        <w:rPr>
          <w:lang w:val="ru-RU"/>
        </w:rPr>
      </w:pPr>
      <w:r w:rsidRPr="002B2BF7">
        <w:rPr>
          <w:i/>
          <w:iCs/>
          <w:lang w:val="ru-RU" w:bidi="ar-EG"/>
        </w:rPr>
        <w:t>a)</w:t>
      </w:r>
      <w:r w:rsidRPr="002B2BF7">
        <w:rPr>
          <w:lang w:val="ru-RU"/>
        </w:rPr>
        <w:tab/>
        <w:t>резолюцию 70/1 Генеральной Ассамблеи Организации Объединенных Наций (ГА ООН) о Повестке дня в области устойчивого развития на период до 2030 года;</w:t>
      </w:r>
    </w:p>
    <w:p w14:paraId="047A79DD" w14:textId="77777777" w:rsidR="00523CDB" w:rsidRPr="002B2BF7" w:rsidRDefault="00523CDB" w:rsidP="00523CDB">
      <w:pPr>
        <w:rPr>
          <w:lang w:val="ru-RU"/>
        </w:rPr>
      </w:pPr>
      <w:r w:rsidRPr="002B2BF7">
        <w:rPr>
          <w:i/>
          <w:iCs/>
          <w:lang w:val="ru-RU"/>
        </w:rPr>
        <w:t>b)</w:t>
      </w:r>
      <w:r w:rsidRPr="002B2BF7">
        <w:rPr>
          <w:i/>
          <w:iCs/>
          <w:lang w:val="ru-RU"/>
        </w:rPr>
        <w:tab/>
      </w:r>
      <w:r w:rsidRPr="002B2BF7">
        <w:rPr>
          <w:lang w:val="ru-RU"/>
        </w:rPr>
        <w:t>Резолюцию 175 (Пересм. Дубай, 2018 г.) Полномочной конференции о доступности средств электросвязи/информационно-коммуникационных технологий (ИКТ) для лиц с ограниченными возможностями и лиц с особыми потребностями;</w:t>
      </w:r>
    </w:p>
    <w:p w14:paraId="69A1B5AD" w14:textId="77777777" w:rsidR="00523CDB" w:rsidRPr="002B2BF7" w:rsidRDefault="00523CDB" w:rsidP="00523CDB">
      <w:pPr>
        <w:rPr>
          <w:lang w:val="ru-RU"/>
        </w:rPr>
      </w:pPr>
      <w:r w:rsidRPr="002B2BF7">
        <w:rPr>
          <w:i/>
          <w:iCs/>
          <w:lang w:val="ru-RU"/>
        </w:rPr>
        <w:t>c)</w:t>
      </w:r>
      <w:r w:rsidRPr="002B2BF7">
        <w:rPr>
          <w:lang w:val="ru-RU"/>
        </w:rPr>
        <w:tab/>
        <w:t>Резолюцию 70 (Пересм. Женева, 2022 г.) Всемирной ассамблеи по стандартизации электросвязи о доступности средств электросвязи/ИКТ для лиц с ограниченными возможностями и лиц с особыми потребностями;</w:t>
      </w:r>
    </w:p>
    <w:p w14:paraId="7BC395FF" w14:textId="77777777" w:rsidR="00523CDB" w:rsidRPr="002B2BF7" w:rsidRDefault="00523CDB" w:rsidP="00523CDB">
      <w:pPr>
        <w:rPr>
          <w:lang w:val="ru-RU"/>
        </w:rPr>
      </w:pPr>
      <w:r w:rsidRPr="002B2BF7">
        <w:rPr>
          <w:i/>
          <w:iCs/>
          <w:lang w:val="en-US"/>
        </w:rPr>
        <w:t>d</w:t>
      </w:r>
      <w:r w:rsidRPr="002B2BF7">
        <w:rPr>
          <w:i/>
          <w:iCs/>
          <w:lang w:val="ru-RU"/>
        </w:rPr>
        <w:t>)</w:t>
      </w:r>
      <w:r w:rsidRPr="002B2BF7">
        <w:rPr>
          <w:lang w:val="ru-RU"/>
        </w:rPr>
        <w:tab/>
        <w:t>статью 12 Регламента международной электросвязи, принятую Всемирной конференцией по международной электросвязи (Дубай, 2012 г.), в которой говорится, что Государствам-Членам следует содействовать доступу для лиц с ограниченными возможностями к услугам международной электросвязи с учетом соответствующих Рекомендаций Сектора стандартизации электросвязи МСЭ (МСЭ-Т);</w:t>
      </w:r>
    </w:p>
    <w:p w14:paraId="195E43E9" w14:textId="77777777" w:rsidR="00523CDB" w:rsidRPr="002B2BF7" w:rsidRDefault="00523CDB" w:rsidP="00523CDB">
      <w:pPr>
        <w:rPr>
          <w:lang w:val="ru-RU"/>
        </w:rPr>
      </w:pPr>
      <w:r w:rsidRPr="002B2BF7">
        <w:rPr>
          <w:rFonts w:eastAsia="Droid Sans" w:cstheme="minorHAnsi"/>
          <w:i/>
          <w:iCs/>
          <w:kern w:val="1"/>
          <w:szCs w:val="24"/>
          <w:lang w:val="ru-RU" w:eastAsia="zh-CN"/>
        </w:rPr>
        <w:t>e)</w:t>
      </w:r>
      <w:r w:rsidRPr="002B2BF7">
        <w:rPr>
          <w:rFonts w:eastAsia="Droid Sans" w:cstheme="minorHAnsi"/>
          <w:kern w:val="1"/>
          <w:szCs w:val="24"/>
          <w:lang w:val="ru-RU" w:eastAsia="zh-CN"/>
        </w:rPr>
        <w:tab/>
      </w:r>
      <w:r w:rsidRPr="002B2BF7">
        <w:rPr>
          <w:lang w:val="ru-RU"/>
        </w:rPr>
        <w:t>флагманский доклад ООН по вопросам инвалидности и развитию 2018 года, в котором доступность электросвязи/ИКТ рассматривается как важнейший элемент обеспечения инклюзивности и достижения Целей устойчивого развития для лиц с ограниченными возможностями здоровья и лиц с особыми потребностями, а также резолюцию 73/142 ГА ООН, в которой государства-члены призываются способствовать обеспечению доступа к информации и средствам коммуникации, включая информационно-коммуникационные технологии и системы, в целях достижения инклюзивности общества и развития за счет обеспечения доступности;</w:t>
      </w:r>
    </w:p>
    <w:p w14:paraId="50600741" w14:textId="77777777" w:rsidR="00523CDB" w:rsidRPr="002B2BF7" w:rsidRDefault="00523CDB" w:rsidP="00523CDB">
      <w:pPr>
        <w:rPr>
          <w:i/>
          <w:iCs/>
          <w:lang w:val="ru-RU"/>
        </w:rPr>
      </w:pPr>
      <w:r w:rsidRPr="002B2BF7">
        <w:rPr>
          <w:i/>
          <w:iCs/>
          <w:lang w:val="ru-RU"/>
        </w:rPr>
        <w:t>f)</w:t>
      </w:r>
      <w:r w:rsidRPr="002B2BF7">
        <w:rPr>
          <w:lang w:val="ru-RU"/>
        </w:rPr>
        <w:tab/>
      </w:r>
      <w:r w:rsidRPr="002B2BF7">
        <w:rPr>
          <w:rFonts w:eastAsia="Droid Sans" w:cstheme="minorHAnsi"/>
          <w:kern w:val="1"/>
          <w:szCs w:val="24"/>
          <w:lang w:val="ru-RU" w:eastAsia="zh-CN"/>
        </w:rPr>
        <w:t>инициативу Сектора развития электросвязи МСЭ (МСЭ-D) по охвату цифровыми технологиями, в которой оказывается содействие обеспечению доступности и использованию электросвязи/информационно-коммуникационных технологий (ИКТ) для целей социально-экономического развития лиц с ограниченными возможностями и лиц с особыми потребностями</w:t>
      </w:r>
      <w:r w:rsidRPr="002B2BF7">
        <w:rPr>
          <w:lang w:val="ru-RU"/>
        </w:rPr>
        <w:t>;</w:t>
      </w:r>
      <w:r w:rsidRPr="002B2BF7">
        <w:rPr>
          <w:i/>
          <w:iCs/>
          <w:lang w:val="ru-RU"/>
        </w:rPr>
        <w:br w:type="page"/>
      </w:r>
    </w:p>
    <w:p w14:paraId="0F0318A4" w14:textId="77777777" w:rsidR="00523CDB" w:rsidRPr="002B2BF7" w:rsidRDefault="00523CDB" w:rsidP="00523CDB">
      <w:pPr>
        <w:rPr>
          <w:lang w:val="ru-RU"/>
        </w:rPr>
      </w:pPr>
      <w:r w:rsidRPr="002B2BF7">
        <w:rPr>
          <w:i/>
          <w:iCs/>
          <w:lang w:val="ru-RU"/>
        </w:rPr>
        <w:lastRenderedPageBreak/>
        <w:t>g)</w:t>
      </w:r>
      <w:r w:rsidRPr="002B2BF7">
        <w:rPr>
          <w:lang w:val="ru-RU"/>
        </w:rPr>
        <w:tab/>
        <w:t xml:space="preserve">создание Глобальной инициативы по расширению охвата информационно-коммуникационными технологиями (G3ict) </w:t>
      </w:r>
      <w:r w:rsidRPr="002B2BF7">
        <w:rPr>
          <w:rFonts w:eastAsia="Droid Sans" w:cstheme="minorHAnsi"/>
          <w:kern w:val="1"/>
          <w:szCs w:val="24"/>
          <w:lang w:val="ru-RU" w:eastAsia="zh-CN"/>
        </w:rPr>
        <w:t>– Члена Сектора МСЭ-D и флагманской партнерской инициативы Глобального альянса Организации Объединенных Наций за ИКТ и развитие (ГАИР ООН)</w:t>
      </w:r>
      <w:r w:rsidRPr="002B2BF7">
        <w:rPr>
          <w:lang w:val="ru-RU"/>
        </w:rPr>
        <w:t>, а также ее деятельность;</w:t>
      </w:r>
    </w:p>
    <w:p w14:paraId="04D4FEC2" w14:textId="77777777" w:rsidR="00523CDB" w:rsidRPr="002B2BF7" w:rsidRDefault="00523CDB" w:rsidP="00523CDB">
      <w:pPr>
        <w:rPr>
          <w:lang w:val="ru-RU"/>
        </w:rPr>
      </w:pPr>
      <w:r w:rsidRPr="002B2BF7">
        <w:rPr>
          <w:i/>
          <w:iCs/>
          <w:lang w:val="ru-RU"/>
        </w:rPr>
        <w:t>h)</w:t>
      </w:r>
      <w:r w:rsidRPr="002B2BF7">
        <w:rPr>
          <w:lang w:val="ru-RU"/>
        </w:rPr>
        <w:tab/>
      </w:r>
      <w:r w:rsidRPr="002B2BF7">
        <w:rPr>
          <w:rFonts w:eastAsia="Droid Sans" w:cstheme="minorHAnsi"/>
          <w:kern w:val="1"/>
          <w:szCs w:val="24"/>
          <w:lang w:val="ru-RU" w:eastAsia="zh-CN"/>
        </w:rPr>
        <w:t xml:space="preserve">отчет о типовой политике в области доступности ИКТ для лиц, ответственных за разработку политики, регуляторных органов и поставщиков услуг, разработанный Бюро развития электросвязи (БРЭ) в партнерстве с G3ict, доступный онлайн, целью которого является: i) содействие развитию передового опыта и разработке стратегий выполнения Конвенции </w:t>
      </w:r>
      <w:r w:rsidRPr="002B2BF7">
        <w:rPr>
          <w:lang w:val="ru-RU"/>
        </w:rPr>
        <w:t>Организации Объединенных Наций</w:t>
      </w:r>
      <w:r w:rsidRPr="002B2BF7">
        <w:rPr>
          <w:rFonts w:eastAsia="Droid Sans" w:cstheme="minorHAnsi"/>
          <w:kern w:val="1"/>
          <w:szCs w:val="24"/>
          <w:lang w:val="ru-RU" w:eastAsia="zh-CN"/>
        </w:rPr>
        <w:t xml:space="preserve"> о правах инвалидов; и ii) установление шагов по созданию основ эффективной политики</w:t>
      </w:r>
      <w:r w:rsidRPr="002B2BF7">
        <w:rPr>
          <w:lang w:val="ru-RU"/>
        </w:rPr>
        <w:t>;</w:t>
      </w:r>
    </w:p>
    <w:p w14:paraId="7A3E0E46" w14:textId="77777777" w:rsidR="00523CDB" w:rsidRPr="002B2BF7" w:rsidRDefault="00523CDB" w:rsidP="00523CDB">
      <w:pPr>
        <w:rPr>
          <w:lang w:val="ru-RU"/>
        </w:rPr>
      </w:pPr>
      <w:r w:rsidRPr="002B2BF7">
        <w:rPr>
          <w:i/>
          <w:iCs/>
          <w:lang w:val="fr-CH" w:bidi="ar-EG"/>
        </w:rPr>
        <w:t>i</w:t>
      </w:r>
      <w:r w:rsidRPr="002B2BF7">
        <w:rPr>
          <w:i/>
          <w:iCs/>
          <w:lang w:val="ru-RU"/>
        </w:rPr>
        <w:t>)</w:t>
      </w:r>
      <w:r w:rsidRPr="002B2BF7">
        <w:rPr>
          <w:lang w:val="ru-RU"/>
        </w:rPr>
        <w:tab/>
        <w:t xml:space="preserve">соответствующие вопросы, рассматриваемые в работе МСЭ-Т </w:t>
      </w:r>
      <w:r w:rsidRPr="002B2BF7">
        <w:rPr>
          <w:rFonts w:eastAsia="Droid Sans" w:cstheme="minorHAnsi"/>
          <w:kern w:val="1"/>
          <w:szCs w:val="24"/>
          <w:lang w:val="ru-RU" w:eastAsia="zh-CN"/>
        </w:rPr>
        <w:t>и Сектора радиосвязи МСЭ (МСЭ-R), применительно к доступности электросвязи/ИКТ</w:t>
      </w:r>
      <w:r w:rsidRPr="002B2BF7">
        <w:rPr>
          <w:lang w:val="ru-RU"/>
        </w:rPr>
        <w:t>;</w:t>
      </w:r>
    </w:p>
    <w:p w14:paraId="39B67D4E" w14:textId="77777777" w:rsidR="00523CDB" w:rsidRPr="002B2BF7" w:rsidRDefault="00523CDB" w:rsidP="00523CDB">
      <w:pPr>
        <w:rPr>
          <w:lang w:val="ru-RU"/>
        </w:rPr>
      </w:pPr>
      <w:r w:rsidRPr="002B2BF7">
        <w:rPr>
          <w:i/>
          <w:iCs/>
          <w:lang w:val="fr-CH"/>
        </w:rPr>
        <w:t>j</w:t>
      </w:r>
      <w:r w:rsidRPr="002B2BF7">
        <w:rPr>
          <w:i/>
          <w:iCs/>
          <w:lang w:val="ru-RU"/>
        </w:rPr>
        <w:t>)</w:t>
      </w:r>
      <w:r w:rsidRPr="002B2BF7">
        <w:rPr>
          <w:lang w:val="ru-RU"/>
        </w:rPr>
        <w:tab/>
      </w:r>
      <w:r w:rsidRPr="002B2BF7">
        <w:rPr>
          <w:rFonts w:eastAsia="Droid Sans" w:cstheme="minorHAnsi"/>
          <w:kern w:val="1"/>
          <w:szCs w:val="24"/>
          <w:lang w:val="ru-RU" w:eastAsia="zh-CN"/>
        </w:rPr>
        <w:t xml:space="preserve">формирование Форумом по вопросам управления использованием интернета </w:t>
      </w:r>
      <w:r w:rsidRPr="002B2BF7">
        <w:rPr>
          <w:lang w:val="ru-RU"/>
        </w:rPr>
        <w:t>(ФУИ)</w:t>
      </w:r>
      <w:r w:rsidRPr="002B2BF7">
        <w:rPr>
          <w:rFonts w:eastAsia="Droid Sans" w:cstheme="minorHAnsi"/>
          <w:kern w:val="1"/>
          <w:szCs w:val="24"/>
          <w:lang w:val="ru-RU" w:eastAsia="zh-CN"/>
        </w:rPr>
        <w:t xml:space="preserve"> </w:t>
      </w:r>
      <w:r w:rsidRPr="002B2BF7">
        <w:rPr>
          <w:lang w:val="ru-RU"/>
        </w:rPr>
        <w:t xml:space="preserve">Динамичной </w:t>
      </w:r>
      <w:r w:rsidRPr="002B2BF7">
        <w:rPr>
          <w:rFonts w:eastAsia="Droid Sans" w:cstheme="minorHAnsi"/>
          <w:kern w:val="1"/>
          <w:szCs w:val="24"/>
          <w:lang w:val="ru-RU" w:eastAsia="zh-CN"/>
        </w:rPr>
        <w:t>коалиции по вопросам доступности и ограниченных возможностей (DCAD), поддерживаемой Директором Бюро стандартизации электросвязи (БСЭ) и при партнерстве МСЭ-T, в работе которой также принимает участие МСЭ-D, для содействия равному доступу к Информационному обществу путем включения аспекта доступности в вопросы управления интернетом</w:t>
      </w:r>
      <w:r w:rsidRPr="002B2BF7">
        <w:rPr>
          <w:lang w:val="ru-RU"/>
        </w:rPr>
        <w:t>;</w:t>
      </w:r>
    </w:p>
    <w:p w14:paraId="28F1E624" w14:textId="77777777" w:rsidR="00523CDB" w:rsidRPr="002B2BF7" w:rsidRDefault="00523CDB" w:rsidP="00523CDB">
      <w:pPr>
        <w:rPr>
          <w:lang w:val="ru-RU"/>
        </w:rPr>
      </w:pPr>
      <w:r w:rsidRPr="002B2BF7">
        <w:rPr>
          <w:i/>
          <w:iCs/>
          <w:lang w:val="fr-CH"/>
        </w:rPr>
        <w:t>k</w:t>
      </w:r>
      <w:r w:rsidRPr="002B2BF7">
        <w:rPr>
          <w:i/>
          <w:iCs/>
          <w:lang w:val="ru-RU"/>
        </w:rPr>
        <w:t>)</w:t>
      </w:r>
      <w:r w:rsidRPr="002B2BF7">
        <w:rPr>
          <w:lang w:val="ru-RU"/>
        </w:rPr>
        <w:tab/>
        <w:t>соответствующие резолюции собраний Глобального сотрудничества по стандартам (ГСС);</w:t>
      </w:r>
    </w:p>
    <w:p w14:paraId="6316AD85" w14:textId="77777777" w:rsidR="00523CDB" w:rsidRPr="002B2BF7" w:rsidRDefault="00523CDB" w:rsidP="00523CDB">
      <w:pPr>
        <w:rPr>
          <w:lang w:val="ru-RU"/>
        </w:rPr>
      </w:pPr>
      <w:r w:rsidRPr="002B2BF7">
        <w:rPr>
          <w:i/>
          <w:iCs/>
          <w:lang w:val="en-US"/>
        </w:rPr>
        <w:t>l</w:t>
      </w:r>
      <w:r w:rsidRPr="002B2BF7">
        <w:rPr>
          <w:i/>
          <w:iCs/>
          <w:lang w:val="ru-RU"/>
        </w:rPr>
        <w:t>)</w:t>
      </w:r>
      <w:r w:rsidRPr="002B2BF7">
        <w:rPr>
          <w:lang w:val="ru-RU"/>
        </w:rPr>
        <w:tab/>
        <w:t>деятельность, касающуюся разработки новых стандартов (например, ISO TC 159, JTC1 SC35, IEC TC100, ETSI TC HF и W3C WAI</w:t>
      </w:r>
      <w:r w:rsidRPr="002B2BF7">
        <w:rPr>
          <w:rFonts w:eastAsia="Droid Sans" w:cstheme="minorHAnsi"/>
          <w:kern w:val="1"/>
          <w:szCs w:val="24"/>
          <w:lang w:val="ru-RU" w:eastAsia="zh-CN"/>
        </w:rPr>
        <w:t xml:space="preserve">), а также внедрения </w:t>
      </w:r>
      <w:r w:rsidRPr="002B2BF7">
        <w:rPr>
          <w:lang w:val="ru-RU"/>
        </w:rPr>
        <w:t>и поддержания существующих стандартов (например, ISO 9241-171),</w:t>
      </w:r>
    </w:p>
    <w:p w14:paraId="780BBB3A" w14:textId="77777777" w:rsidR="00523CDB" w:rsidRPr="002B2BF7" w:rsidRDefault="00523CDB" w:rsidP="00523CDB">
      <w:pPr>
        <w:pStyle w:val="Call"/>
        <w:rPr>
          <w:lang w:val="ru-RU"/>
        </w:rPr>
      </w:pPr>
      <w:r w:rsidRPr="002B2BF7">
        <w:rPr>
          <w:lang w:val="ru-RU"/>
        </w:rPr>
        <w:t>учитывая</w:t>
      </w:r>
      <w:r w:rsidRPr="002B2BF7">
        <w:rPr>
          <w:i w:val="0"/>
          <w:iCs/>
          <w:lang w:val="ru-RU"/>
        </w:rPr>
        <w:t>,</w:t>
      </w:r>
    </w:p>
    <w:p w14:paraId="751AA032" w14:textId="77777777" w:rsidR="00523CDB" w:rsidRPr="002B2BF7" w:rsidRDefault="00523CDB" w:rsidP="00523CDB">
      <w:pPr>
        <w:rPr>
          <w:lang w:val="ru-RU"/>
        </w:rPr>
      </w:pPr>
      <w:r w:rsidRPr="002B2BF7">
        <w:rPr>
          <w:i/>
          <w:iCs/>
          <w:lang w:val="ru-RU"/>
        </w:rPr>
        <w:t>a)</w:t>
      </w:r>
      <w:r w:rsidRPr="002B2BF7">
        <w:rPr>
          <w:lang w:val="ru-RU"/>
        </w:rPr>
        <w:tab/>
        <w:t xml:space="preserve">что, по оценкам Всемирной организации здравоохранения, более одного миллиарда жителей Земли живут с той или иной формой ограничения возможностей и что существуют различные типы ограниченных возможностей (например, ограниченные физические, когнитивные </w:t>
      </w:r>
      <w:r w:rsidRPr="002B2BF7">
        <w:rPr>
          <w:rFonts w:eastAsia="Droid Sans" w:cstheme="minorHAnsi"/>
          <w:kern w:val="1"/>
          <w:szCs w:val="24"/>
          <w:lang w:val="ru-RU" w:eastAsia="zh-CN"/>
        </w:rPr>
        <w:t>и сенсорные возможности), каждый из которых необходимо особо учитывать при разработке государственной политики в области электросвязи/ИКТ</w:t>
      </w:r>
      <w:r w:rsidRPr="002B2BF7">
        <w:rPr>
          <w:lang w:val="ru-RU"/>
        </w:rPr>
        <w:t>;</w:t>
      </w:r>
    </w:p>
    <w:p w14:paraId="19808F62" w14:textId="77777777" w:rsidR="00523CDB" w:rsidRPr="002B2BF7" w:rsidRDefault="00523CDB" w:rsidP="00523CDB">
      <w:pPr>
        <w:rPr>
          <w:lang w:val="ru-RU"/>
        </w:rPr>
      </w:pPr>
      <w:r w:rsidRPr="002B2BF7">
        <w:rPr>
          <w:i/>
          <w:iCs/>
          <w:lang w:val="ru-RU"/>
        </w:rPr>
        <w:t>b)</w:t>
      </w:r>
      <w:r w:rsidRPr="002B2BF7">
        <w:rPr>
          <w:lang w:val="ru-RU"/>
        </w:rPr>
        <w:tab/>
        <w:t>что Конвенция ООН о правах инвалидов, которая вступила в силу 3 мая 2008 года, требует от государств-участников принятия надлежащих мер</w:t>
      </w:r>
      <w:r w:rsidRPr="002B2BF7">
        <w:rPr>
          <w:rFonts w:eastAsia="Droid Sans" w:cstheme="minorHAnsi"/>
          <w:kern w:val="1"/>
          <w:szCs w:val="24"/>
          <w:lang w:val="ru-RU" w:eastAsia="zh-CN"/>
        </w:rPr>
        <w:t>, в том числе</w:t>
      </w:r>
      <w:r w:rsidRPr="002B2BF7">
        <w:rPr>
          <w:lang w:val="ru-RU"/>
        </w:rPr>
        <w:t>:</w:t>
      </w:r>
      <w:r w:rsidRPr="002B2BF7">
        <w:rPr>
          <w:lang w:val="ru-RU"/>
        </w:rPr>
        <w:br w:type="page"/>
      </w:r>
    </w:p>
    <w:p w14:paraId="740967C2" w14:textId="77777777" w:rsidR="00523CDB" w:rsidRPr="002B2BF7" w:rsidRDefault="00523CDB" w:rsidP="00523CDB">
      <w:pPr>
        <w:pStyle w:val="enumlev1"/>
        <w:rPr>
          <w:lang w:val="ru-RU"/>
        </w:rPr>
      </w:pPr>
      <w:r w:rsidRPr="002B2BF7">
        <w:rPr>
          <w:lang w:val="ru-RU"/>
        </w:rPr>
        <w:lastRenderedPageBreak/>
        <w:t>1)</w:t>
      </w:r>
      <w:r w:rsidRPr="002B2BF7">
        <w:rPr>
          <w:lang w:val="ru-RU"/>
        </w:rPr>
        <w:tab/>
        <w:t>проводить или поощрять исследовательскую и конструкторскую разработку, а также способствовать наличию и использованию новых технологий, включая ИКТ,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 (Статья 4, пункт 1 </w:t>
      </w:r>
      <w:r w:rsidRPr="002B2BF7">
        <w:rPr>
          <w:i/>
          <w:iCs/>
          <w:lang w:val="ru-RU"/>
        </w:rPr>
        <w:t>g)</w:t>
      </w:r>
      <w:r w:rsidRPr="002B2BF7">
        <w:rPr>
          <w:lang w:val="ru-RU"/>
        </w:rPr>
        <w:t>);</w:t>
      </w:r>
    </w:p>
    <w:p w14:paraId="27DE706B" w14:textId="77777777" w:rsidR="00523CDB" w:rsidRPr="002B2BF7" w:rsidRDefault="00523CDB" w:rsidP="00523CDB">
      <w:pPr>
        <w:pStyle w:val="enumlev1"/>
        <w:rPr>
          <w:lang w:val="ru-RU"/>
        </w:rPr>
      </w:pPr>
      <w:r w:rsidRPr="002B2BF7">
        <w:rPr>
          <w:lang w:val="ru-RU"/>
        </w:rPr>
        <w:t>2)</w:t>
      </w:r>
      <w:r w:rsidRPr="002B2BF7">
        <w:rPr>
          <w:lang w:val="ru-RU"/>
        </w:rPr>
        <w:tab/>
        <w:t xml:space="preserve">обеспечивать доступ к ИКТ и экстренным службам лицам с ограниченными возможностями на равной основе (Статья 9, пункт 1 </w:t>
      </w:r>
      <w:r w:rsidRPr="002B2BF7">
        <w:rPr>
          <w:i/>
          <w:iCs/>
          <w:lang w:val="ru-RU"/>
        </w:rPr>
        <w:t>b)</w:t>
      </w:r>
      <w:r w:rsidRPr="002B2BF7">
        <w:rPr>
          <w:lang w:val="ru-RU"/>
        </w:rPr>
        <w:t>);</w:t>
      </w:r>
    </w:p>
    <w:p w14:paraId="1B8B84ED" w14:textId="77777777" w:rsidR="00523CDB" w:rsidRPr="002B2BF7" w:rsidRDefault="00523CDB" w:rsidP="00523CDB">
      <w:pPr>
        <w:pStyle w:val="enumlev1"/>
        <w:rPr>
          <w:lang w:val="ru-RU"/>
        </w:rPr>
      </w:pPr>
      <w:r w:rsidRPr="002B2BF7">
        <w:rPr>
          <w:lang w:val="ru-RU"/>
        </w:rPr>
        <w:t>3)</w:t>
      </w:r>
      <w:r w:rsidRPr="002B2BF7">
        <w:rPr>
          <w:lang w:val="ru-RU"/>
        </w:rPr>
        <w:tab/>
        <w:t xml:space="preserve">поощрять доступ лиц с ограниченными возможностями к новым услугам ИКТ, включая интернет (Статья 9, пункт 2 </w:t>
      </w:r>
      <w:r w:rsidRPr="002B2BF7">
        <w:rPr>
          <w:i/>
          <w:iCs/>
          <w:lang w:val="ru-RU"/>
        </w:rPr>
        <w:t>g)</w:t>
      </w:r>
      <w:r w:rsidRPr="002B2BF7">
        <w:rPr>
          <w:lang w:val="ru-RU"/>
        </w:rPr>
        <w:t>);</w:t>
      </w:r>
    </w:p>
    <w:p w14:paraId="52773996" w14:textId="77777777" w:rsidR="00523CDB" w:rsidRPr="002B2BF7" w:rsidRDefault="00523CDB" w:rsidP="00523CDB">
      <w:pPr>
        <w:pStyle w:val="enumlev1"/>
        <w:rPr>
          <w:lang w:val="ru-RU"/>
        </w:rPr>
      </w:pPr>
      <w:r w:rsidRPr="002B2BF7">
        <w:rPr>
          <w:lang w:val="ru-RU"/>
        </w:rPr>
        <w:t>4)</w:t>
      </w:r>
      <w:r w:rsidRPr="002B2BF7">
        <w:rPr>
          <w:lang w:val="ru-RU"/>
        </w:rPr>
        <w:tab/>
        <w:t xml:space="preserve">поощрять проектирование, производство и распространение доступных ИКТ на раннем этапе (Статья 9, пункт 2 </w:t>
      </w:r>
      <w:r w:rsidRPr="002B2BF7">
        <w:rPr>
          <w:i/>
          <w:iCs/>
          <w:lang w:val="ru-RU"/>
        </w:rPr>
        <w:t>h)</w:t>
      </w:r>
      <w:r w:rsidRPr="002B2BF7">
        <w:rPr>
          <w:lang w:val="ru-RU"/>
        </w:rPr>
        <w:t>);</w:t>
      </w:r>
    </w:p>
    <w:p w14:paraId="42E8FFE4" w14:textId="77777777" w:rsidR="00523CDB" w:rsidRPr="002B2BF7" w:rsidRDefault="00523CDB" w:rsidP="00523CDB">
      <w:pPr>
        <w:pStyle w:val="enumlev1"/>
        <w:rPr>
          <w:lang w:val="ru-RU"/>
        </w:rPr>
      </w:pPr>
      <w:r w:rsidRPr="002B2BF7">
        <w:rPr>
          <w:lang w:val="ru-RU"/>
        </w:rPr>
        <w:t>5)</w:t>
      </w:r>
      <w:r w:rsidRPr="002B2BF7">
        <w:rPr>
          <w:lang w:val="ru-RU"/>
        </w:rPr>
        <w:tab/>
        <w:t>обеспечивать, чтобы лица с ограниченными возможностями могли пользоваться правом на свободу выражения мнения и убеждений (Статья 21);</w:t>
      </w:r>
    </w:p>
    <w:p w14:paraId="7FADA3D8" w14:textId="77777777" w:rsidR="00523CDB" w:rsidRPr="002B2BF7" w:rsidRDefault="00523CDB" w:rsidP="00523CDB">
      <w:pPr>
        <w:pStyle w:val="enumlev1"/>
        <w:rPr>
          <w:lang w:val="ru-RU"/>
        </w:rPr>
      </w:pPr>
      <w:r w:rsidRPr="002B2BF7">
        <w:rPr>
          <w:lang w:val="ru-RU"/>
        </w:rPr>
        <w:t>6)</w:t>
      </w:r>
      <w:r w:rsidRPr="002B2BF7">
        <w:rPr>
          <w:lang w:val="ru-RU"/>
        </w:rPr>
        <w:tab/>
        <w:t xml:space="preserve">предоставлять информацию в доступных форматах и с использованием технологий, подходящих для разных форм инвалидности, своевременно и без дополнительной платы (Статья 21, пункт </w:t>
      </w:r>
      <w:r w:rsidRPr="002B2BF7">
        <w:rPr>
          <w:i/>
          <w:iCs/>
          <w:lang w:val="ru-RU"/>
        </w:rPr>
        <w:t>а)</w:t>
      </w:r>
      <w:r w:rsidRPr="002B2BF7">
        <w:rPr>
          <w:lang w:val="ru-RU"/>
        </w:rPr>
        <w:t>);</w:t>
      </w:r>
    </w:p>
    <w:p w14:paraId="43738364" w14:textId="77777777" w:rsidR="00523CDB" w:rsidRPr="002B2BF7" w:rsidRDefault="00523CDB" w:rsidP="00523CDB">
      <w:pPr>
        <w:pStyle w:val="enumlev1"/>
        <w:rPr>
          <w:lang w:val="ru-RU"/>
        </w:rPr>
      </w:pPr>
      <w:r w:rsidRPr="002B2BF7">
        <w:rPr>
          <w:lang w:val="ru-RU"/>
        </w:rPr>
        <w:t>7)</w:t>
      </w:r>
      <w:r w:rsidRPr="002B2BF7">
        <w:rPr>
          <w:lang w:val="ru-RU"/>
        </w:rPr>
        <w:tab/>
        <w:t xml:space="preserve">настоятельно призывать частные предприятия, предоставляющие услуги населению, предоставлять информацию и услуги в доступных и пригодных для лиц с ограниченными возможностями форматах (Статья 21, пункт </w:t>
      </w:r>
      <w:r w:rsidRPr="002B2BF7">
        <w:rPr>
          <w:i/>
          <w:iCs/>
          <w:lang w:val="ru-RU"/>
        </w:rPr>
        <w:t>с)</w:t>
      </w:r>
      <w:r w:rsidRPr="002B2BF7">
        <w:rPr>
          <w:lang w:val="ru-RU"/>
        </w:rPr>
        <w:t>);</w:t>
      </w:r>
    </w:p>
    <w:p w14:paraId="418458C9" w14:textId="77777777" w:rsidR="00523CDB" w:rsidRPr="002B2BF7" w:rsidRDefault="00523CDB" w:rsidP="00523CDB">
      <w:pPr>
        <w:pStyle w:val="enumlev1"/>
        <w:rPr>
          <w:lang w:val="ru-RU"/>
        </w:rPr>
      </w:pPr>
      <w:r w:rsidRPr="002B2BF7">
        <w:rPr>
          <w:lang w:val="ru-RU"/>
        </w:rPr>
        <w:t>8)</w:t>
      </w:r>
      <w:r w:rsidRPr="002B2BF7">
        <w:rPr>
          <w:lang w:val="ru-RU"/>
        </w:rPr>
        <w:tab/>
        <w:t>призывать средства массовой информации (в том числе предоставляющие информацию через интернет) делать свои услуги доступными для лиц с ограниченными возможностями (Статья 21, пункт </w:t>
      </w:r>
      <w:r w:rsidRPr="002B2BF7">
        <w:rPr>
          <w:i/>
          <w:iCs/>
          <w:lang w:val="ru-RU"/>
        </w:rPr>
        <w:t>d)</w:t>
      </w:r>
      <w:r w:rsidRPr="002B2BF7">
        <w:rPr>
          <w:lang w:val="ru-RU"/>
        </w:rPr>
        <w:t>);</w:t>
      </w:r>
    </w:p>
    <w:p w14:paraId="0D4EFF79" w14:textId="77777777" w:rsidR="00523CDB" w:rsidRPr="002B2BF7" w:rsidRDefault="00523CDB" w:rsidP="00523CDB">
      <w:pPr>
        <w:rPr>
          <w:lang w:val="ru-RU"/>
        </w:rPr>
      </w:pPr>
      <w:r w:rsidRPr="002B2BF7">
        <w:rPr>
          <w:i/>
          <w:iCs/>
          <w:lang w:val="ru-RU"/>
        </w:rPr>
        <w:t>c)</w:t>
      </w:r>
      <w:r w:rsidRPr="002B2BF7">
        <w:rPr>
          <w:lang w:val="ru-RU"/>
        </w:rPr>
        <w:tab/>
        <w:t>что, помимо этого, в Конвенции ООН о правах инвалидов далее указано, что дискриминация по признаку инвалидности существует, если имеет место отказ в разумном приспособлении, считая, что "разумное приспособление" означает внесение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(например, свободы слова, доступа к информации) (Статья 2);</w:t>
      </w:r>
    </w:p>
    <w:p w14:paraId="2AAB8060" w14:textId="77777777" w:rsidR="00523CDB" w:rsidRPr="002B2BF7" w:rsidRDefault="00523CDB" w:rsidP="00523CDB">
      <w:pPr>
        <w:rPr>
          <w:rFonts w:eastAsia="Droid Sans" w:cstheme="minorHAnsi"/>
          <w:i/>
          <w:iCs/>
          <w:kern w:val="1"/>
          <w:szCs w:val="24"/>
          <w:lang w:val="ru-RU" w:eastAsia="zh-CN"/>
        </w:rPr>
      </w:pPr>
      <w:r w:rsidRPr="002B2BF7">
        <w:rPr>
          <w:i/>
          <w:iCs/>
          <w:lang w:val="ru-RU"/>
        </w:rPr>
        <w:t>d)</w:t>
      </w:r>
      <w:r w:rsidRPr="002B2BF7">
        <w:rPr>
          <w:lang w:val="ru-RU"/>
        </w:rPr>
        <w:tab/>
        <w:t xml:space="preserve">что государства </w:t>
      </w:r>
      <w:r w:rsidRPr="002B2BF7">
        <w:rPr>
          <w:lang w:val="ru-RU"/>
        </w:rPr>
        <w:sym w:font="Symbol" w:char="F02D"/>
      </w:r>
      <w:r w:rsidRPr="002B2BF7">
        <w:rPr>
          <w:lang w:val="ru-RU"/>
        </w:rPr>
        <w:t xml:space="preserve"> участники Конвенции ООН о правах инвалидов осуществляют сбор надлежащей информации для разработки и реализации стратегий в целях придания действенности Конвенции и что информация должна быть приведена с разбивкой и должна помогать выявлять и устранять барьеры, с которыми инвалиды сталкиваются при осуществлении своих прав (Статья 31);</w:t>
      </w:r>
      <w:r w:rsidRPr="002B2BF7">
        <w:rPr>
          <w:rFonts w:eastAsia="Droid Sans" w:cstheme="minorHAnsi"/>
          <w:i/>
          <w:iCs/>
          <w:kern w:val="1"/>
          <w:szCs w:val="24"/>
          <w:lang w:val="ru-RU" w:eastAsia="zh-CN"/>
        </w:rPr>
        <w:br w:type="page"/>
      </w:r>
    </w:p>
    <w:p w14:paraId="1068BE4A" w14:textId="77777777" w:rsidR="00523CDB" w:rsidRPr="002B2BF7" w:rsidRDefault="00523CDB" w:rsidP="00523CDB">
      <w:pPr>
        <w:rPr>
          <w:rFonts w:eastAsia="Droid Sans" w:cstheme="minorHAnsi"/>
          <w:kern w:val="1"/>
          <w:szCs w:val="24"/>
          <w:lang w:val="ru-RU" w:eastAsia="zh-CN"/>
        </w:rPr>
      </w:pPr>
      <w:r w:rsidRPr="002B2BF7">
        <w:rPr>
          <w:rFonts w:eastAsia="Droid Sans" w:cstheme="minorHAnsi"/>
          <w:i/>
          <w:iCs/>
          <w:kern w:val="1"/>
          <w:szCs w:val="24"/>
          <w:lang w:val="ru-RU" w:eastAsia="zh-CN"/>
        </w:rPr>
        <w:lastRenderedPageBreak/>
        <w:t>e)</w:t>
      </w:r>
      <w:r w:rsidRPr="002B2BF7">
        <w:rPr>
          <w:rFonts w:eastAsia="Droid Sans" w:cstheme="minorHAnsi"/>
          <w:kern w:val="1"/>
          <w:szCs w:val="24"/>
          <w:lang w:val="ru-RU" w:eastAsia="zh-CN"/>
        </w:rPr>
        <w:tab/>
        <w:t>что итоговый документ заседания ГА ООН высокого уровня по вопросу о реализации Целей в области развития, сформулированных в Декларации тысячелетия, и других целей в области развития, согласованных на международном уровне, в интересах инвалидов "Путь вперед: охватывающая проблему инвалидности повестка дня в области развития на период до 2015 года и далее" в качестве способа реализации таких целей, среди прочего, видит руководство принципом "универсального дизайна" при обеспечении доступности информации, ассистивных и других ИКТ-устройств, в том числе в отдаленных или сельских районах, чтобы инвалиды на протяжении всей своей жизни могли всесторонне раскрывать свой потенциал;</w:t>
      </w:r>
    </w:p>
    <w:p w14:paraId="1D58E770" w14:textId="77777777" w:rsidR="00523CDB" w:rsidRPr="002B2BF7" w:rsidRDefault="00523CDB" w:rsidP="00523CDB">
      <w:pPr>
        <w:rPr>
          <w:lang w:val="ru-RU"/>
        </w:rPr>
      </w:pPr>
      <w:r w:rsidRPr="002B2BF7">
        <w:rPr>
          <w:i/>
          <w:iCs/>
          <w:lang w:val="ru-RU"/>
        </w:rPr>
        <w:t>f)</w:t>
      </w:r>
      <w:r w:rsidRPr="002B2BF7">
        <w:rPr>
          <w:lang w:val="ru-RU"/>
        </w:rPr>
        <w:tab/>
        <w:t>что резолюция 66/288 ГА ООН одобряет итоговый документ Конференции Организации Объединенных Наций по устойчивому развитию (Рио+20) под названием "Будущее, которого мы хотим", который гласит следующее: "... 9. Мы подтверждаем важное значение Всеобщей декларации прав человека, а также других международных документов в области прав человека и международного права. Мы особо отмечаем обязанность всех государств в соответствии с Уставом соблюдать, защищать и поощрять права человека и основные свободы для всех без каких бы то ни было различий по признакам расы, цвета кожи, пола, языка или религии, политических или иных убеждений, национального или социального происхождения, имущественного положения, места рождения, инвалидности, возраста или другим признакам";</w:t>
      </w:r>
    </w:p>
    <w:p w14:paraId="76B38342" w14:textId="77777777" w:rsidR="00523CDB" w:rsidRPr="002B2BF7" w:rsidRDefault="00523CDB" w:rsidP="00523CDB">
      <w:pPr>
        <w:rPr>
          <w:lang w:val="ru-RU"/>
        </w:rPr>
      </w:pPr>
      <w:r w:rsidRPr="002B2BF7">
        <w:rPr>
          <w:i/>
          <w:iCs/>
          <w:lang w:val="ru-RU"/>
        </w:rPr>
        <w:t>g)</w:t>
      </w:r>
      <w:r w:rsidRPr="002B2BF7">
        <w:rPr>
          <w:lang w:val="ru-RU"/>
        </w:rPr>
        <w:tab/>
        <w:t>что ГА ООН своей резолюцией 61/106, принявшей Конвенцию ООН о правах инвалидов, просит Генерального секретаря (пункт 5) "… постепенно внедрять стандарты и руководящие ориентиры, предусматривающие доступность объектов и услуг системы Организации Объединенных Наций, учитывая соответствующие положения Конвенции, в частности, при проведении ремонтных работ";</w:t>
      </w:r>
    </w:p>
    <w:p w14:paraId="5FBF776E" w14:textId="77777777" w:rsidR="00523CDB" w:rsidRPr="002B2BF7" w:rsidDel="001C6574" w:rsidRDefault="00523CDB" w:rsidP="00523CDB">
      <w:pPr>
        <w:rPr>
          <w:lang w:val="ru-RU"/>
        </w:rPr>
      </w:pPr>
      <w:r w:rsidRPr="002B2BF7">
        <w:rPr>
          <w:i/>
          <w:iCs/>
          <w:lang w:val="ru-RU"/>
        </w:rPr>
        <w:t>h</w:t>
      </w:r>
      <w:r w:rsidRPr="002B2BF7" w:rsidDel="001C6574">
        <w:rPr>
          <w:i/>
          <w:iCs/>
          <w:lang w:val="ru-RU"/>
        </w:rPr>
        <w:t>)</w:t>
      </w:r>
      <w:r w:rsidRPr="002B2BF7" w:rsidDel="001C6574">
        <w:rPr>
          <w:lang w:val="ru-RU"/>
        </w:rPr>
        <w:tab/>
        <w:t xml:space="preserve">замечание общего порядка </w:t>
      </w:r>
      <w:r w:rsidRPr="002B2BF7">
        <w:rPr>
          <w:lang w:val="ru-RU"/>
        </w:rPr>
        <w:t xml:space="preserve">№2 (2014 г.) </w:t>
      </w:r>
      <w:r w:rsidRPr="002B2BF7" w:rsidDel="001C6574">
        <w:rPr>
          <w:lang w:val="ru-RU"/>
        </w:rPr>
        <w:t xml:space="preserve">по Статье 9 "Доступность" Комитета Организации Объединенных Наций по правам инвалидов (апрель 2014 г.), </w:t>
      </w:r>
      <w:r w:rsidRPr="002B2BF7">
        <w:rPr>
          <w:lang w:val="ru-RU"/>
        </w:rPr>
        <w:t xml:space="preserve">о необходимости </w:t>
      </w:r>
      <w:r w:rsidRPr="002B2BF7" w:rsidDel="001C6574">
        <w:rPr>
          <w:lang w:val="ru-RU"/>
        </w:rPr>
        <w:t>поощрени</w:t>
      </w:r>
      <w:r w:rsidRPr="002B2BF7">
        <w:rPr>
          <w:lang w:val="ru-RU"/>
        </w:rPr>
        <w:t>я</w:t>
      </w:r>
      <w:r w:rsidRPr="002B2BF7" w:rsidDel="001C6574">
        <w:rPr>
          <w:lang w:val="ru-RU"/>
        </w:rPr>
        <w:t xml:space="preserve"> доступа инвалидов к новым </w:t>
      </w:r>
      <w:r w:rsidRPr="002B2BF7">
        <w:rPr>
          <w:lang w:val="ru-RU"/>
        </w:rPr>
        <w:t xml:space="preserve">ИКТ </w:t>
      </w:r>
      <w:r w:rsidRPr="002B2BF7" w:rsidDel="001C6574">
        <w:rPr>
          <w:lang w:val="ru-RU"/>
        </w:rPr>
        <w:t>и системам, включая интернет;</w:t>
      </w:r>
    </w:p>
    <w:p w14:paraId="4F55ABEC" w14:textId="77777777" w:rsidR="00523CDB" w:rsidRPr="002B2BF7" w:rsidRDefault="00523CDB" w:rsidP="00523CDB">
      <w:pPr>
        <w:rPr>
          <w:lang w:val="ru-RU"/>
        </w:rPr>
      </w:pPr>
      <w:r w:rsidRPr="002B2BF7">
        <w:rPr>
          <w:i/>
          <w:iCs/>
          <w:lang w:val="ru-RU"/>
        </w:rPr>
        <w:t>i)</w:t>
      </w:r>
      <w:r w:rsidRPr="002B2BF7">
        <w:rPr>
          <w:lang w:val="ru-RU"/>
        </w:rPr>
        <w:tab/>
      </w:r>
      <w:r w:rsidRPr="002B2BF7">
        <w:rPr>
          <w:rFonts w:eastAsia="Droid Sans" w:cstheme="minorHAnsi"/>
          <w:kern w:val="1"/>
          <w:szCs w:val="24"/>
          <w:lang w:val="ru-RU" w:eastAsia="zh-CN"/>
        </w:rPr>
        <w:t>что увеличение доступа лиц с ограниченными возможностями и лиц с особыми потребностями к услугам, оборудованию, программному обеспечению и приложениям электросвязи/ИКТ окажет содействие повышению уровню цифровой грамотности и доступу на равной основе к образованию, медицинскому обслуживанию, трудоустройству</w:t>
      </w:r>
      <w:r w:rsidRPr="002B2BF7">
        <w:rPr>
          <w:lang w:val="ru-RU"/>
        </w:rPr>
        <w:t>;</w:t>
      </w:r>
    </w:p>
    <w:p w14:paraId="24B16B55" w14:textId="77777777" w:rsidR="00523CDB" w:rsidRPr="002B2BF7" w:rsidRDefault="00523CDB" w:rsidP="00523CDB">
      <w:pPr>
        <w:rPr>
          <w:i/>
          <w:lang w:val="ru-RU"/>
        </w:rPr>
      </w:pPr>
      <w:r w:rsidRPr="002B2BF7">
        <w:rPr>
          <w:i/>
          <w:iCs/>
          <w:lang w:val="ru-RU"/>
        </w:rPr>
        <w:t>j)</w:t>
      </w:r>
      <w:r w:rsidRPr="002B2BF7">
        <w:rPr>
          <w:lang w:val="ru-RU"/>
        </w:rPr>
        <w:tab/>
        <w:t>что лица с ограниченными возможностями, действующие индивидуально или через соответствующие организации, должны быть вовлечены в процесс разработки правовых/регуляторных положений, государственной политики и стандартов и участвовать в нем в соответствии с основополагающим принципом "Ничего для нас без нас",</w:t>
      </w:r>
      <w:r w:rsidRPr="002B2BF7">
        <w:rPr>
          <w:lang w:val="ru-RU"/>
        </w:rPr>
        <w:br w:type="page"/>
      </w:r>
    </w:p>
    <w:p w14:paraId="456F5340" w14:textId="77777777" w:rsidR="00523CDB" w:rsidRPr="002B2BF7" w:rsidRDefault="00523CDB" w:rsidP="00523CDB">
      <w:pPr>
        <w:pStyle w:val="Call"/>
        <w:rPr>
          <w:lang w:val="ru-RU"/>
        </w:rPr>
      </w:pPr>
      <w:r w:rsidRPr="002B2BF7">
        <w:rPr>
          <w:lang w:val="ru-RU"/>
        </w:rPr>
        <w:lastRenderedPageBreak/>
        <w:t>принимая во внимание</w:t>
      </w:r>
      <w:r w:rsidRPr="002B2BF7">
        <w:rPr>
          <w:i w:val="0"/>
          <w:iCs/>
          <w:lang w:val="ru-RU"/>
        </w:rPr>
        <w:t>,</w:t>
      </w:r>
    </w:p>
    <w:p w14:paraId="5AD9A101" w14:textId="77777777" w:rsidR="00523CDB" w:rsidRPr="002B2BF7" w:rsidRDefault="00523CDB" w:rsidP="00523CDB">
      <w:pPr>
        <w:rPr>
          <w:lang w:val="ru-RU"/>
        </w:rPr>
      </w:pPr>
      <w:r w:rsidRPr="002B2BF7">
        <w:rPr>
          <w:i/>
          <w:iCs/>
          <w:lang w:val="ru-RU"/>
        </w:rPr>
        <w:t>a)</w:t>
      </w:r>
      <w:r w:rsidRPr="002B2BF7">
        <w:rPr>
          <w:lang w:val="ru-RU"/>
        </w:rPr>
        <w:tab/>
        <w:t>что Всемирная встреча на высшем уровне по вопросам информационного общества (ВВУИО) признала необходимость уделения внимания потребностям пожилых лиц, лиц с ограниченными возможностями</w:t>
      </w:r>
      <w:r w:rsidRPr="002B2BF7">
        <w:rPr>
          <w:rFonts w:eastAsia="Droid Sans" w:cstheme="minorHAnsi"/>
          <w:kern w:val="1"/>
          <w:szCs w:val="24"/>
          <w:lang w:val="ru-RU" w:eastAsia="zh-CN"/>
        </w:rPr>
        <w:t xml:space="preserve"> и лиц с особыми потребностями</w:t>
      </w:r>
      <w:r w:rsidRPr="002B2BF7">
        <w:rPr>
          <w:lang w:val="ru-RU"/>
        </w:rPr>
        <w:t>: i) при разработке национальных киберстратегий, в том числе образовательных, административных и законодательных мер; ii) с целью использования ИКТ при обучении и развитии людских ресурсов; iii) с тем чтобы оборудование и услуги предоставляли удобный и приемлемый в ценовом отношении доступ в соответствии с принципами универсального дизайна и ассистивных технологий; iv) для содействия предоставлению телеработы и расширения возможностей трудоустройства лиц с ограниченными возможностями; v) для создания контента, подходящего для лиц с ограниченными возможностями; и vi) для создания у лиц с ограниченными возможностями необходимых способностей для использования ИКТ</w:t>
      </w:r>
      <w:r w:rsidRPr="002B2BF7">
        <w:rPr>
          <w:rStyle w:val="FootnoteReference"/>
          <w:lang w:val="ru-RU"/>
        </w:rPr>
        <w:footnoteReference w:id="1"/>
      </w:r>
      <w:r w:rsidRPr="002B2BF7">
        <w:rPr>
          <w:lang w:val="ru-RU"/>
        </w:rPr>
        <w:t>;</w:t>
      </w:r>
    </w:p>
    <w:p w14:paraId="6A028CA3" w14:textId="77777777" w:rsidR="00523CDB" w:rsidRPr="002B2BF7" w:rsidRDefault="00523CDB" w:rsidP="00523CDB">
      <w:pPr>
        <w:rPr>
          <w:lang w:val="ru-RU"/>
        </w:rPr>
      </w:pPr>
      <w:r w:rsidRPr="002B2BF7">
        <w:rPr>
          <w:i/>
          <w:iCs/>
          <w:lang w:val="ru-RU"/>
        </w:rPr>
        <w:t>b)</w:t>
      </w:r>
      <w:r w:rsidRPr="002B2BF7">
        <w:rPr>
          <w:lang w:val="ru-RU"/>
        </w:rPr>
        <w:tab/>
        <w:t>что осуществление соответствующих направлений деятельности ВВУИО внесет вклад в выполнение задачи 9.с ЦУР 9 (значительно расширить доступ к ИКТ и стремиться к обеспечению всеобщего и недорогого доступа к интернету в наименее развитых странах к 2020 году);</w:t>
      </w:r>
    </w:p>
    <w:p w14:paraId="7EDA2AEB" w14:textId="77777777" w:rsidR="00523CDB" w:rsidRPr="002B2BF7" w:rsidRDefault="00523CDB" w:rsidP="00523CDB">
      <w:pPr>
        <w:rPr>
          <w:lang w:val="ru-RU"/>
        </w:rPr>
      </w:pPr>
      <w:r w:rsidRPr="002B2BF7">
        <w:rPr>
          <w:i/>
          <w:iCs/>
          <w:lang w:val="ru-RU"/>
        </w:rPr>
        <w:t>c)</w:t>
      </w:r>
      <w:r w:rsidRPr="002B2BF7">
        <w:rPr>
          <w:lang w:val="ru-RU"/>
        </w:rPr>
        <w:tab/>
      </w:r>
      <w:r w:rsidRPr="002B2BF7">
        <w:rPr>
          <w:rFonts w:eastAsia="Droid Sans" w:cstheme="minorHAnsi"/>
          <w:kern w:val="1"/>
          <w:szCs w:val="24"/>
          <w:lang w:val="ru-RU" w:eastAsia="zh-CN"/>
        </w:rPr>
        <w:t>необходимость применения принципов и характеристик доступности услуг, оборудования и программного обеспечения и приложений электросвязи/ИКТ, для того чтобы они были доступными, таких как универсальный дизайн, равный доступ, функциональная равноценность и приемлемость в ценовом отношении</w:t>
      </w:r>
      <w:r w:rsidRPr="002B2BF7">
        <w:rPr>
          <w:lang w:val="ru-RU"/>
        </w:rPr>
        <w:t>;</w:t>
      </w:r>
    </w:p>
    <w:p w14:paraId="12AD742F" w14:textId="77777777" w:rsidR="00523CDB" w:rsidRPr="002B2BF7" w:rsidRDefault="00523CDB" w:rsidP="00523CDB">
      <w:pPr>
        <w:rPr>
          <w:lang w:val="ru-RU"/>
        </w:rPr>
      </w:pPr>
      <w:r w:rsidRPr="002B2BF7">
        <w:rPr>
          <w:i/>
          <w:iCs/>
          <w:lang w:val="ru-RU"/>
        </w:rPr>
        <w:t>d)</w:t>
      </w:r>
      <w:r w:rsidRPr="002B2BF7">
        <w:rPr>
          <w:lang w:val="ru-RU"/>
        </w:rPr>
        <w:tab/>
      </w:r>
      <w:r w:rsidRPr="002B2BF7">
        <w:rPr>
          <w:rFonts w:eastAsia="Droid Sans" w:cstheme="minorHAnsi"/>
          <w:kern w:val="1"/>
          <w:szCs w:val="24"/>
          <w:lang w:val="ru-RU" w:eastAsia="zh-CN"/>
        </w:rPr>
        <w:t>что доступность электросвязи/ИКТ для лиц с ограниченными возможностями и лиц с особыми потребностями должна обеспечиваться путем формирования согласованной политики и сотрудничества государственных органов, частного сектора, неправительственных организаций, гражданского общества, а также непосредственно самих лиц с ограниченными возможностями и лиц с особыми потребностями</w:t>
      </w:r>
      <w:r w:rsidRPr="002B2BF7">
        <w:rPr>
          <w:lang w:val="ru-RU"/>
        </w:rPr>
        <w:t>;</w:t>
      </w:r>
    </w:p>
    <w:p w14:paraId="234ED776" w14:textId="77777777" w:rsidR="00523CDB" w:rsidRPr="00E3202A" w:rsidRDefault="00523CDB" w:rsidP="00523CDB">
      <w:pPr>
        <w:rPr>
          <w:i/>
          <w:iCs/>
          <w:lang w:val="ru-RU"/>
        </w:rPr>
      </w:pPr>
      <w:r w:rsidRPr="002B2BF7">
        <w:rPr>
          <w:i/>
          <w:iCs/>
          <w:lang w:val="en-US"/>
        </w:rPr>
        <w:t>e</w:t>
      </w:r>
      <w:r w:rsidRPr="002B2BF7">
        <w:rPr>
          <w:i/>
          <w:iCs/>
          <w:lang w:val="ru-RU"/>
        </w:rPr>
        <w:t>)</w:t>
      </w:r>
      <w:r w:rsidRPr="002B2BF7">
        <w:rPr>
          <w:lang w:val="ru-RU"/>
        </w:rPr>
        <w:tab/>
      </w:r>
      <w:r w:rsidRPr="002B2BF7">
        <w:rPr>
          <w:rFonts w:eastAsia="Droid Sans" w:cstheme="minorHAnsi"/>
          <w:kern w:val="1"/>
          <w:szCs w:val="24"/>
          <w:lang w:val="ru-RU" w:eastAsia="zh-CN"/>
        </w:rPr>
        <w:t>важность координации и обмена информацией по вопросам, касающимся лиц с ограниченными возможностями и лиц с особыми потребностями, которая осуществляется заинтересованными учреждениями Организации Объединенных Наций и между ними для формирования комплексного подхода к вопросам доступности</w:t>
      </w:r>
      <w:r w:rsidRPr="002B2BF7">
        <w:rPr>
          <w:lang w:val="ru-RU"/>
        </w:rPr>
        <w:t>;</w:t>
      </w:r>
      <w:r w:rsidRPr="00E3202A">
        <w:rPr>
          <w:i/>
          <w:iCs/>
          <w:lang w:val="ru-RU"/>
        </w:rPr>
        <w:br w:type="page"/>
      </w:r>
    </w:p>
    <w:p w14:paraId="22ACA009" w14:textId="77777777" w:rsidR="00523CDB" w:rsidRPr="002B2BF7" w:rsidRDefault="00523CDB" w:rsidP="00523CDB">
      <w:pPr>
        <w:rPr>
          <w:lang w:val="ru-RU"/>
        </w:rPr>
      </w:pPr>
      <w:r w:rsidRPr="002B2BF7">
        <w:rPr>
          <w:i/>
          <w:iCs/>
          <w:lang w:val="en-US"/>
        </w:rPr>
        <w:lastRenderedPageBreak/>
        <w:t>f</w:t>
      </w:r>
      <w:r w:rsidRPr="002B2BF7">
        <w:rPr>
          <w:i/>
          <w:iCs/>
          <w:lang w:val="ru-RU"/>
        </w:rPr>
        <w:t>)</w:t>
      </w:r>
      <w:r w:rsidRPr="002B2BF7">
        <w:rPr>
          <w:lang w:val="ru-RU"/>
        </w:rPr>
        <w:tab/>
      </w:r>
      <w:r w:rsidRPr="002B2BF7">
        <w:rPr>
          <w:rFonts w:eastAsia="Droid Sans" w:cstheme="minorHAnsi"/>
          <w:kern w:val="1"/>
          <w:szCs w:val="24"/>
          <w:lang w:val="ru-RU" w:eastAsia="zh-CN"/>
        </w:rPr>
        <w:t>преобладание различий в уровне доступности электросвязи/ИКТ для лиц с ограниченными возможностями и лиц с особыми потребностями по регионам, странам, а также внутри стран, подчеркивая при этом тот факт, что по данным Программы развития Организации Объединенных Наций (ПРООН) 80 процентов лиц с ограниченными возможностями проживают в развивающихся странах</w:t>
      </w:r>
      <w:r w:rsidRPr="002B2BF7">
        <w:rPr>
          <w:rStyle w:val="FootnoteReference"/>
          <w:lang w:val="ru-RU"/>
        </w:rPr>
        <w:footnoteReference w:id="2"/>
      </w:r>
      <w:r w:rsidRPr="002B2BF7">
        <w:rPr>
          <w:lang w:val="ru-RU"/>
        </w:rPr>
        <w:t>;</w:t>
      </w:r>
    </w:p>
    <w:p w14:paraId="53844EC3" w14:textId="77777777" w:rsidR="00523CDB" w:rsidRPr="002B2BF7" w:rsidRDefault="00523CDB" w:rsidP="00523CDB">
      <w:pPr>
        <w:rPr>
          <w:lang w:val="ru-RU"/>
        </w:rPr>
      </w:pPr>
      <w:r w:rsidRPr="002B2BF7">
        <w:rPr>
          <w:i/>
          <w:iCs/>
          <w:lang w:val="en-US"/>
        </w:rPr>
        <w:t>g</w:t>
      </w:r>
      <w:r w:rsidRPr="002B2BF7">
        <w:rPr>
          <w:i/>
          <w:iCs/>
          <w:lang w:val="ru-RU"/>
        </w:rPr>
        <w:t>)</w:t>
      </w:r>
      <w:r w:rsidRPr="002B2BF7">
        <w:rPr>
          <w:lang w:val="ru-RU"/>
        </w:rPr>
        <w:tab/>
        <w:t>что женщины и девушки с ограниченными возможностями испытывают многочисленные неудобства, будучи лишенными различных возможностей в силу своей гендерной принадлежности и своих ограниченных возможностей,</w:t>
      </w:r>
    </w:p>
    <w:p w14:paraId="15CE7259" w14:textId="77777777" w:rsidR="00523CDB" w:rsidRPr="002B2BF7" w:rsidRDefault="00523CDB" w:rsidP="00523CDB">
      <w:pPr>
        <w:pStyle w:val="Call"/>
        <w:rPr>
          <w:lang w:val="ru-RU"/>
        </w:rPr>
      </w:pPr>
      <w:r w:rsidRPr="002B2BF7">
        <w:rPr>
          <w:lang w:val="ru-RU"/>
        </w:rPr>
        <w:t>решает поручить Директору Бюро развития электросвязи</w:t>
      </w:r>
    </w:p>
    <w:p w14:paraId="2C057C34" w14:textId="77777777" w:rsidR="00523CDB" w:rsidRPr="002B2BF7" w:rsidRDefault="00523CDB" w:rsidP="00523CDB">
      <w:pPr>
        <w:rPr>
          <w:lang w:val="ru-RU"/>
        </w:rPr>
      </w:pPr>
      <w:r w:rsidRPr="002B2BF7">
        <w:rPr>
          <w:lang w:val="ru-RU"/>
        </w:rPr>
        <w:t>1</w:t>
      </w:r>
      <w:r w:rsidRPr="002B2BF7">
        <w:rPr>
          <w:lang w:val="ru-RU"/>
        </w:rPr>
        <w:tab/>
        <w:t>обеспечивать, чтобы в программах проектах или видах деятельности МСЭ-D, по возможности принимались во внимание проблемы доступности электросвязи/ИКТ и/или обеспечивалась возможность их адаптации для лиц с ограниченными возможностями и лиц с особыми потребностями;</w:t>
      </w:r>
    </w:p>
    <w:p w14:paraId="697A8F62" w14:textId="77777777" w:rsidR="00523CDB" w:rsidRPr="002B2BF7" w:rsidRDefault="00523CDB" w:rsidP="00523CDB">
      <w:pPr>
        <w:rPr>
          <w:lang w:val="ru-RU"/>
        </w:rPr>
      </w:pPr>
      <w:r w:rsidRPr="002B2BF7">
        <w:rPr>
          <w:lang w:val="ru-RU"/>
        </w:rPr>
        <w:t>2</w:t>
      </w:r>
      <w:r w:rsidRPr="002B2BF7">
        <w:rPr>
          <w:lang w:val="ru-RU"/>
        </w:rPr>
        <w:tab/>
        <w:t>содействовать разработке и обновлению инструментария и руководящих указаний для использования/рассмотрения Государствами-Членами при включении вопросов доступности электросвязи/ИКТ в свои национальные/региональные правила и регуляторные положения, а также созданию необходимого потенциала, учитывая Повестку дня в области устойчивого развития на период до 2030 года;</w:t>
      </w:r>
    </w:p>
    <w:p w14:paraId="1DDBA128" w14:textId="77777777" w:rsidR="00523CDB" w:rsidRPr="002B2BF7" w:rsidRDefault="00523CDB" w:rsidP="00523CDB">
      <w:pPr>
        <w:rPr>
          <w:lang w:val="ru-RU"/>
        </w:rPr>
      </w:pPr>
      <w:r w:rsidRPr="002B2BF7">
        <w:rPr>
          <w:lang w:val="ru-RU"/>
        </w:rPr>
        <w:t>3</w:t>
      </w:r>
      <w:r w:rsidRPr="002B2BF7">
        <w:rPr>
          <w:lang w:val="ru-RU"/>
        </w:rPr>
        <w:tab/>
        <w:t>по необходимости оказывать помощь Государствам-Членам в разработке их национальных стратегий, включая стратегии финансирования, нацеленных на удовлетворение потребностей лиц с ограниченными возможностями и лиц с особыми потребностями в получении услуг электросвязи/ИКТ;</w:t>
      </w:r>
    </w:p>
    <w:p w14:paraId="0DC24D5B" w14:textId="77777777" w:rsidR="00523CDB" w:rsidRPr="002B2BF7" w:rsidRDefault="00523CDB" w:rsidP="00523CDB">
      <w:pPr>
        <w:rPr>
          <w:lang w:val="ru-RU"/>
        </w:rPr>
      </w:pPr>
      <w:r w:rsidRPr="002B2BF7">
        <w:rPr>
          <w:lang w:val="ru-RU"/>
        </w:rPr>
        <w:t>4</w:t>
      </w:r>
      <w:r w:rsidRPr="002B2BF7">
        <w:rPr>
          <w:lang w:val="ru-RU"/>
        </w:rPr>
        <w:tab/>
      </w:r>
      <w:r w:rsidRPr="002B2BF7">
        <w:rPr>
          <w:rFonts w:eastAsia="Droid Sans" w:cstheme="minorHAnsi"/>
          <w:kern w:val="1"/>
          <w:szCs w:val="24"/>
          <w:lang w:val="ru-RU" w:eastAsia="zh-CN"/>
        </w:rPr>
        <w:t>продолжать работать в тесном сотрудничестве с Государствами-Членами в целях обмена передовым опытом и его распространения и призывать их представлять вклады по вопросам обеспечения доступности услуг, оборудования, программного обеспечения и приложений электросвязи/ИКТ</w:t>
      </w:r>
      <w:r w:rsidRPr="002B2BF7">
        <w:rPr>
          <w:lang w:val="ru-RU"/>
        </w:rPr>
        <w:t>;</w:t>
      </w:r>
    </w:p>
    <w:p w14:paraId="721E5D05" w14:textId="77777777" w:rsidR="00523CDB" w:rsidRPr="002B2BF7" w:rsidRDefault="00523CDB" w:rsidP="00523CDB">
      <w:pPr>
        <w:rPr>
          <w:lang w:val="ru-RU"/>
        </w:rPr>
      </w:pPr>
      <w:r w:rsidRPr="002B2BF7">
        <w:rPr>
          <w:lang w:val="ru-RU"/>
        </w:rPr>
        <w:t>5</w:t>
      </w:r>
      <w:r w:rsidRPr="002B2BF7">
        <w:rPr>
          <w:lang w:val="ru-RU"/>
        </w:rPr>
        <w:tab/>
      </w:r>
      <w:r w:rsidRPr="002B2BF7">
        <w:rPr>
          <w:rFonts w:eastAsia="Droid Sans" w:cstheme="minorHAnsi"/>
          <w:kern w:val="1"/>
          <w:szCs w:val="24"/>
          <w:lang w:val="ru-RU" w:eastAsia="zh-CN"/>
        </w:rPr>
        <w:t>содействовать организации семинаров, симпозиумов и форумов, посвященных вопросам доступности электросвязи/ИКТ, с привлечением широкого круга заинтересованных сторон, а также содействовать подготовке выходных документов, в которых рассматриваются вопросы обеспечения доступности электросвязи/ИКТ для лиц с ограниченными возможностями и лиц с особыми потребностями</w:t>
      </w:r>
      <w:r w:rsidRPr="002B2BF7">
        <w:rPr>
          <w:lang w:val="ru-RU"/>
        </w:rPr>
        <w:t>;</w:t>
      </w:r>
      <w:r w:rsidRPr="002B2BF7">
        <w:rPr>
          <w:lang w:val="ru-RU"/>
        </w:rPr>
        <w:br w:type="page"/>
      </w:r>
    </w:p>
    <w:p w14:paraId="11E3752A" w14:textId="77777777" w:rsidR="00523CDB" w:rsidRPr="002B2BF7" w:rsidRDefault="00523CDB" w:rsidP="00523CDB">
      <w:pPr>
        <w:rPr>
          <w:lang w:val="ru-RU"/>
        </w:rPr>
      </w:pPr>
      <w:r w:rsidRPr="002B2BF7">
        <w:rPr>
          <w:lang w:val="ru-RU"/>
        </w:rPr>
        <w:lastRenderedPageBreak/>
        <w:t>6</w:t>
      </w:r>
      <w:r w:rsidRPr="002B2BF7">
        <w:rPr>
          <w:lang w:val="ru-RU"/>
        </w:rPr>
        <w:tab/>
      </w:r>
      <w:r w:rsidRPr="002B2BF7">
        <w:rPr>
          <w:rFonts w:eastAsia="Droid Sans" w:cstheme="minorHAnsi"/>
          <w:kern w:val="1"/>
          <w:szCs w:val="24"/>
          <w:lang w:val="ru-RU" w:eastAsia="zh-CN"/>
        </w:rPr>
        <w:t>сотрудничать и взаимодействовать с соответствующими учреждениями ООН, в повестку которых входят вопросы обеспечения доступности, а также с международными и региональными организациями инвалидов с целью содействия социально-экономической интеграции лиц с ограниченными возможностями и лиц с особыми потребностями при помощи электросвязи/ИКТ</w:t>
      </w:r>
      <w:r w:rsidRPr="002B2BF7">
        <w:rPr>
          <w:lang w:val="ru-RU"/>
        </w:rPr>
        <w:t>;</w:t>
      </w:r>
    </w:p>
    <w:p w14:paraId="5E1298E8" w14:textId="77777777" w:rsidR="00523CDB" w:rsidRPr="002B2BF7" w:rsidRDefault="00523CDB" w:rsidP="00523CDB">
      <w:pPr>
        <w:rPr>
          <w:lang w:val="ru-RU"/>
        </w:rPr>
      </w:pPr>
      <w:r w:rsidRPr="002B2BF7">
        <w:rPr>
          <w:rFonts w:eastAsia="Droid Sans" w:cstheme="minorHAnsi"/>
          <w:kern w:val="1"/>
          <w:szCs w:val="24"/>
          <w:lang w:val="ru-RU" w:eastAsia="zh-CN"/>
        </w:rPr>
        <w:t>7</w:t>
      </w:r>
      <w:r w:rsidRPr="002B2BF7">
        <w:rPr>
          <w:rFonts w:eastAsia="Droid Sans" w:cstheme="minorHAnsi"/>
          <w:kern w:val="1"/>
          <w:szCs w:val="24"/>
          <w:lang w:val="ru-RU" w:eastAsia="zh-CN"/>
        </w:rPr>
        <w:tab/>
        <w:t>сотрудничать с МСЭ-R и МСЭ-Т по вопросам, касающимся обеспечения доступности электросвязи/ИКТ, учитывать результаты их работы при подготовке инструментариев, руководящих указаний и программ для Государств-Членов по вопросам доступности электросвязи/ИКТ, а также, при необходимости, представлять Совету МСЭ отчеты о результатах такого сотрудничества;</w:t>
      </w:r>
    </w:p>
    <w:p w14:paraId="0A80F585" w14:textId="77777777" w:rsidR="00523CDB" w:rsidRPr="002B2BF7" w:rsidRDefault="00523CDB" w:rsidP="00523CDB">
      <w:pPr>
        <w:rPr>
          <w:lang w:val="ru-RU"/>
        </w:rPr>
      </w:pPr>
      <w:r w:rsidRPr="002B2BF7">
        <w:rPr>
          <w:lang w:val="ru-RU"/>
        </w:rPr>
        <w:t>8</w:t>
      </w:r>
      <w:r w:rsidRPr="002B2BF7">
        <w:rPr>
          <w:lang w:val="ru-RU"/>
        </w:rPr>
        <w:tab/>
      </w:r>
      <w:r w:rsidRPr="002B2BF7">
        <w:rPr>
          <w:rFonts w:eastAsia="Droid Sans" w:cstheme="minorHAnsi"/>
          <w:kern w:val="1"/>
          <w:szCs w:val="24"/>
          <w:lang w:val="ru-RU" w:eastAsia="zh-CN"/>
        </w:rPr>
        <w:t>изучить вопрос о разработке программы стажировок для лиц с ограниченными возможностями и лиц с особыми потребностями, обладающих специальными знаниями в области электросвязи/ИКТ, в целях формирования потенциала для выработки государственной политики, отвечающей требованиям доступности;</w:t>
      </w:r>
    </w:p>
    <w:p w14:paraId="10579EC0" w14:textId="77777777" w:rsidR="00523CDB" w:rsidRPr="002B2BF7" w:rsidRDefault="00523CDB" w:rsidP="00523CDB">
      <w:pPr>
        <w:rPr>
          <w:lang w:val="ru-RU"/>
        </w:rPr>
      </w:pPr>
      <w:r w:rsidRPr="002B2BF7">
        <w:rPr>
          <w:lang w:val="ru-RU"/>
        </w:rPr>
        <w:t>9</w:t>
      </w:r>
      <w:r w:rsidRPr="002B2BF7">
        <w:rPr>
          <w:lang w:val="ru-RU"/>
        </w:rPr>
        <w:tab/>
        <w:t>обеспечить учет потребностей сообществ лиц с ограниченными возможностями при предоставлении оборудования, услуг и программного обеспечения для обеспечения доступности электросвязи/ИКТ;</w:t>
      </w:r>
    </w:p>
    <w:p w14:paraId="0C71DE68" w14:textId="77777777" w:rsidR="00523CDB" w:rsidRPr="002B2BF7" w:rsidRDefault="00523CDB" w:rsidP="00523CDB">
      <w:pPr>
        <w:rPr>
          <w:lang w:val="ru-RU"/>
        </w:rPr>
      </w:pPr>
      <w:r w:rsidRPr="002B2BF7">
        <w:rPr>
          <w:lang w:val="ru-RU"/>
        </w:rPr>
        <w:t>10</w:t>
      </w:r>
      <w:r w:rsidRPr="002B2BF7">
        <w:rPr>
          <w:lang w:val="ru-RU"/>
        </w:rPr>
        <w:tab/>
        <w:t>сделать более весомой программу охвата цифровыми технологиями в целях содействия доступности электросвязи/ИКТ для лиц с ограниченными возможностями,</w:t>
      </w:r>
    </w:p>
    <w:p w14:paraId="076DE72B" w14:textId="77777777" w:rsidR="00523CDB" w:rsidRPr="002B2BF7" w:rsidRDefault="00523CDB" w:rsidP="00523CDB">
      <w:pPr>
        <w:pStyle w:val="Call"/>
        <w:rPr>
          <w:lang w:val="ru-RU"/>
        </w:rPr>
      </w:pPr>
      <w:r w:rsidRPr="002B2BF7">
        <w:rPr>
          <w:lang w:val="ru-RU"/>
        </w:rPr>
        <w:t>далее поручает Директору Бюро развития электросвязи</w:t>
      </w:r>
    </w:p>
    <w:p w14:paraId="1E4A169E" w14:textId="77777777" w:rsidR="00523CDB" w:rsidRPr="002B2BF7" w:rsidRDefault="00523CDB" w:rsidP="00523CDB">
      <w:pPr>
        <w:rPr>
          <w:lang w:val="ru-RU"/>
        </w:rPr>
      </w:pPr>
      <w:r w:rsidRPr="002B2BF7">
        <w:rPr>
          <w:lang w:val="ru-RU"/>
        </w:rPr>
        <w:t>1</w:t>
      </w:r>
      <w:r w:rsidRPr="002B2BF7">
        <w:rPr>
          <w:lang w:val="ru-RU"/>
        </w:rPr>
        <w:tab/>
        <w:t>на основе консультаций с Генеральным секретарем проанализировать доступность услуг и средств МСЭ, включая собрания и мероприятия, рассмотреть возможность принятия мер, когда это целесообразно, в соответствии с резолюцией 61/106 Генеральной Ассамблеи Организации Объединенных Наций, а также проинформировать Государства-Члены и Членов Сектора о выполнении таких мер, в зависимости от случая;</w:t>
      </w:r>
    </w:p>
    <w:p w14:paraId="1B527581" w14:textId="77777777" w:rsidR="00523CDB" w:rsidRPr="002B2BF7" w:rsidRDefault="00523CDB" w:rsidP="00523CDB">
      <w:pPr>
        <w:rPr>
          <w:lang w:val="ru-RU"/>
        </w:rPr>
      </w:pPr>
      <w:r w:rsidRPr="002B2BF7">
        <w:rPr>
          <w:lang w:val="ru-RU"/>
        </w:rPr>
        <w:t>2</w:t>
      </w:r>
      <w:r w:rsidRPr="002B2BF7">
        <w:rPr>
          <w:lang w:val="ru-RU"/>
        </w:rPr>
        <w:tab/>
        <w:t>способствовать в рамках БРЭ объединению усилий для претворения в жизнь положений Резолюции 70 (Пересм. Женева, 2022 г.) и Резолюции 175 (Пересм. Дубай, 2018</w:t>
      </w:r>
      <w:r>
        <w:t> </w:t>
      </w:r>
      <w:r w:rsidRPr="002B2BF7">
        <w:rPr>
          <w:lang w:val="ru-RU"/>
        </w:rPr>
        <w:t>г.);</w:t>
      </w:r>
    </w:p>
    <w:p w14:paraId="4572A1FE" w14:textId="77777777" w:rsidR="00523CDB" w:rsidRPr="002B2BF7" w:rsidRDefault="00523CDB" w:rsidP="00523CDB">
      <w:pPr>
        <w:rPr>
          <w:i/>
          <w:lang w:val="ru-RU"/>
        </w:rPr>
      </w:pPr>
      <w:r w:rsidRPr="00106709">
        <w:rPr>
          <w:lang w:val="ru-RU"/>
        </w:rPr>
        <w:t>3</w:t>
      </w:r>
      <w:r w:rsidRPr="00106709">
        <w:rPr>
          <w:lang w:val="ru-RU"/>
        </w:rPr>
        <w:tab/>
        <w:t>предоставлять консультации по инициативам, проектам и программам, осуществлять их оценку и контроль, чтобы определить их влияние с точки зрения доступности электросвязи/ИКТ для лиц с ограниченными возможностями и лиц с особыми потребностями, в соответствии с Резолюцией 17 (Пересм. Кигали, 2022 г.) ВКРЭ о региональных инициативах, когда это уместно,</w:t>
      </w:r>
      <w:r w:rsidRPr="002B2BF7">
        <w:rPr>
          <w:lang w:val="ru-RU"/>
        </w:rPr>
        <w:br w:type="page"/>
      </w:r>
    </w:p>
    <w:p w14:paraId="59BD55BA" w14:textId="77777777" w:rsidR="00523CDB" w:rsidRPr="002B2BF7" w:rsidRDefault="00523CDB" w:rsidP="00523CDB">
      <w:pPr>
        <w:pStyle w:val="Call"/>
        <w:rPr>
          <w:lang w:val="ru-RU"/>
        </w:rPr>
      </w:pPr>
      <w:r w:rsidRPr="002B2BF7">
        <w:rPr>
          <w:lang w:val="ru-RU"/>
        </w:rPr>
        <w:lastRenderedPageBreak/>
        <w:t>предлагает Полномочной конференции</w:t>
      </w:r>
    </w:p>
    <w:p w14:paraId="4F8EB336" w14:textId="77777777" w:rsidR="00523CDB" w:rsidRPr="002B2BF7" w:rsidRDefault="00523CDB" w:rsidP="00523CDB">
      <w:pPr>
        <w:rPr>
          <w:lang w:val="ru-RU"/>
        </w:rPr>
      </w:pPr>
      <w:r w:rsidRPr="002B2BF7">
        <w:rPr>
          <w:lang w:val="ru-RU"/>
        </w:rPr>
        <w:t>1</w:t>
      </w:r>
      <w:r w:rsidRPr="002B2BF7">
        <w:rPr>
          <w:lang w:val="ru-RU"/>
        </w:rPr>
        <w:tab/>
      </w:r>
      <w:r w:rsidRPr="002B2BF7">
        <w:rPr>
          <w:rFonts w:eastAsia="Droid Sans"/>
          <w:lang w:val="ru-RU" w:eastAsia="zh-CN"/>
        </w:rPr>
        <w:t>взять за основу и далее укреплять достижения, которых удалось добиться, путем обеспечения необходимых финансовых и людских ресурсов для эффективного и устойчивого включения вопросов доступности электросвязи/ИКТ для лиц с ограниченными возможностями и лиц с особыми потребностями в деятельность МСЭ в области развития</w:t>
      </w:r>
      <w:r w:rsidRPr="002B2BF7">
        <w:rPr>
          <w:lang w:val="ru-RU"/>
        </w:rPr>
        <w:t>;</w:t>
      </w:r>
    </w:p>
    <w:p w14:paraId="307DF503" w14:textId="77777777" w:rsidR="00523CDB" w:rsidRPr="002B2BF7" w:rsidRDefault="00523CDB" w:rsidP="00523CDB">
      <w:pPr>
        <w:rPr>
          <w:lang w:val="ru-RU"/>
        </w:rPr>
      </w:pPr>
      <w:r w:rsidRPr="002B2BF7">
        <w:rPr>
          <w:lang w:val="ru-RU"/>
        </w:rPr>
        <w:t>2</w:t>
      </w:r>
      <w:r w:rsidRPr="002B2BF7">
        <w:rPr>
          <w:lang w:val="ru-RU"/>
        </w:rPr>
        <w:tab/>
      </w:r>
      <w:r w:rsidRPr="002B2BF7">
        <w:rPr>
          <w:rFonts w:eastAsia="Droid Sans"/>
          <w:lang w:val="ru-RU" w:eastAsia="zh-CN"/>
        </w:rPr>
        <w:t>поручить Генеральному секретарю довести данную Резолюцию до сведения Генерального секретаря ООН, стремясь к усилению координации и сотрудничества в интересах разработки политики, программ и проектов для обеспечения доступности электросвязи/ИКТ для лиц с ограниченными возможностями и лиц с особыми потребностями в соответствии с принципами универсального дизайна, равного доступа, функциональной равноценности и приемлемости в ценовом отношении, и в полной мере используя имеющиеся средства, руководящие указания и стандарты, чтобы устранить препятствия и дискриминацию</w:t>
      </w:r>
      <w:r w:rsidRPr="002B2BF7">
        <w:rPr>
          <w:lang w:val="ru-RU"/>
        </w:rPr>
        <w:t>,</w:t>
      </w:r>
    </w:p>
    <w:p w14:paraId="6B2D381F" w14:textId="77777777" w:rsidR="00523CDB" w:rsidRPr="002B2BF7" w:rsidRDefault="00523CDB" w:rsidP="00523CDB">
      <w:pPr>
        <w:pStyle w:val="Call"/>
        <w:rPr>
          <w:i w:val="0"/>
          <w:lang w:val="ru-RU"/>
        </w:rPr>
      </w:pPr>
      <w:r w:rsidRPr="002B2BF7">
        <w:rPr>
          <w:lang w:val="ru-RU"/>
        </w:rPr>
        <w:t>поручает 1-й Исследовательской комиссии Сектора развития электросвязи МСЭ</w:t>
      </w:r>
    </w:p>
    <w:p w14:paraId="40CEFAC4" w14:textId="77777777" w:rsidR="00523CDB" w:rsidRPr="002B2BF7" w:rsidRDefault="00523CDB" w:rsidP="00523CDB">
      <w:pPr>
        <w:rPr>
          <w:lang w:val="ru-RU"/>
        </w:rPr>
      </w:pPr>
      <w:r w:rsidRPr="002B2BF7">
        <w:rPr>
          <w:lang w:val="ru-RU"/>
        </w:rPr>
        <w:t>1</w:t>
      </w:r>
      <w:r w:rsidRPr="002B2BF7">
        <w:rPr>
          <w:lang w:val="ru-RU"/>
        </w:rPr>
        <w:tab/>
        <w:t>содействовать определению потребностей лиц с ограниченными возможностями и лиц с особыми потребностями в доступных услугах, оборудовании, программном обеспечении и приложений электросвязи/ИКТ;</w:t>
      </w:r>
    </w:p>
    <w:p w14:paraId="5F7714A2" w14:textId="77777777" w:rsidR="00523CDB" w:rsidRPr="002B2BF7" w:rsidRDefault="00523CDB" w:rsidP="00523CDB">
      <w:pPr>
        <w:rPr>
          <w:lang w:val="ru-RU"/>
        </w:rPr>
      </w:pPr>
      <w:r w:rsidRPr="002B2BF7">
        <w:rPr>
          <w:lang w:val="ru-RU"/>
        </w:rPr>
        <w:t>2</w:t>
      </w:r>
      <w:r w:rsidRPr="002B2BF7">
        <w:rPr>
          <w:lang w:val="ru-RU"/>
        </w:rPr>
        <w:tab/>
        <w:t>на основе вкладов Государств-Членов, Членов Сектора и других заинтересованных сторон, а также в сотрудничестве с МСЭ-T и МСЭ-R содействовать определению передовых решений в области доступных услуг, оборудования, программного обеспечения и приложений электросвязи/ИКТ;</w:t>
      </w:r>
    </w:p>
    <w:p w14:paraId="765F661C" w14:textId="77777777" w:rsidR="00523CDB" w:rsidRPr="002B2BF7" w:rsidRDefault="00523CDB" w:rsidP="00523CDB">
      <w:pPr>
        <w:rPr>
          <w:lang w:val="ru-RU"/>
        </w:rPr>
      </w:pPr>
      <w:r w:rsidRPr="002B2BF7">
        <w:rPr>
          <w:lang w:val="ru-RU"/>
        </w:rPr>
        <w:t>3</w:t>
      </w:r>
      <w:r w:rsidRPr="002B2BF7">
        <w:rPr>
          <w:lang w:val="ru-RU"/>
        </w:rPr>
        <w:tab/>
        <w:t>содействовать обмену опытом и передовыми практиками в отношении доступности услуг, оборудования, программного обеспечения и приложений электросвязи/ИКТ для лиц с ограниченными возможностями и лиц с особыми потребностями для сокращения цифрового неравенства и выполнения Целей устойчивого развития,</w:t>
      </w:r>
    </w:p>
    <w:p w14:paraId="44DD4984" w14:textId="77777777" w:rsidR="00523CDB" w:rsidRPr="002B2BF7" w:rsidRDefault="00523CDB" w:rsidP="00523CDB">
      <w:pPr>
        <w:pStyle w:val="Call"/>
        <w:rPr>
          <w:lang w:val="ru-RU"/>
        </w:rPr>
      </w:pPr>
      <w:r w:rsidRPr="002B2BF7">
        <w:rPr>
          <w:lang w:val="ru-RU"/>
        </w:rPr>
        <w:t>предлагает Государствам-Членам</w:t>
      </w:r>
    </w:p>
    <w:p w14:paraId="785A24D7" w14:textId="77777777" w:rsidR="00523CDB" w:rsidRPr="002B2BF7" w:rsidRDefault="00523CDB" w:rsidP="00523CDB">
      <w:pPr>
        <w:rPr>
          <w:lang w:val="ru-RU"/>
        </w:rPr>
      </w:pPr>
      <w:r w:rsidRPr="002B2BF7">
        <w:rPr>
          <w:lang w:val="ru-RU"/>
        </w:rPr>
        <w:t>1</w:t>
      </w:r>
      <w:r w:rsidRPr="002B2BF7">
        <w:rPr>
          <w:lang w:val="ru-RU"/>
        </w:rPr>
        <w:tab/>
        <w:t xml:space="preserve">ратифицировать Конвенцию ООН о правах инвалидов </w:t>
      </w:r>
      <w:r w:rsidRPr="002B2BF7">
        <w:rPr>
          <w:rFonts w:eastAsia="Droid Sans"/>
          <w:lang w:val="ru-RU" w:eastAsia="zh-CN"/>
        </w:rPr>
        <w:t>и при формировании нормативно-правовой базы, включая законы, регуляторные положения, правила, руководящие указания в области электросвязи/ИКТ как на национальном так и местном уровне, учитывать интересы лиц с ограниченными возможностями и лиц с особыми потребностями в целях содействия социально-экономической интеграции всех членов общества, учитывая Повестку дня в области устойчивого развития на период до 2030 года</w:t>
      </w:r>
      <w:r w:rsidRPr="002B2BF7">
        <w:rPr>
          <w:lang w:val="ru-RU"/>
        </w:rPr>
        <w:t>;</w:t>
      </w:r>
      <w:r w:rsidRPr="002B2BF7">
        <w:rPr>
          <w:lang w:val="ru-RU"/>
        </w:rPr>
        <w:br w:type="page"/>
      </w:r>
    </w:p>
    <w:p w14:paraId="35444EC8" w14:textId="77777777" w:rsidR="00523CDB" w:rsidRPr="002B2BF7" w:rsidRDefault="00523CDB" w:rsidP="00523CDB">
      <w:pPr>
        <w:rPr>
          <w:lang w:val="ru-RU"/>
        </w:rPr>
      </w:pPr>
      <w:r w:rsidRPr="002B2BF7">
        <w:rPr>
          <w:lang w:val="ru-RU"/>
        </w:rPr>
        <w:lastRenderedPageBreak/>
        <w:t>2</w:t>
      </w:r>
      <w:r w:rsidRPr="002B2BF7">
        <w:rPr>
          <w:lang w:val="ru-RU"/>
        </w:rPr>
        <w:tab/>
      </w:r>
      <w:r w:rsidRPr="002B2BF7">
        <w:rPr>
          <w:rFonts w:eastAsia="Droid Sans"/>
          <w:lang w:val="ru-RU" w:eastAsia="zh-CN"/>
        </w:rPr>
        <w:t>придать особое значение вопросу доступности электросвязи/ИКТ для лиц с ограниченными возможностями и лиц с особыми потребностями, а также формированию комплексного подхода к решению данной задачи, что предполагает учет принципов обеспечения доступности в различных сферах;</w:t>
      </w:r>
    </w:p>
    <w:p w14:paraId="188F201B" w14:textId="77777777" w:rsidR="00523CDB" w:rsidRPr="002B2BF7" w:rsidRDefault="00523CDB" w:rsidP="00523CDB">
      <w:pPr>
        <w:rPr>
          <w:rFonts w:eastAsia="Droid Sans"/>
          <w:lang w:val="ru-RU" w:eastAsia="zh-CN"/>
        </w:rPr>
      </w:pPr>
      <w:r w:rsidRPr="002B2BF7">
        <w:rPr>
          <w:rFonts w:eastAsia="Droid Sans"/>
          <w:lang w:val="ru-RU" w:eastAsia="zh-CN"/>
        </w:rPr>
        <w:t>3</w:t>
      </w:r>
      <w:r w:rsidRPr="002B2BF7">
        <w:rPr>
          <w:rFonts w:eastAsia="Droid Sans"/>
          <w:lang w:val="ru-RU" w:eastAsia="zh-CN"/>
        </w:rPr>
        <w:tab/>
        <w:t>принять соответствующие меры для обеспечения того, чтобы услуги, оборудование, программное обеспечение и приложения электросвязи/ИКТ способствовали развитию возможностей доступа к электросвязи/ИКТ и были действительно доступны для лиц с ограниченными возможностями и лиц с особыми потребностями;</w:t>
      </w:r>
    </w:p>
    <w:p w14:paraId="45CF704B" w14:textId="77777777" w:rsidR="00523CDB" w:rsidRPr="002B2BF7" w:rsidRDefault="00523CDB" w:rsidP="00523CDB">
      <w:pPr>
        <w:rPr>
          <w:lang w:val="ru-RU"/>
        </w:rPr>
      </w:pPr>
      <w:r w:rsidRPr="002B2BF7">
        <w:rPr>
          <w:lang w:val="ru-RU"/>
        </w:rPr>
        <w:t>4</w:t>
      </w:r>
      <w:r w:rsidRPr="002B2BF7">
        <w:rPr>
          <w:lang w:val="ru-RU"/>
        </w:rPr>
        <w:tab/>
      </w:r>
      <w:r w:rsidRPr="002B2BF7">
        <w:rPr>
          <w:rFonts w:eastAsia="Droid Sans"/>
          <w:lang w:val="ru-RU" w:eastAsia="zh-CN"/>
        </w:rPr>
        <w:t>разработать национальную нормативно-правовую базу, включая законы, нормативные акты, правила, руководящие указания или другие национальные и местные механизмы обеспечения доступности электросвязи/ИКТ для лиц с ограниченными возможностями, принимая во внимание принципы равного доступа, функциональной равноценности, приемлемости в ценовом отношении и универсального дизайна для обеспечения доступности услуг, оборудования, программного обеспечения и приложений электросвязи/ИКТ</w:t>
      </w:r>
      <w:r w:rsidRPr="002B2BF7">
        <w:rPr>
          <w:lang w:val="ru-RU"/>
        </w:rPr>
        <w:t>;</w:t>
      </w:r>
    </w:p>
    <w:p w14:paraId="4213C7D6" w14:textId="77777777" w:rsidR="00523CDB" w:rsidRPr="002B2BF7" w:rsidRDefault="00523CDB" w:rsidP="00523CDB">
      <w:pPr>
        <w:rPr>
          <w:lang w:val="ru-RU"/>
        </w:rPr>
      </w:pPr>
      <w:r w:rsidRPr="002B2BF7">
        <w:rPr>
          <w:lang w:val="ru-RU"/>
        </w:rPr>
        <w:t>5</w:t>
      </w:r>
      <w:r w:rsidRPr="002B2BF7">
        <w:rPr>
          <w:lang w:val="ru-RU"/>
        </w:rPr>
        <w:tab/>
      </w:r>
      <w:r w:rsidRPr="002B2BF7">
        <w:rPr>
          <w:rFonts w:eastAsia="Droid Sans"/>
          <w:lang w:val="ru-RU" w:eastAsia="zh-CN"/>
        </w:rPr>
        <w:t>поощрять и обеспечивать активное участие лиц с ограниченными возможностями и лиц с особыми потребностями − в индивидуальном порядке или через организации − в процессе разработки политики в области электросвязи/ИКТ и соответствующих областях, в которых ИКТ имеют влияние, путем обеспечения доступности процесса консультаций, собраний и/или обследований</w:t>
      </w:r>
      <w:r w:rsidRPr="002B2BF7">
        <w:rPr>
          <w:lang w:val="ru-RU"/>
        </w:rPr>
        <w:t>;</w:t>
      </w:r>
    </w:p>
    <w:p w14:paraId="0BE62760" w14:textId="77777777" w:rsidR="00523CDB" w:rsidRPr="002B2BF7" w:rsidRDefault="00523CDB" w:rsidP="00523CDB">
      <w:pPr>
        <w:rPr>
          <w:lang w:val="ru-RU"/>
        </w:rPr>
      </w:pPr>
      <w:r w:rsidRPr="002B2BF7">
        <w:rPr>
          <w:lang w:val="ru-RU"/>
        </w:rPr>
        <w:t>6</w:t>
      </w:r>
      <w:r w:rsidRPr="002B2BF7">
        <w:rPr>
          <w:lang w:val="ru-RU"/>
        </w:rPr>
        <w:tab/>
        <w:t>рассмотреть вопрос о разработке государственной политики закупок в области доступной электросвязи/ИКТ, в которой устанавливаются критерии обеспечения доступности;</w:t>
      </w:r>
    </w:p>
    <w:p w14:paraId="17813E0F" w14:textId="77777777" w:rsidR="00523CDB" w:rsidRPr="002B2BF7" w:rsidRDefault="00523CDB" w:rsidP="00523CDB">
      <w:pPr>
        <w:rPr>
          <w:rFonts w:eastAsia="Droid Sans"/>
          <w:lang w:val="ru-RU" w:eastAsia="zh-CN"/>
        </w:rPr>
      </w:pPr>
      <w:r w:rsidRPr="002B2BF7">
        <w:rPr>
          <w:rFonts w:eastAsia="Droid Sans"/>
          <w:lang w:val="ru-RU" w:eastAsia="zh-CN"/>
        </w:rPr>
        <w:t>7</w:t>
      </w:r>
      <w:r w:rsidRPr="002B2BF7">
        <w:rPr>
          <w:rFonts w:eastAsia="Droid Sans"/>
          <w:lang w:val="ru-RU" w:eastAsia="zh-CN"/>
        </w:rPr>
        <w:tab/>
        <w:t>повышать осведомленность о деятельности и решениях государственных органов, частного сектора, неправительственных организаций в области обеспечения доступности электросвязи/ИКТ с тем, чтобы лица с ограниченными возможностями и лица с особыми потребностями были своевременно и в полной мере информированы о новых возможностях;</w:t>
      </w:r>
    </w:p>
    <w:p w14:paraId="5436710E" w14:textId="77777777" w:rsidR="00523CDB" w:rsidRPr="002B2BF7" w:rsidRDefault="00523CDB" w:rsidP="00523CDB">
      <w:pPr>
        <w:rPr>
          <w:lang w:val="ru-RU"/>
        </w:rPr>
      </w:pPr>
      <w:r w:rsidRPr="002B2BF7">
        <w:rPr>
          <w:lang w:val="ru-RU"/>
        </w:rPr>
        <w:t>8</w:t>
      </w:r>
      <w:r w:rsidRPr="002B2BF7">
        <w:rPr>
          <w:lang w:val="ru-RU"/>
        </w:rPr>
        <w:tab/>
      </w:r>
      <w:r w:rsidRPr="002B2BF7">
        <w:rPr>
          <w:rFonts w:eastAsia="Droid Sans"/>
          <w:lang w:val="ru-RU" w:eastAsia="zh-CN"/>
        </w:rPr>
        <w:t>продолжать совершенствовать сбор и анализ данных и статистической информации о доступности электросвязи/ИКТ для лиц с ограниченными возможностями и лиц с особыми потребностями, а также соответствующих показателей, которые будут содействовать процессам разработки, планирования и реализации государственной политики в области доступности электросвязи/ИКТ</w:t>
      </w:r>
      <w:r w:rsidRPr="002B2BF7">
        <w:rPr>
          <w:lang w:val="ru-RU"/>
        </w:rPr>
        <w:t>;</w:t>
      </w:r>
      <w:r w:rsidRPr="002B2BF7">
        <w:rPr>
          <w:lang w:val="ru-RU"/>
        </w:rPr>
        <w:br w:type="page"/>
      </w:r>
    </w:p>
    <w:p w14:paraId="479C1B59" w14:textId="77777777" w:rsidR="00523CDB" w:rsidRPr="002B2BF7" w:rsidRDefault="00523CDB" w:rsidP="00523CDB">
      <w:pPr>
        <w:rPr>
          <w:lang w:val="ru-RU"/>
        </w:rPr>
      </w:pPr>
      <w:r w:rsidRPr="002B2BF7">
        <w:rPr>
          <w:lang w:val="ru-RU"/>
        </w:rPr>
        <w:lastRenderedPageBreak/>
        <w:t>9</w:t>
      </w:r>
      <w:r w:rsidRPr="002B2BF7">
        <w:rPr>
          <w:lang w:val="ru-RU"/>
        </w:rPr>
        <w:tab/>
      </w:r>
      <w:r w:rsidRPr="002B2BF7">
        <w:rPr>
          <w:rFonts w:eastAsia="Droid Sans"/>
          <w:lang w:val="ru-RU" w:eastAsia="zh-CN"/>
        </w:rPr>
        <w:t xml:space="preserve">содействовать внедрению и распространению </w:t>
      </w:r>
      <w:r w:rsidRPr="002B2BF7">
        <w:rPr>
          <w:lang w:val="ru-RU"/>
        </w:rPr>
        <w:t>услуг электросвязи/ИКТ по ретрансляции</w:t>
      </w:r>
      <w:r w:rsidRPr="002B2BF7">
        <w:rPr>
          <w:rStyle w:val="FootnoteReference"/>
          <w:rFonts w:eastAsia="Droid Sans"/>
          <w:lang w:val="ru-RU" w:eastAsia="zh-CN"/>
        </w:rPr>
        <w:footnoteReference w:id="3"/>
      </w:r>
      <w:r w:rsidRPr="002B2BF7">
        <w:rPr>
          <w:rFonts w:eastAsia="Droid Sans"/>
          <w:lang w:val="ru-RU" w:eastAsia="zh-CN"/>
        </w:rPr>
        <w:t>,</w:t>
      </w:r>
      <w:r w:rsidRPr="002B2BF7">
        <w:rPr>
          <w:lang w:val="ru-RU"/>
        </w:rPr>
        <w:t xml:space="preserve"> </w:t>
      </w:r>
      <w:r w:rsidRPr="002B2BF7">
        <w:rPr>
          <w:rFonts w:eastAsia="Droid Sans"/>
          <w:lang w:val="ru-RU" w:eastAsia="zh-CN"/>
        </w:rPr>
        <w:t>субтитрированию, аудиодискрипции для людей с ограниченными возможностями слуха, речи или зрения или же с любым сочетанием таких ограничений для обеспечения доступности телевизионных программ, а также контента цифрового телевидения</w:t>
      </w:r>
      <w:r w:rsidRPr="002B2BF7">
        <w:rPr>
          <w:lang w:val="ru-RU"/>
        </w:rPr>
        <w:t>;</w:t>
      </w:r>
    </w:p>
    <w:p w14:paraId="4AD20970" w14:textId="77777777" w:rsidR="00523CDB" w:rsidRPr="002B2BF7" w:rsidRDefault="00523CDB" w:rsidP="00523CDB">
      <w:pPr>
        <w:rPr>
          <w:lang w:val="ru-RU"/>
        </w:rPr>
      </w:pPr>
      <w:r w:rsidRPr="002B2BF7">
        <w:rPr>
          <w:lang w:val="ru-RU"/>
        </w:rPr>
        <w:t>10</w:t>
      </w:r>
      <w:r w:rsidRPr="002B2BF7">
        <w:rPr>
          <w:lang w:val="ru-RU"/>
        </w:rPr>
        <w:tab/>
        <w:t>рассмотреть возможность применения финансовых стимулов в отношении устройств и ассистивного оборудования ИКТ для лиц с ограниченными возможностями в соответствии с национальным регулированием в этой области;</w:t>
      </w:r>
    </w:p>
    <w:p w14:paraId="76C0DAF0" w14:textId="77777777" w:rsidR="00523CDB" w:rsidRPr="002B2BF7" w:rsidRDefault="00523CDB" w:rsidP="00523CDB">
      <w:pPr>
        <w:rPr>
          <w:lang w:val="ru-RU"/>
        </w:rPr>
      </w:pPr>
      <w:r w:rsidRPr="002B2BF7">
        <w:rPr>
          <w:lang w:val="ru-RU"/>
        </w:rPr>
        <w:t>11</w:t>
      </w:r>
      <w:r w:rsidRPr="002B2BF7">
        <w:rPr>
          <w:lang w:val="ru-RU"/>
        </w:rPr>
        <w:tab/>
        <w:t>содействовать разработке доступных веб-сайтов, в особенности имеющих высокое социальное значение для лиц с ограниченными возможностями и лиц с особыми потребностями, например веб-сайтов услуг электронного правительства;</w:t>
      </w:r>
    </w:p>
    <w:p w14:paraId="5F9C0D71" w14:textId="77777777" w:rsidR="00523CDB" w:rsidRPr="002B2BF7" w:rsidRDefault="00523CDB" w:rsidP="00523CDB">
      <w:pPr>
        <w:rPr>
          <w:rFonts w:eastAsia="Droid Sans"/>
          <w:lang w:val="ru-RU" w:eastAsia="zh-CN"/>
        </w:rPr>
      </w:pPr>
      <w:r w:rsidRPr="002B2BF7">
        <w:rPr>
          <w:rFonts w:eastAsia="Droid Sans"/>
          <w:lang w:val="ru-RU" w:eastAsia="zh-CN"/>
        </w:rPr>
        <w:t>12</w:t>
      </w:r>
      <w:r w:rsidRPr="002B2BF7">
        <w:rPr>
          <w:rFonts w:eastAsia="Droid Sans"/>
          <w:lang w:val="ru-RU" w:eastAsia="zh-CN"/>
        </w:rPr>
        <w:tab/>
        <w:t>содействовать созданию учебных заведений, в особенности начальной ступени образования, организаций и общинных центров с доступным оборудованием, а также содействовать обеспечению доступности таксофонов;</w:t>
      </w:r>
    </w:p>
    <w:p w14:paraId="00BC8364" w14:textId="77777777" w:rsidR="00523CDB" w:rsidRPr="002B2BF7" w:rsidRDefault="00523CDB" w:rsidP="00523CDB">
      <w:pPr>
        <w:rPr>
          <w:lang w:val="ru-RU"/>
        </w:rPr>
      </w:pPr>
      <w:r w:rsidRPr="002B2BF7">
        <w:rPr>
          <w:lang w:val="ru-RU"/>
        </w:rPr>
        <w:t>13</w:t>
      </w:r>
      <w:r w:rsidRPr="002B2BF7">
        <w:rPr>
          <w:lang w:val="ru-RU"/>
        </w:rPr>
        <w:tab/>
      </w:r>
      <w:r w:rsidRPr="002B2BF7">
        <w:rPr>
          <w:rFonts w:eastAsia="Droid Sans"/>
          <w:lang w:val="ru-RU" w:eastAsia="zh-CN"/>
        </w:rPr>
        <w:t>содействовать проведению и осуществлению научно-исследовательских работ по разработке доступного оборудования и программного обеспечения электросвязи/ИКТ,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w:t>
      </w:r>
      <w:r w:rsidRPr="002B2BF7">
        <w:rPr>
          <w:lang w:val="ru-RU"/>
        </w:rPr>
        <w:t>;</w:t>
      </w:r>
    </w:p>
    <w:p w14:paraId="5B0956EA" w14:textId="77777777" w:rsidR="00523CDB" w:rsidRPr="002B2BF7" w:rsidRDefault="00523CDB" w:rsidP="00523CDB">
      <w:pPr>
        <w:rPr>
          <w:lang w:val="ru-RU"/>
        </w:rPr>
      </w:pPr>
      <w:r w:rsidRPr="002B2BF7">
        <w:rPr>
          <w:lang w:val="ru-RU"/>
        </w:rPr>
        <w:t>14</w:t>
      </w:r>
      <w:r w:rsidRPr="002B2BF7">
        <w:rPr>
          <w:lang w:val="ru-RU"/>
        </w:rPr>
        <w:tab/>
        <w:t>установить постоянное и регулярное сотрудничество между развитыми и развивающимися странами в целях обмена информацией, технологиями и передовым опытом, относящимися к вопросам доступности электросвязи/ИКТ для лиц с ограниченными возможностями и лиц с особыми потребностями;</w:t>
      </w:r>
    </w:p>
    <w:p w14:paraId="105822B5" w14:textId="77777777" w:rsidR="00523CDB" w:rsidRPr="002B2BF7" w:rsidRDefault="00523CDB" w:rsidP="00523CDB">
      <w:pPr>
        <w:rPr>
          <w:lang w:val="ru-RU"/>
        </w:rPr>
      </w:pPr>
      <w:r w:rsidRPr="002B2BF7">
        <w:rPr>
          <w:lang w:val="ru-RU"/>
        </w:rPr>
        <w:t>15</w:t>
      </w:r>
      <w:r w:rsidRPr="002B2BF7">
        <w:rPr>
          <w:lang w:val="ru-RU"/>
        </w:rPr>
        <w:tab/>
      </w:r>
      <w:r w:rsidRPr="002B2BF7">
        <w:rPr>
          <w:rFonts w:eastAsia="Droid Sans"/>
          <w:lang w:val="ru-RU" w:eastAsia="zh-CN"/>
        </w:rPr>
        <w:t>активно участвовать в исследованиях МСЭ-D, МСЭ-Т и МСЭ-R, касающихся доступности электросвязи/ИКТ, поощрять и содействовать самостоятельному представительству лиц с ограниченными возможностями и лиц с особыми потребностями в процессе разработки и стандартизации, чтобы их опыт, мнения и взгляды учитывались в работе соответствующих исследовательских комиссий</w:t>
      </w:r>
      <w:r w:rsidRPr="002B2BF7">
        <w:rPr>
          <w:lang w:val="ru-RU"/>
        </w:rPr>
        <w:t>;</w:t>
      </w:r>
      <w:r w:rsidRPr="002B2BF7">
        <w:rPr>
          <w:lang w:val="ru-RU"/>
        </w:rPr>
        <w:br w:type="page"/>
      </w:r>
    </w:p>
    <w:p w14:paraId="20383493" w14:textId="77777777" w:rsidR="00523CDB" w:rsidRPr="002B2BF7" w:rsidRDefault="00523CDB" w:rsidP="00523CDB">
      <w:pPr>
        <w:rPr>
          <w:lang w:val="ru-RU"/>
        </w:rPr>
      </w:pPr>
      <w:r w:rsidRPr="002B2BF7">
        <w:rPr>
          <w:lang w:val="ru-RU"/>
        </w:rPr>
        <w:lastRenderedPageBreak/>
        <w:t>16</w:t>
      </w:r>
      <w:r w:rsidRPr="002B2BF7">
        <w:rPr>
          <w:lang w:val="ru-RU"/>
        </w:rPr>
        <w:tab/>
      </w:r>
      <w:r w:rsidRPr="002B2BF7">
        <w:rPr>
          <w:rFonts w:eastAsia="Droid Sans"/>
          <w:lang w:val="ru-RU" w:eastAsia="zh-CN"/>
        </w:rPr>
        <w:t xml:space="preserve">содействовать развитию возможностей в области обучения и развития потенциала для подготовки лиц с ограниченными возможностями и лиц с особыми потребностями к использованию электросвязи/ИКТ в интересах их социально-экономического развития, в том числе с помощью курсов подготовки преподавателей и дистанционного обучения </w:t>
      </w:r>
      <w:r w:rsidRPr="002B2BF7">
        <w:rPr>
          <w:lang w:val="ru-RU"/>
        </w:rPr>
        <w:t>в целях создания более открытого общества;</w:t>
      </w:r>
    </w:p>
    <w:p w14:paraId="2745B56F" w14:textId="77777777" w:rsidR="00523CDB" w:rsidRPr="002B2BF7" w:rsidRDefault="00523CDB" w:rsidP="00523CDB">
      <w:pPr>
        <w:rPr>
          <w:lang w:val="ru-RU"/>
        </w:rPr>
      </w:pPr>
      <w:r w:rsidRPr="002B2BF7">
        <w:rPr>
          <w:lang w:val="ru-RU"/>
        </w:rPr>
        <w:t>17</w:t>
      </w:r>
      <w:r w:rsidRPr="002B2BF7">
        <w:rPr>
          <w:lang w:val="ru-RU"/>
        </w:rPr>
        <w:tab/>
        <w:t>создать механизмы распространения информации и повышения осведомленности, позволяющие людям с ограниченными возможностями узнавать о правах, которые могут им помочь, и о том, как требовать их соблюдения, а также о мерах политики, принимаемых в их интересах, современных ассистивных технологиях и специальном оборудовании для лиц с ограниченными возможностями, доступном на рынке,</w:t>
      </w:r>
    </w:p>
    <w:p w14:paraId="384E287C" w14:textId="77777777" w:rsidR="00523CDB" w:rsidRPr="002B2BF7" w:rsidRDefault="00523CDB" w:rsidP="00523CDB">
      <w:pPr>
        <w:pStyle w:val="Call"/>
        <w:rPr>
          <w:lang w:val="ru-RU"/>
        </w:rPr>
      </w:pPr>
      <w:r w:rsidRPr="002B2BF7">
        <w:rPr>
          <w:lang w:val="ru-RU"/>
        </w:rPr>
        <w:t>предлагает Членам Сектора</w:t>
      </w:r>
    </w:p>
    <w:p w14:paraId="2973E9A0" w14:textId="77777777" w:rsidR="00523CDB" w:rsidRPr="002B2BF7" w:rsidRDefault="00523CDB" w:rsidP="00523CDB">
      <w:pPr>
        <w:rPr>
          <w:lang w:val="ru-RU"/>
        </w:rPr>
      </w:pPr>
      <w:r w:rsidRPr="002B2BF7">
        <w:rPr>
          <w:lang w:val="ru-RU"/>
        </w:rPr>
        <w:t>1</w:t>
      </w:r>
      <w:r w:rsidRPr="002B2BF7">
        <w:rPr>
          <w:lang w:val="ru-RU"/>
        </w:rPr>
        <w:tab/>
        <w:t>учитывать соображения доступности, в том числе принятие подхода, основанного на саморегулировании, при осуществлении своей деятельности в области электросвязи/ИКТ;</w:t>
      </w:r>
    </w:p>
    <w:p w14:paraId="5ED66B07" w14:textId="77777777" w:rsidR="00523CDB" w:rsidRPr="002B2BF7" w:rsidRDefault="00523CDB" w:rsidP="00523CDB">
      <w:pPr>
        <w:rPr>
          <w:lang w:val="ru-RU"/>
        </w:rPr>
      </w:pPr>
      <w:r w:rsidRPr="002B2BF7">
        <w:rPr>
          <w:lang w:val="ru-RU"/>
        </w:rPr>
        <w:t>2</w:t>
      </w:r>
      <w:r w:rsidRPr="002B2BF7">
        <w:rPr>
          <w:lang w:val="ru-RU"/>
        </w:rPr>
        <w:tab/>
        <w:t>принять принцип универсального дизайна на раннем этапе проектирования, производства и создания оборудования, услуг, программного обеспечения и приложений электросвязи/ИКТ во избежание принятия дорогостоящих мер по их адаптации для лиц с ограниченными возможностями и лиц с особыми потребностями;</w:t>
      </w:r>
    </w:p>
    <w:p w14:paraId="62D4C575" w14:textId="77777777" w:rsidR="00523CDB" w:rsidRPr="002B2BF7" w:rsidRDefault="00523CDB" w:rsidP="00523CDB">
      <w:pPr>
        <w:rPr>
          <w:lang w:val="ru-RU"/>
        </w:rPr>
      </w:pPr>
      <w:r w:rsidRPr="002B2BF7">
        <w:rPr>
          <w:lang w:val="ru-RU"/>
        </w:rPr>
        <w:t>3</w:t>
      </w:r>
      <w:r w:rsidRPr="002B2BF7">
        <w:rPr>
          <w:lang w:val="ru-RU"/>
        </w:rPr>
        <w:tab/>
        <w:t>содействовать проведению исследований и разработок доступных оборудования, услуг, программного обеспечения и приложений электросвязи/ИКТ с должным учетом приемлемости в ценовом отношении для лиц с ограниченными возможностями и лиц с особыми потребностями;</w:t>
      </w:r>
    </w:p>
    <w:p w14:paraId="17A7F226" w14:textId="77777777" w:rsidR="00523CDB" w:rsidRPr="002B2BF7" w:rsidRDefault="00523CDB" w:rsidP="00523CDB">
      <w:pPr>
        <w:rPr>
          <w:lang w:val="ru-RU"/>
        </w:rPr>
      </w:pPr>
      <w:r w:rsidRPr="002B2BF7">
        <w:rPr>
          <w:lang w:val="ru-RU"/>
        </w:rPr>
        <w:t>4</w:t>
      </w:r>
      <w:r w:rsidRPr="002B2BF7">
        <w:rPr>
          <w:lang w:val="ru-RU"/>
        </w:rPr>
        <w:tab/>
        <w:t>осуществлять сотрудничество с Государствами-Членами по вопросам доступности электросвязи/ИКТ для обмена передовым опытом и практиками;</w:t>
      </w:r>
    </w:p>
    <w:p w14:paraId="21014AB6" w14:textId="77777777" w:rsidR="00523CDB" w:rsidRPr="002B2BF7" w:rsidRDefault="00523CDB" w:rsidP="00523CDB">
      <w:pPr>
        <w:rPr>
          <w:lang w:val="ru-RU"/>
        </w:rPr>
      </w:pPr>
      <w:r w:rsidRPr="002B2BF7">
        <w:rPr>
          <w:lang w:val="ru-RU"/>
        </w:rPr>
        <w:t>5</w:t>
      </w:r>
      <w:r w:rsidRPr="002B2BF7">
        <w:rPr>
          <w:lang w:val="ru-RU"/>
        </w:rPr>
        <w:tab/>
        <w:t>сотрудничать с Государствами-Членами для распространения информации и повышения осведомленности, с тем чтобы люди с ограниченными возможностями могли узнавать о современных ассистивных технологиях и специальном оборудовании для лиц с ограниченными возможностями, доступном на рынке.</w:t>
      </w:r>
    </w:p>
    <w:p w14:paraId="499BF6B7" w14:textId="77777777" w:rsidR="00523CDB" w:rsidRPr="002B2BF7" w:rsidRDefault="00523CDB" w:rsidP="00523CDB">
      <w:pPr>
        <w:pStyle w:val="Reasons"/>
        <w:rPr>
          <w:lang w:val="ru-RU"/>
        </w:rPr>
      </w:pPr>
    </w:p>
    <w:p w14:paraId="7F54B912" w14:textId="77777777" w:rsidR="00523CDB" w:rsidRPr="002B2BF7" w:rsidRDefault="00523CDB" w:rsidP="00523CDB">
      <w:pPr>
        <w:pStyle w:val="Reasons"/>
        <w:rPr>
          <w:lang w:val="ru-RU"/>
        </w:rPr>
      </w:pPr>
    </w:p>
    <w:p w14:paraId="704CEBA3" w14:textId="77777777" w:rsidR="00523CDB" w:rsidRPr="002B2BF7" w:rsidRDefault="00523CDB" w:rsidP="00523CDB">
      <w:pPr>
        <w:pStyle w:val="Reasons"/>
        <w:rPr>
          <w:lang w:val="ru-RU"/>
        </w:rPr>
      </w:pPr>
    </w:p>
    <w:p w14:paraId="3FBB6BCD" w14:textId="77777777" w:rsidR="00E45F09" w:rsidRPr="00523CDB" w:rsidRDefault="00E45F09" w:rsidP="00523CDB">
      <w:pPr>
        <w:rPr>
          <w:lang w:val="ru-RU"/>
        </w:rPr>
      </w:pPr>
    </w:p>
    <w:sectPr w:rsidR="00E45F09" w:rsidRPr="00523CDB" w:rsidSect="003E584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AEC4" w14:textId="77777777" w:rsidR="003E584B" w:rsidRDefault="003E584B" w:rsidP="003E584B">
      <w:pPr>
        <w:spacing w:before="0"/>
      </w:pPr>
      <w:r>
        <w:separator/>
      </w:r>
    </w:p>
  </w:endnote>
  <w:endnote w:type="continuationSeparator" w:id="0">
    <w:p w14:paraId="55BD7F9B" w14:textId="77777777" w:rsidR="003E584B" w:rsidRDefault="003E584B" w:rsidP="003E5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D65" w14:textId="77777777" w:rsidR="003E584B" w:rsidRDefault="003E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E26" w14:textId="77777777" w:rsidR="003E584B" w:rsidRDefault="003E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AEB" w14:textId="77777777" w:rsidR="003E584B" w:rsidRDefault="003E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8AD" w14:textId="77777777" w:rsidR="003E584B" w:rsidRDefault="003E584B" w:rsidP="003E584B">
      <w:pPr>
        <w:spacing w:before="0"/>
      </w:pPr>
      <w:r>
        <w:separator/>
      </w:r>
    </w:p>
  </w:footnote>
  <w:footnote w:type="continuationSeparator" w:id="0">
    <w:p w14:paraId="72557AB2" w14:textId="77777777" w:rsidR="003E584B" w:rsidRDefault="003E584B" w:rsidP="003E584B">
      <w:pPr>
        <w:spacing w:before="0"/>
      </w:pPr>
      <w:r>
        <w:continuationSeparator/>
      </w:r>
    </w:p>
  </w:footnote>
  <w:footnote w:id="1">
    <w:p w14:paraId="51F8AF0B" w14:textId="77777777" w:rsidR="00523CDB" w:rsidRPr="00903ED4" w:rsidRDefault="00523CDB" w:rsidP="00523CDB">
      <w:pPr>
        <w:pStyle w:val="FootnoteText"/>
        <w:rPr>
          <w:lang w:val="ru-RU"/>
        </w:rPr>
      </w:pPr>
      <w:r>
        <w:rPr>
          <w:rStyle w:val="FootnoteReference"/>
        </w:rPr>
        <w:footnoteRef/>
      </w:r>
      <w:r>
        <w:rPr>
          <w:lang w:val="ru-RU"/>
        </w:rPr>
        <w:tab/>
      </w:r>
      <w:r w:rsidRPr="00FE2866">
        <w:rPr>
          <w:lang w:val="ru-RU"/>
        </w:rPr>
        <w:t xml:space="preserve">Женевская декларация принципов, пункты 13 и 30; Женевский план действий, пункты 9 </w:t>
      </w:r>
      <w:r>
        <w:t>e</w:t>
      </w:r>
      <w:r w:rsidRPr="00FE2866">
        <w:rPr>
          <w:lang w:val="ru-RU"/>
        </w:rPr>
        <w:t xml:space="preserve">) и </w:t>
      </w:r>
      <w:r>
        <w:t>f</w:t>
      </w:r>
      <w:r w:rsidRPr="00FE2866">
        <w:rPr>
          <w:lang w:val="ru-RU"/>
        </w:rPr>
        <w:t>), 19 и 23; Тунисское обязательство, пункты</w:t>
      </w:r>
      <w:r>
        <w:t> </w:t>
      </w:r>
      <w:r w:rsidRPr="00FE2866">
        <w:rPr>
          <w:lang w:val="ru-RU"/>
        </w:rPr>
        <w:t>18 и 20; и Тунисская программа для информационного общества, пункты</w:t>
      </w:r>
      <w:r>
        <w:t> </w:t>
      </w:r>
      <w:r w:rsidRPr="00FE2866">
        <w:rPr>
          <w:lang w:val="ru-RU"/>
        </w:rPr>
        <w:t xml:space="preserve">90 </w:t>
      </w:r>
      <w:r>
        <w:t>c</w:t>
      </w:r>
      <w:r w:rsidRPr="00FE2866">
        <w:rPr>
          <w:lang w:val="ru-RU"/>
        </w:rPr>
        <w:t xml:space="preserve">) и </w:t>
      </w:r>
      <w:r>
        <w:t>e</w:t>
      </w:r>
      <w:r w:rsidRPr="00FE2866">
        <w:rPr>
          <w:lang w:val="ru-RU"/>
        </w:rPr>
        <w:t>).</w:t>
      </w:r>
    </w:p>
  </w:footnote>
  <w:footnote w:id="2">
    <w:p w14:paraId="4C602950" w14:textId="77777777" w:rsidR="00523CDB" w:rsidRPr="00903ED4" w:rsidRDefault="00523CDB" w:rsidP="00523CDB">
      <w:pPr>
        <w:pStyle w:val="FootnoteText"/>
        <w:rPr>
          <w:lang w:val="ru-RU"/>
        </w:rPr>
      </w:pPr>
      <w:r>
        <w:rPr>
          <w:rStyle w:val="FootnoteReference"/>
        </w:rPr>
        <w:footnoteRef/>
      </w:r>
      <w:r>
        <w:rPr>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14:paraId="201DC69E" w14:textId="77777777" w:rsidR="00523CDB" w:rsidRPr="00903ED4" w:rsidRDefault="00523CDB" w:rsidP="00523CDB">
      <w:pPr>
        <w:pStyle w:val="FootnoteText"/>
        <w:rPr>
          <w:lang w:val="ru-RU"/>
        </w:rPr>
      </w:pPr>
      <w:r>
        <w:rPr>
          <w:rStyle w:val="FootnoteReference"/>
        </w:rPr>
        <w:footnoteRef/>
      </w:r>
      <w:r>
        <w:rPr>
          <w:lang w:val="ru-RU"/>
        </w:rPr>
        <w:tab/>
      </w:r>
      <w:r w:rsidRPr="00FE2866">
        <w:rPr>
          <w:lang w:val="ru-RU"/>
        </w:rPr>
        <w:t xml:space="preserve">Услуги электросвязи по ретрансляции позволяют пользователям различных видов связи (например, текстовой, знаковой, речевой) взаимодействовать </w:t>
      </w:r>
      <w:r>
        <w:rPr>
          <w:lang w:val="ru-RU"/>
        </w:rPr>
        <w:t xml:space="preserve">благодаря </w:t>
      </w:r>
      <w:r w:rsidRPr="00FE2866">
        <w:rPr>
          <w:lang w:val="ru-RU"/>
        </w:rPr>
        <w:t>обеспечени</w:t>
      </w:r>
      <w:r>
        <w:rPr>
          <w:lang w:val="ru-RU"/>
        </w:rPr>
        <w:t>ю</w:t>
      </w:r>
      <w:r w:rsidRPr="00FE2866">
        <w:rPr>
          <w:lang w:val="ru-RU"/>
        </w:rPr>
        <w:t xml:space="preserve"> конвергенции между видами связи, обычно при помощи оператора-человека.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57714"/>
      <w:docPartObj>
        <w:docPartGallery w:val="Page Numbers (Top of Page)"/>
        <w:docPartUnique/>
      </w:docPartObj>
    </w:sdtPr>
    <w:sdtEndPr>
      <w:rPr>
        <w:noProof/>
        <w:szCs w:val="22"/>
      </w:rPr>
    </w:sdtEndPr>
    <w:sdtContent>
      <w:p w14:paraId="4EAB3C34" w14:textId="45A42174" w:rsidR="003E584B" w:rsidRPr="003E584B" w:rsidRDefault="003E584B" w:rsidP="003E584B">
        <w:pPr>
          <w:pStyle w:val="Header"/>
          <w:tabs>
            <w:tab w:val="clear" w:pos="4513"/>
            <w:tab w:val="left" w:pos="851"/>
          </w:tabs>
          <w:jc w:val="left"/>
          <w:rPr>
            <w:szCs w:val="22"/>
            <w:lang w:val="ru-RU"/>
          </w:rPr>
        </w:pPr>
        <w:r w:rsidRPr="00BF1EE0">
          <w:rPr>
            <w:szCs w:val="22"/>
          </w:rPr>
          <w:fldChar w:fldCharType="begin"/>
        </w:r>
        <w:r w:rsidRPr="00E3202A">
          <w:rPr>
            <w:szCs w:val="22"/>
            <w:lang w:val="ru-RU"/>
          </w:rPr>
          <w:instrText xml:space="preserve"> </w:instrText>
        </w:r>
        <w:r w:rsidRPr="00BF1EE0">
          <w:rPr>
            <w:szCs w:val="22"/>
          </w:rPr>
          <w:instrText>PAGE</w:instrText>
        </w:r>
        <w:r w:rsidRPr="00E3202A">
          <w:rPr>
            <w:szCs w:val="22"/>
            <w:lang w:val="ru-RU"/>
          </w:rPr>
          <w:instrText xml:space="preserve">   \* </w:instrText>
        </w:r>
        <w:r w:rsidRPr="00BF1EE0">
          <w:rPr>
            <w:szCs w:val="22"/>
          </w:rPr>
          <w:instrText>MERGEFORMAT</w:instrText>
        </w:r>
        <w:r w:rsidRPr="00E3202A">
          <w:rPr>
            <w:szCs w:val="22"/>
            <w:lang w:val="ru-RU"/>
          </w:rPr>
          <w:instrText xml:space="preserve"> </w:instrText>
        </w:r>
        <w:r w:rsidRPr="00BF1EE0">
          <w:rPr>
            <w:szCs w:val="22"/>
          </w:rPr>
          <w:fldChar w:fldCharType="separate"/>
        </w:r>
        <w:r w:rsidRPr="003E584B">
          <w:rPr>
            <w:szCs w:val="22"/>
            <w:lang w:val="ru-RU"/>
          </w:rPr>
          <w:t>144</w:t>
        </w:r>
        <w:r w:rsidRPr="00BF1EE0">
          <w:rPr>
            <w:noProof/>
            <w:szCs w:val="22"/>
          </w:rPr>
          <w:fldChar w:fldCharType="end"/>
        </w:r>
        <w:r w:rsidRPr="00E3202A">
          <w:rPr>
            <w:noProof/>
            <w:szCs w:val="22"/>
            <w:lang w:val="ru-RU"/>
          </w:rPr>
          <w:tab/>
        </w:r>
        <w:r w:rsidRPr="00E3202A">
          <w:rPr>
            <w:szCs w:val="22"/>
            <w:lang w:val="ru-RU"/>
          </w:rPr>
          <w:t xml:space="preserve">Заключительный отчет ВКРЭ-22 – Часть </w:t>
        </w:r>
        <w:r w:rsidRPr="00895A25">
          <w:rPr>
            <w:szCs w:val="22"/>
          </w:rPr>
          <w:t>IV</w:t>
        </w:r>
        <w:r w:rsidRPr="00E3202A">
          <w:rPr>
            <w:szCs w:val="22"/>
            <w:lang w:val="ru-RU"/>
          </w:rPr>
          <w:t xml:space="preserve"> – </w:t>
        </w:r>
        <w:r w:rsidRPr="00895A25">
          <w:rPr>
            <w:szCs w:val="22"/>
            <w:lang w:val="ru-RU"/>
          </w:rPr>
          <w:t>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523CDB">
          <w:rPr>
            <w:noProof/>
            <w:szCs w:val="22"/>
          </w:rPr>
          <w:t>58</w:t>
        </w:r>
        <w:r w:rsidRPr="00F910FE">
          <w:rPr>
            <w:szCs w:val="22"/>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0513" w14:textId="6AC8CE7D" w:rsidR="003E584B" w:rsidRPr="003E584B" w:rsidRDefault="003E584B" w:rsidP="003E584B">
    <w:pPr>
      <w:pStyle w:val="Header"/>
      <w:tabs>
        <w:tab w:val="clear" w:pos="4513"/>
        <w:tab w:val="clear" w:pos="9026"/>
        <w:tab w:val="right" w:pos="8789"/>
        <w:tab w:val="right" w:pos="9639"/>
      </w:tabs>
      <w:jc w:val="right"/>
      <w:rPr>
        <w:szCs w:val="22"/>
        <w:lang w:val="ru-RU"/>
      </w:rPr>
    </w:pPr>
    <w:r>
      <w:rPr>
        <w:szCs w:val="22"/>
      </w:rPr>
      <w:tab/>
    </w:r>
    <w:r w:rsidRPr="00E3202A">
      <w:rPr>
        <w:szCs w:val="22"/>
        <w:lang w:val="ru-RU"/>
      </w:rPr>
      <w:t xml:space="preserve">Заключительный отчет ВКРЭ-22 – Часть </w:t>
    </w:r>
    <w:r w:rsidRPr="00895A25">
      <w:rPr>
        <w:szCs w:val="22"/>
      </w:rPr>
      <w:t>IV</w:t>
    </w:r>
    <w:r w:rsidRPr="00895A25">
      <w:rPr>
        <w:szCs w:val="22"/>
        <w:lang w:val="ru-RU"/>
      </w:rPr>
      <w:t xml:space="preserve"> − 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523CDB">
      <w:rPr>
        <w:noProof/>
        <w:szCs w:val="22"/>
      </w:rPr>
      <w:t>58</w:t>
    </w:r>
    <w:r w:rsidRPr="00F910FE">
      <w:rPr>
        <w:szCs w:val="22"/>
        <w:lang w:val="ru-RU"/>
      </w:rPr>
      <w:fldChar w:fldCharType="end"/>
    </w:r>
    <w:r w:rsidRPr="00E3202A">
      <w:rPr>
        <w:szCs w:val="22"/>
        <w:lang w:val="ru-RU"/>
      </w:rPr>
      <w:tab/>
    </w:r>
    <w:r w:rsidRPr="00763A31">
      <w:fldChar w:fldCharType="begin"/>
    </w:r>
    <w:r w:rsidRPr="00E3202A">
      <w:rPr>
        <w:lang w:val="ru-RU"/>
      </w:rPr>
      <w:instrText xml:space="preserve"> </w:instrText>
    </w:r>
    <w:r w:rsidRPr="00763A31">
      <w:instrText>PAGE</w:instrText>
    </w:r>
    <w:r w:rsidRPr="00E3202A">
      <w:rPr>
        <w:lang w:val="ru-RU"/>
      </w:rPr>
      <w:instrText xml:space="preserve">   \* </w:instrText>
    </w:r>
    <w:r w:rsidRPr="00763A31">
      <w:instrText>MERGEFORMAT</w:instrText>
    </w:r>
    <w:r w:rsidRPr="00E3202A">
      <w:rPr>
        <w:lang w:val="ru-RU"/>
      </w:rPr>
      <w:instrText xml:space="preserve"> </w:instrText>
    </w:r>
    <w:r w:rsidRPr="00763A31">
      <w:fldChar w:fldCharType="separate"/>
    </w:r>
    <w:r w:rsidRPr="003E584B">
      <w:rPr>
        <w:lang w:val="ru-RU"/>
      </w:rPr>
      <w:t>143</w:t>
    </w:r>
    <w:r w:rsidRPr="00763A3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C37" w14:textId="77777777" w:rsidR="003E584B" w:rsidRDefault="003E5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B"/>
    <w:rsid w:val="000D1BE4"/>
    <w:rsid w:val="000F689C"/>
    <w:rsid w:val="00150FA6"/>
    <w:rsid w:val="00155E4F"/>
    <w:rsid w:val="001D38B0"/>
    <w:rsid w:val="00282B03"/>
    <w:rsid w:val="00373FF6"/>
    <w:rsid w:val="003E584B"/>
    <w:rsid w:val="004F44FF"/>
    <w:rsid w:val="00523CDB"/>
    <w:rsid w:val="006677D6"/>
    <w:rsid w:val="00686D9E"/>
    <w:rsid w:val="00791A97"/>
    <w:rsid w:val="009D3EFE"/>
    <w:rsid w:val="00B65A4E"/>
    <w:rsid w:val="00D90490"/>
    <w:rsid w:val="00DD3985"/>
    <w:rsid w:val="00E45F09"/>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872"/>
  <w15:chartTrackingRefBased/>
  <w15:docId w15:val="{5D9E5091-FCB2-40A4-8374-0543ED6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4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Calibri" w:eastAsia="Times New Roman" w:hAnsi="Calibri" w:cs="Times New Roman"/>
      <w:kern w:val="0"/>
      <w:sz w:val="24"/>
      <w:szCs w:val="20"/>
      <w14:ligatures w14:val="none"/>
    </w:rPr>
  </w:style>
  <w:style w:type="paragraph" w:styleId="Heading2">
    <w:name w:val="heading 2"/>
    <w:basedOn w:val="Normal"/>
    <w:next w:val="Normal"/>
    <w:link w:val="Heading2Char"/>
    <w:uiPriority w:val="9"/>
    <w:semiHidden/>
    <w:unhideWhenUsed/>
    <w:qFormat/>
    <w:rsid w:val="003E58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E584B"/>
    <w:pPr>
      <w:keepNext/>
      <w:keepLines/>
      <w:spacing w:before="160"/>
      <w:ind w:left="1134"/>
    </w:pPr>
    <w:rPr>
      <w:i/>
    </w:rPr>
  </w:style>
  <w:style w:type="paragraph" w:customStyle="1" w:styleId="Normalaftertitle">
    <w:name w:val="Normal after title"/>
    <w:basedOn w:val="Normal"/>
    <w:next w:val="Normal"/>
    <w:link w:val="NormalaftertitleChar"/>
    <w:rsid w:val="003E584B"/>
    <w:pPr>
      <w:spacing w:before="280"/>
    </w:pPr>
  </w:style>
  <w:style w:type="character" w:customStyle="1" w:styleId="NormalaftertitleChar">
    <w:name w:val="Normal after title Char"/>
    <w:basedOn w:val="DefaultParagraphFont"/>
    <w:link w:val="Normalaftertitle"/>
    <w:locked/>
    <w:rsid w:val="003E584B"/>
    <w:rPr>
      <w:rFonts w:ascii="Calibri" w:eastAsia="Times New Roman" w:hAnsi="Calibri" w:cs="Times New Roman"/>
      <w:kern w:val="0"/>
      <w:sz w:val="24"/>
      <w:szCs w:val="20"/>
      <w14:ligatures w14:val="none"/>
    </w:rPr>
  </w:style>
  <w:style w:type="paragraph" w:customStyle="1" w:styleId="Reasons">
    <w:name w:val="Reasons"/>
    <w:basedOn w:val="Normal"/>
    <w:qFormat/>
    <w:rsid w:val="003E584B"/>
    <w:pPr>
      <w:tabs>
        <w:tab w:val="clear" w:pos="2268"/>
        <w:tab w:val="left" w:pos="1588"/>
        <w:tab w:val="left" w:pos="1985"/>
      </w:tabs>
    </w:pPr>
  </w:style>
  <w:style w:type="paragraph" w:customStyle="1" w:styleId="ResNo">
    <w:name w:val="Res_No"/>
    <w:basedOn w:val="Heading2"/>
    <w:next w:val="Normal"/>
    <w:link w:val="ResNoChar"/>
    <w:rsid w:val="003E584B"/>
    <w:pPr>
      <w:spacing w:before="200"/>
      <w:ind w:left="1134" w:hanging="1134"/>
      <w:jc w:val="center"/>
      <w:outlineLvl w:val="0"/>
    </w:pPr>
    <w:rPr>
      <w:rFonts w:ascii="Calibri" w:eastAsia="Times New Roman" w:hAnsi="Calibri" w:cs="Times New Roman"/>
      <w:color w:val="auto"/>
      <w:sz w:val="28"/>
      <w:szCs w:val="20"/>
    </w:rPr>
  </w:style>
  <w:style w:type="paragraph" w:customStyle="1" w:styleId="Restitle">
    <w:name w:val="Res_title"/>
    <w:basedOn w:val="Heading2"/>
    <w:next w:val="Normal"/>
    <w:link w:val="RestitleChar"/>
    <w:rsid w:val="003E584B"/>
    <w:pPr>
      <w:tabs>
        <w:tab w:val="clear" w:pos="1134"/>
        <w:tab w:val="clear" w:pos="1871"/>
        <w:tab w:val="clear" w:pos="2268"/>
      </w:tabs>
      <w:spacing w:before="200"/>
      <w:jc w:val="center"/>
    </w:pPr>
    <w:rPr>
      <w:rFonts w:ascii="Calibri" w:eastAsia="Times New Roman" w:hAnsi="Calibri" w:cs="Times New Roman"/>
      <w:b/>
      <w:color w:val="auto"/>
      <w:sz w:val="28"/>
      <w:szCs w:val="20"/>
    </w:rPr>
  </w:style>
  <w:style w:type="character" w:customStyle="1" w:styleId="href">
    <w:name w:val="href"/>
    <w:basedOn w:val="DefaultParagraphFont"/>
    <w:rsid w:val="003E584B"/>
    <w:rPr>
      <w:color w:val="auto"/>
    </w:rPr>
  </w:style>
  <w:style w:type="character" w:customStyle="1" w:styleId="CallChar">
    <w:name w:val="Call Char"/>
    <w:basedOn w:val="DefaultParagraphFont"/>
    <w:link w:val="Call"/>
    <w:locked/>
    <w:rsid w:val="003E584B"/>
    <w:rPr>
      <w:rFonts w:ascii="Calibri" w:eastAsia="Times New Roman" w:hAnsi="Calibri" w:cs="Times New Roman"/>
      <w:i/>
      <w:kern w:val="0"/>
      <w:sz w:val="24"/>
      <w:szCs w:val="20"/>
      <w14:ligatures w14:val="none"/>
    </w:rPr>
  </w:style>
  <w:style w:type="character" w:customStyle="1" w:styleId="ResNoChar">
    <w:name w:val="Res_No Char"/>
    <w:basedOn w:val="DefaultParagraphFont"/>
    <w:link w:val="ResNo"/>
    <w:rsid w:val="003E584B"/>
    <w:rPr>
      <w:rFonts w:ascii="Calibri" w:eastAsia="Times New Roman" w:hAnsi="Calibri" w:cs="Times New Roman"/>
      <w:kern w:val="0"/>
      <w:sz w:val="28"/>
      <w:szCs w:val="20"/>
      <w14:ligatures w14:val="none"/>
    </w:rPr>
  </w:style>
  <w:style w:type="character" w:customStyle="1" w:styleId="RestitleChar">
    <w:name w:val="Res_title Char"/>
    <w:basedOn w:val="DefaultParagraphFont"/>
    <w:link w:val="Restitle"/>
    <w:rsid w:val="003E584B"/>
    <w:rPr>
      <w:rFonts w:ascii="Calibri" w:eastAsia="Times New Roman" w:hAnsi="Calibri" w:cs="Times New Roman"/>
      <w:b/>
      <w:kern w:val="0"/>
      <w:sz w:val="28"/>
      <w:szCs w:val="20"/>
      <w14:ligatures w14:val="none"/>
    </w:rPr>
  </w:style>
  <w:style w:type="character" w:customStyle="1" w:styleId="Heading2Char">
    <w:name w:val="Heading 2 Char"/>
    <w:basedOn w:val="DefaultParagraphFont"/>
    <w:link w:val="Heading2"/>
    <w:uiPriority w:val="9"/>
    <w:semiHidden/>
    <w:rsid w:val="003E584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3E584B"/>
    <w:pPr>
      <w:tabs>
        <w:tab w:val="clear" w:pos="1134"/>
        <w:tab w:val="clear" w:pos="1871"/>
        <w:tab w:val="clear" w:pos="2268"/>
        <w:tab w:val="center" w:pos="4513"/>
        <w:tab w:val="right" w:pos="9026"/>
      </w:tabs>
      <w:spacing w:before="0"/>
    </w:pPr>
    <w:rPr>
      <w:sz w:val="18"/>
    </w:rPr>
  </w:style>
  <w:style w:type="character" w:customStyle="1" w:styleId="HeaderChar">
    <w:name w:val="Header Char"/>
    <w:basedOn w:val="DefaultParagraphFont"/>
    <w:link w:val="Header"/>
    <w:uiPriority w:val="99"/>
    <w:rsid w:val="003E584B"/>
    <w:rPr>
      <w:rFonts w:ascii="Calibri" w:eastAsia="Times New Roman" w:hAnsi="Calibri" w:cs="Times New Roman"/>
      <w:kern w:val="0"/>
      <w:sz w:val="18"/>
      <w:szCs w:val="20"/>
      <w14:ligatures w14:val="none"/>
    </w:rPr>
  </w:style>
  <w:style w:type="paragraph" w:styleId="Footer">
    <w:name w:val="footer"/>
    <w:basedOn w:val="Normal"/>
    <w:link w:val="FooterChar"/>
    <w:uiPriority w:val="99"/>
    <w:unhideWhenUsed/>
    <w:rsid w:val="003E584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E584B"/>
    <w:rPr>
      <w:rFonts w:ascii="Calibri" w:eastAsia="Times New Roman" w:hAnsi="Calibri" w:cs="Times New Roman"/>
      <w:kern w:val="0"/>
      <w:sz w:val="24"/>
      <w:szCs w:val="20"/>
      <w14:ligatures w14:val="none"/>
    </w:rPr>
  </w:style>
  <w:style w:type="paragraph" w:customStyle="1" w:styleId="Normalcenteraligned">
    <w:name w:val="Normal center aligned"/>
    <w:basedOn w:val="Normal"/>
    <w:rsid w:val="000D1BE4"/>
    <w:pPr>
      <w:jc w:val="center"/>
    </w:pPr>
    <w:rPr>
      <w:rFonts w:eastAsia="SimSun"/>
    </w:rPr>
  </w:style>
  <w:style w:type="character" w:styleId="FootnoteReference">
    <w:name w:val="footnote reference"/>
    <w:basedOn w:val="DefaultParagraphFont"/>
    <w:rsid w:val="00791A97"/>
    <w:rPr>
      <w:rFonts w:asciiTheme="minorHAnsi" w:hAnsiTheme="minorHAnsi"/>
      <w:position w:val="6"/>
      <w:sz w:val="18"/>
    </w:rPr>
  </w:style>
  <w:style w:type="paragraph" w:styleId="FootnoteText">
    <w:name w:val="footnote text"/>
    <w:basedOn w:val="Normal"/>
    <w:link w:val="FootnoteTextChar"/>
    <w:rsid w:val="00791A97"/>
    <w:pPr>
      <w:keepLines/>
      <w:tabs>
        <w:tab w:val="left" w:pos="255"/>
      </w:tabs>
    </w:pPr>
    <w:rPr>
      <w:sz w:val="22"/>
    </w:rPr>
  </w:style>
  <w:style w:type="character" w:customStyle="1" w:styleId="FootnoteTextChar">
    <w:name w:val="Footnote Text Char"/>
    <w:basedOn w:val="DefaultParagraphFont"/>
    <w:link w:val="FootnoteText"/>
    <w:rsid w:val="00791A97"/>
    <w:rPr>
      <w:rFonts w:ascii="Calibri" w:eastAsia="Times New Roman" w:hAnsi="Calibri" w:cs="Times New Roman"/>
      <w:kern w:val="0"/>
      <w:szCs w:val="20"/>
      <w14:ligatures w14:val="none"/>
    </w:rPr>
  </w:style>
  <w:style w:type="paragraph" w:customStyle="1" w:styleId="enumlev1">
    <w:name w:val="enumlev1"/>
    <w:basedOn w:val="Normal"/>
    <w:link w:val="enumlev1Char"/>
    <w:rsid w:val="00373FF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373FF6"/>
    <w:rPr>
      <w:rFonts w:ascii="Calibri" w:eastAsia="Times New Roman" w:hAnsi="Calibri" w:cs="Times New Roman"/>
      <w:kern w:val="0"/>
      <w:sz w:val="24"/>
      <w:szCs w:val="20"/>
      <w14:ligatures w14:val="none"/>
    </w:rPr>
  </w:style>
  <w:style w:type="paragraph" w:customStyle="1" w:styleId="Note">
    <w:name w:val="Note"/>
    <w:basedOn w:val="Normal"/>
    <w:next w:val="Normal"/>
    <w:rsid w:val="006677D6"/>
    <w:pPr>
      <w:tabs>
        <w:tab w:val="left" w:pos="284"/>
      </w:tabs>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771-F19C-48C8-A8DF-69AD9E90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3607</Words>
  <Characters>20565</Characters>
  <Application>Microsoft Office Word</Application>
  <DocSecurity>0</DocSecurity>
  <Lines>171</Lines>
  <Paragraphs>48</Paragraphs>
  <ScaleCrop>false</ScaleCrop>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Berdyeva, Elena</dc:creator>
  <cp:keywords/>
  <dc:description/>
  <cp:lastModifiedBy>Berdyeva, Elena</cp:lastModifiedBy>
  <cp:revision>15</cp:revision>
  <dcterms:created xsi:type="dcterms:W3CDTF">2023-10-16T12:49:00Z</dcterms:created>
  <dcterms:modified xsi:type="dcterms:W3CDTF">2023-10-16T13:14:00Z</dcterms:modified>
</cp:coreProperties>
</file>