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D99F" w14:textId="5880A40A" w:rsidR="00DC3CAE" w:rsidRPr="003C0233" w:rsidRDefault="00DC3CAE" w:rsidP="00DC3CAE">
      <w:pPr>
        <w:pStyle w:val="ResNo"/>
        <w:rPr>
          <w:rFonts w:eastAsia="Calibri"/>
          <w:lang w:val="es-ES_tradnl"/>
        </w:rPr>
      </w:pPr>
      <w:bookmarkStart w:id="0" w:name="_Toc227854955"/>
      <w:bookmarkStart w:id="1" w:name="_Toc227855271"/>
      <w:bookmarkStart w:id="2" w:name="_Toc227855482"/>
      <w:bookmarkStart w:id="3" w:name="_Toc227856246"/>
      <w:r w:rsidRPr="003C0233">
        <w:rPr>
          <w:rFonts w:eastAsia="Calibri"/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53</w:t>
      </w:r>
      <w:r w:rsidRPr="003C0233">
        <w:rPr>
          <w:rFonts w:eastAsia="Calibri"/>
          <w:lang w:val="es-ES_tradnl"/>
        </w:rPr>
        <w:t xml:space="preserve"> (Rev. Dubái, 2014)</w:t>
      </w:r>
      <w:bookmarkEnd w:id="0"/>
      <w:bookmarkEnd w:id="1"/>
      <w:bookmarkEnd w:id="2"/>
      <w:bookmarkEnd w:id="3"/>
    </w:p>
    <w:p w14:paraId="6E29952E" w14:textId="5E965F54" w:rsidR="00DC3CAE" w:rsidRPr="003C0233" w:rsidRDefault="00DC3CAE" w:rsidP="00DC3CAE">
      <w:pPr>
        <w:pStyle w:val="Restitle"/>
        <w:rPr>
          <w:rFonts w:eastAsia="SimSun"/>
          <w:lang w:val="es-ES_tradnl"/>
        </w:rPr>
      </w:pPr>
      <w:bookmarkStart w:id="4" w:name="_Toc227854956"/>
      <w:bookmarkStart w:id="5" w:name="_Toc227855272"/>
      <w:bookmarkStart w:id="6" w:name="_Toc227855483"/>
      <w:bookmarkStart w:id="7" w:name="_Toc227856247"/>
      <w:r w:rsidRPr="003C0233">
        <w:rPr>
          <w:lang w:val="es-ES_tradnl"/>
        </w:rPr>
        <w:t>Marco estratégico y financiero para la elaboración</w:t>
      </w:r>
      <w:r w:rsidR="00A4058F" w:rsidRPr="003C0233">
        <w:rPr>
          <w:lang w:val="es-ES_tradnl"/>
        </w:rPr>
        <w:t xml:space="preserve">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y ejecución del Plan de Acción de Dubái</w:t>
      </w:r>
      <w:bookmarkEnd w:id="4"/>
      <w:bookmarkEnd w:id="5"/>
      <w:bookmarkEnd w:id="6"/>
      <w:bookmarkEnd w:id="7"/>
    </w:p>
    <w:p w14:paraId="5B75E094" w14:textId="77777777" w:rsidR="006A5072" w:rsidRPr="003C0233" w:rsidRDefault="006A5072" w:rsidP="006A5072">
      <w:pPr>
        <w:pStyle w:val="Normalcenteraligned"/>
        <w:jc w:val="center"/>
      </w:pPr>
    </w:p>
    <w:p w14:paraId="7C2D2D8F" w14:textId="715B6D1D" w:rsidR="004C5787" w:rsidRDefault="004C5787" w:rsidP="006A5072">
      <w:pPr>
        <w:pStyle w:val="Normalcenteraligned"/>
        <w:jc w:val="center"/>
        <w:rPr>
          <w:rStyle w:val="Red"/>
          <w:color w:val="FF0000"/>
          <w:lang w:val="es-ES_tradnl"/>
        </w:rPr>
      </w:pPr>
      <w:r w:rsidRPr="003C0233">
        <w:rPr>
          <w:rStyle w:val="Red"/>
          <w:color w:val="FF0000"/>
          <w:lang w:val="es-ES_tradnl"/>
        </w:rPr>
        <w:t>(Abrogada por la CMDT-25)</w:t>
      </w:r>
    </w:p>
    <w:p w14:paraId="7D409DC5" w14:textId="77777777" w:rsidR="003C0631" w:rsidRDefault="003C0631" w:rsidP="003C0631">
      <w:pPr>
        <w:rPr>
          <w:rStyle w:val="Red"/>
          <w:lang w:val="es-ES_tradnl"/>
        </w:rPr>
      </w:pPr>
    </w:p>
    <w:p w14:paraId="678B150C" w14:textId="77777777" w:rsidR="003C0631" w:rsidRDefault="003C0631" w:rsidP="003C0631">
      <w:pPr>
        <w:rPr>
          <w:rStyle w:val="Red"/>
          <w:lang w:val="es-ES_tradnl"/>
        </w:rPr>
      </w:pPr>
    </w:p>
    <w:p w14:paraId="44BBDECC" w14:textId="77777777" w:rsidR="003C0631" w:rsidRDefault="003C0631" w:rsidP="003C0631">
      <w:pPr>
        <w:rPr>
          <w:rStyle w:val="Red"/>
          <w:lang w:val="es-ES_tradnl"/>
        </w:rPr>
      </w:pPr>
    </w:p>
    <w:p w14:paraId="3AA1CD88" w14:textId="77777777" w:rsidR="003C0631" w:rsidRDefault="003C0631" w:rsidP="003C0631">
      <w:pPr>
        <w:rPr>
          <w:rStyle w:val="Red"/>
          <w:lang w:val="es-ES_tradnl"/>
        </w:rPr>
      </w:pPr>
    </w:p>
    <w:p w14:paraId="568F9813" w14:textId="77777777" w:rsidR="003C0631" w:rsidRDefault="003C0631" w:rsidP="003C0631">
      <w:pPr>
        <w:rPr>
          <w:rStyle w:val="Red"/>
          <w:lang w:val="es-ES_tradnl"/>
        </w:rPr>
      </w:pPr>
    </w:p>
    <w:p w14:paraId="2605CF49" w14:textId="77777777" w:rsidR="003C0631" w:rsidRDefault="003C0631" w:rsidP="003C0631">
      <w:pPr>
        <w:rPr>
          <w:rStyle w:val="Red"/>
          <w:lang w:val="es-ES_tradnl"/>
        </w:rPr>
      </w:pPr>
    </w:p>
    <w:p w14:paraId="0B26FD42" w14:textId="77777777" w:rsidR="003C0631" w:rsidRDefault="003C0631" w:rsidP="003C0631">
      <w:pPr>
        <w:rPr>
          <w:rStyle w:val="Red"/>
          <w:lang w:val="es-ES_tradnl"/>
        </w:rPr>
      </w:pPr>
    </w:p>
    <w:p w14:paraId="1CD494C7" w14:textId="77777777" w:rsidR="003C0631" w:rsidRDefault="003C0631" w:rsidP="003C0631">
      <w:pPr>
        <w:rPr>
          <w:rStyle w:val="Red"/>
          <w:lang w:val="es-ES_tradnl"/>
        </w:rPr>
      </w:pPr>
    </w:p>
    <w:p w14:paraId="4ABD4E45" w14:textId="77777777" w:rsidR="003C0631" w:rsidRDefault="003C0631" w:rsidP="003C0631">
      <w:pPr>
        <w:rPr>
          <w:rStyle w:val="Red"/>
          <w:lang w:val="es-ES_tradnl"/>
        </w:rPr>
      </w:pPr>
    </w:p>
    <w:p w14:paraId="092D6A5A" w14:textId="77777777" w:rsidR="003C0631" w:rsidRDefault="003C0631" w:rsidP="003C0631">
      <w:pPr>
        <w:rPr>
          <w:rStyle w:val="Red"/>
          <w:lang w:val="es-ES_tradnl"/>
        </w:rPr>
      </w:pPr>
    </w:p>
    <w:p w14:paraId="27032648" w14:textId="77777777" w:rsidR="003C0631" w:rsidRDefault="003C0631" w:rsidP="003C0631">
      <w:pPr>
        <w:rPr>
          <w:rStyle w:val="Red"/>
          <w:lang w:val="es-ES_tradnl"/>
        </w:rPr>
      </w:pPr>
    </w:p>
    <w:p w14:paraId="4062F943" w14:textId="77777777" w:rsidR="003C0631" w:rsidRDefault="003C0631" w:rsidP="003C0631">
      <w:pPr>
        <w:rPr>
          <w:rStyle w:val="Red"/>
          <w:lang w:val="es-ES_tradnl"/>
        </w:rPr>
      </w:pPr>
    </w:p>
    <w:p w14:paraId="3DEC9536" w14:textId="77777777" w:rsidR="003C0631" w:rsidRDefault="003C0631" w:rsidP="003C0631">
      <w:pPr>
        <w:rPr>
          <w:rStyle w:val="Red"/>
          <w:lang w:val="es-ES_tradnl"/>
        </w:rPr>
      </w:pPr>
    </w:p>
    <w:p w14:paraId="02221A18" w14:textId="77777777" w:rsidR="003C0631" w:rsidRDefault="003C0631" w:rsidP="003C0631">
      <w:pPr>
        <w:rPr>
          <w:rStyle w:val="Red"/>
          <w:lang w:val="es-ES_tradnl"/>
        </w:rPr>
      </w:pPr>
    </w:p>
    <w:p w14:paraId="19016FB5" w14:textId="77777777" w:rsidR="003C0631" w:rsidRDefault="003C0631" w:rsidP="003C0631">
      <w:pPr>
        <w:rPr>
          <w:rStyle w:val="Red"/>
          <w:lang w:val="es-ES_tradnl"/>
        </w:rPr>
      </w:pPr>
    </w:p>
    <w:p w14:paraId="645FB230" w14:textId="77777777" w:rsidR="003C0631" w:rsidRDefault="003C0631" w:rsidP="003C0631">
      <w:pPr>
        <w:rPr>
          <w:rStyle w:val="Red"/>
          <w:lang w:val="es-ES_tradnl"/>
        </w:rPr>
      </w:pPr>
    </w:p>
    <w:p w14:paraId="33C3FA75" w14:textId="77777777" w:rsidR="003C0631" w:rsidRDefault="003C0631" w:rsidP="003C0631">
      <w:pPr>
        <w:rPr>
          <w:rStyle w:val="Red"/>
          <w:lang w:val="es-ES_tradnl"/>
        </w:rPr>
      </w:pPr>
    </w:p>
    <w:p w14:paraId="52F59C12" w14:textId="77777777" w:rsidR="003C0631" w:rsidRDefault="003C0631" w:rsidP="003C0631">
      <w:pPr>
        <w:rPr>
          <w:rStyle w:val="Red"/>
          <w:lang w:val="es-ES_tradnl"/>
        </w:rPr>
      </w:pPr>
    </w:p>
    <w:p w14:paraId="19C63BCA" w14:textId="77777777" w:rsidR="003C0631" w:rsidRPr="003C0631" w:rsidRDefault="003C0631" w:rsidP="003C0631">
      <w:pPr>
        <w:rPr>
          <w:rStyle w:val="Red"/>
          <w:lang w:val="es-ES_tradnl"/>
        </w:rPr>
      </w:pPr>
    </w:p>
    <w:sectPr w:rsidR="003C0631" w:rsidRPr="003C0631" w:rsidSect="003C0631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701" w:right="1701" w:bottom="1701" w:left="1701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50C0" w14:textId="77777777" w:rsidR="00007B90" w:rsidRDefault="00007B90">
      <w:r>
        <w:separator/>
      </w:r>
    </w:p>
  </w:endnote>
  <w:endnote w:type="continuationSeparator" w:id="0">
    <w:p w14:paraId="686FC458" w14:textId="77777777" w:rsidR="00007B90" w:rsidRDefault="0000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27840" w14:textId="77777777" w:rsidR="00007B90" w:rsidRDefault="00007B90">
      <w:r>
        <w:rPr>
          <w:b/>
        </w:rPr>
        <w:t>_______________</w:t>
      </w:r>
    </w:p>
  </w:footnote>
  <w:footnote w:type="continuationSeparator" w:id="0">
    <w:p w14:paraId="5E233C3D" w14:textId="77777777" w:rsidR="00007B90" w:rsidRDefault="00007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14737643"/>
      <w:docPartObj>
        <w:docPartGallery w:val="Page Numbers (Top of Page)"/>
        <w:docPartUnique/>
      </w:docPartObj>
    </w:sdtPr>
    <w:sdtEndPr/>
    <w:sdtContent>
      <w:p w14:paraId="6CB123AC" w14:textId="740B4093" w:rsidR="00544754" w:rsidRPr="003C0631" w:rsidRDefault="00544754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3C0631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3C0631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3C0631">
          <w:rPr>
            <w:sz w:val="16"/>
            <w:szCs w:val="16"/>
            <w:lang w:val="es-ES"/>
          </w:rPr>
          <w:tab/>
        </w:r>
        <w:r w:rsidRPr="003C0631">
          <w:rPr>
            <w:rFonts w:ascii="Calibri" w:hAnsi="Calibri"/>
            <w:sz w:val="16"/>
            <w:szCs w:val="16"/>
            <w:lang w:val="es-ES"/>
          </w:rPr>
          <w:t>Informe final de la CMDT-25 – Parte IV – Resolución 52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051188595"/>
      <w:docPartObj>
        <w:docPartGallery w:val="Page Numbers (Top of Page)"/>
        <w:docPartUnique/>
      </w:docPartObj>
    </w:sdtPr>
    <w:sdtEndPr/>
    <w:sdtContent>
      <w:p w14:paraId="7F0773E2" w14:textId="78804257" w:rsidR="00544754" w:rsidRPr="003C0631" w:rsidRDefault="00544754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3C0631">
          <w:rPr>
            <w:rFonts w:ascii="Calibri" w:hAnsi="Calibri"/>
            <w:sz w:val="16"/>
            <w:szCs w:val="16"/>
            <w:lang w:val="es-ES"/>
          </w:rPr>
          <w:t>Informe final de la CMDT-25 – Parte IV – Resolución 52</w:t>
        </w:r>
        <w:r w:rsidRPr="003C0631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3C0631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3C0631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924880755"/>
      <w:docPartObj>
        <w:docPartGallery w:val="Page Numbers (Top of Page)"/>
        <w:docPartUnique/>
      </w:docPartObj>
    </w:sdtPr>
    <w:sdtEndPr/>
    <w:sdtContent>
      <w:p w14:paraId="58EDD10D" w14:textId="4AD6F9A0" w:rsidR="00544754" w:rsidRPr="003C0631" w:rsidRDefault="00544754" w:rsidP="00544754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3C0631">
          <w:rPr>
            <w:rFonts w:ascii="Calibri" w:hAnsi="Calibri"/>
            <w:sz w:val="16"/>
            <w:szCs w:val="16"/>
            <w:lang w:val="es-ES"/>
          </w:rPr>
          <w:t>Informe final de la CMDT-25 – Parte IV – Resolución 53</w:t>
        </w:r>
        <w:r w:rsidRPr="003C0631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3C0631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3C0631">
          <w:rPr>
            <w:rFonts w:ascii="Calibri" w:hAnsi="Calibri"/>
            <w:sz w:val="16"/>
            <w:szCs w:val="16"/>
            <w:lang w:val="es-ES"/>
          </w:rPr>
          <w:t>405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B90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733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0631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1</Pages>
  <Words>27</Words>
  <Characters>144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53 (Rev. Dubái, 2014) Marco estratégico y financiero para la elaboración y ejecución del Plan de Acción de Dubái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2026-09-23T13:28:00Z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