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1D1B" w14:textId="77777777" w:rsidR="00125DCD" w:rsidRDefault="006E0A01" w:rsidP="00D53ED4">
      <w:pPr>
        <w:pStyle w:val="ResNo"/>
        <w:rPr>
          <w:rFonts w:eastAsia="Calibri"/>
          <w:lang w:val="es-ES_tradnl"/>
        </w:rPr>
      </w:pPr>
      <w:bookmarkStart w:id="0" w:name="_Toc116917015"/>
      <w:bookmarkStart w:id="1" w:name="_Toc116918584"/>
      <w:bookmarkStart w:id="2" w:name="_Toc116919075"/>
      <w:bookmarkStart w:id="3" w:name="_Toc116919562"/>
      <w:r w:rsidRPr="00E17456">
        <w:rPr>
          <w:rFonts w:eastAsia="Calibri"/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53</w:t>
      </w:r>
      <w:r w:rsidRPr="00E17456">
        <w:rPr>
          <w:rFonts w:eastAsia="Calibri"/>
          <w:lang w:val="es-ES_tradnl"/>
        </w:rPr>
        <w:t xml:space="preserve"> (Rev. Dubái, 2014)</w:t>
      </w:r>
      <w:bookmarkEnd w:id="0"/>
      <w:bookmarkEnd w:id="1"/>
      <w:bookmarkEnd w:id="2"/>
      <w:bookmarkEnd w:id="3"/>
      <w:r w:rsidR="00D53ED4">
        <w:rPr>
          <w:rFonts w:eastAsia="Calibri"/>
          <w:lang w:val="es-ES_tradnl"/>
        </w:rPr>
        <w:t xml:space="preserve"> </w:t>
      </w:r>
      <w:bookmarkStart w:id="4" w:name="_Toc116917016"/>
      <w:bookmarkStart w:id="5" w:name="_Toc116918585"/>
      <w:bookmarkStart w:id="6" w:name="_Toc116919076"/>
      <w:bookmarkStart w:id="7" w:name="_Toc116919563"/>
    </w:p>
    <w:p w14:paraId="5BA114B2" w14:textId="692F456F" w:rsidR="006E0A01" w:rsidRPr="00E17456" w:rsidRDefault="006E0A01" w:rsidP="00125DCD">
      <w:pPr>
        <w:pStyle w:val="Restitle"/>
        <w:rPr>
          <w:rFonts w:eastAsia="SimSun"/>
          <w:lang w:val="es-ES_tradnl"/>
        </w:rPr>
      </w:pPr>
      <w:r w:rsidRPr="00E17456">
        <w:rPr>
          <w:lang w:val="es-ES_tradnl"/>
        </w:rPr>
        <w:t>Marco estratégico y financiero para la elaboración</w:t>
      </w:r>
      <w:r w:rsidR="00D53ED4">
        <w:rPr>
          <w:lang w:val="es-ES_tradnl"/>
        </w:rPr>
        <w:t xml:space="preserve"> </w:t>
      </w:r>
      <w:r w:rsidR="00125DCD">
        <w:rPr>
          <w:lang w:val="es-ES_tradnl"/>
        </w:rPr>
        <w:br/>
      </w:r>
      <w:r w:rsidRPr="00E17456">
        <w:rPr>
          <w:lang w:val="es-ES_tradnl"/>
        </w:rPr>
        <w:t>y ejecución del Plan de Acción de Dubái</w:t>
      </w:r>
      <w:bookmarkEnd w:id="4"/>
      <w:bookmarkEnd w:id="5"/>
      <w:bookmarkEnd w:id="6"/>
      <w:bookmarkEnd w:id="7"/>
    </w:p>
    <w:p w14:paraId="4DA3D0F2" w14:textId="77777777" w:rsidR="006E0A01" w:rsidRPr="00E17456" w:rsidRDefault="006E0A01" w:rsidP="006E0A01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(Dubái, 2014),</w:t>
      </w:r>
    </w:p>
    <w:p w14:paraId="2093BD6A" w14:textId="77777777" w:rsidR="006E0A01" w:rsidRPr="00E17456" w:rsidRDefault="006E0A01" w:rsidP="006E0A01">
      <w:pPr>
        <w:pStyle w:val="Call"/>
        <w:rPr>
          <w:lang w:val="es-ES_tradnl"/>
        </w:rPr>
      </w:pPr>
      <w:r w:rsidRPr="00E17456">
        <w:rPr>
          <w:lang w:val="es-ES_tradnl"/>
        </w:rPr>
        <w:t>considerando</w:t>
      </w:r>
    </w:p>
    <w:p w14:paraId="5ED65BC1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 xml:space="preserve">que, de acuerdo con el número 118 de la Constitución de la UIT y el número 209 del Convenio de la UIT, las tareas de las Conferencias Mundiales de Desarrollo de las Telecomunicaciones (CMDT) deberán, entre otras cosas: i) establecer programas de trabajo </w:t>
      </w:r>
      <w:r w:rsidRPr="00E17456">
        <w:rPr>
          <w:spacing w:val="8"/>
          <w:lang w:val="es-ES_tradnl"/>
        </w:rPr>
        <w:t xml:space="preserve">y </w:t>
      </w:r>
      <w:r w:rsidRPr="00E17456">
        <w:rPr>
          <w:lang w:val="es-ES_tradnl"/>
        </w:rPr>
        <w:t xml:space="preserve">directrices para la definición de las cuestiones y las </w:t>
      </w:r>
      <w:r w:rsidRPr="00E17456">
        <w:rPr>
          <w:spacing w:val="4"/>
          <w:lang w:val="es-ES_tradnl"/>
        </w:rPr>
        <w:t>prioridades de desarrollo de las telecomunicaciones, y ii) proporcionar orientaciones y directrices</w:t>
      </w:r>
      <w:r w:rsidRPr="00E17456">
        <w:rPr>
          <w:lang w:val="es-ES_tradnl"/>
        </w:rPr>
        <w:t xml:space="preserve"> para el programa de trabajo del Sector de Desarrollo de las Telecomunicaciones de la UIT (UIT-D);</w:t>
      </w:r>
    </w:p>
    <w:p w14:paraId="608AE98E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la Resolución 71 (Rev. Guadalajara, 2010) de la Conferencia de Plenipotenciarios contiene el Plan Estratégico del UIT-D para el periodo 2012-2015 y define la meta y los objetivos estratégicos del UIT-D para dicho periodo;</w:t>
      </w:r>
    </w:p>
    <w:p w14:paraId="4C2EE2BF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en la Resolución 72 (Rev. Guadalajara, 2010) de la Conferencia de Plenipotenciarios se determinó que debe existir una vinculación entre los planes estratégicos, financieros y operativos de la UIT;</w:t>
      </w:r>
    </w:p>
    <w:p w14:paraId="3DBDA463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la Decisión 5 (Rev. Guadalajara, 2010) de la Conferencia de Plenipotenciarios, al definir los ingresos y gastos de la Unión para el periodo 2012-2015 y reconocer las limitaciones financieras actuales de la Unión, ha identificado en su Anexo 2 varias medidas de reducción de gastos para los tres sectores de la Unión,</w:t>
      </w:r>
    </w:p>
    <w:p w14:paraId="2F582C21" w14:textId="77777777" w:rsidR="006E0A01" w:rsidRPr="00E17456" w:rsidRDefault="006E0A01" w:rsidP="006E0A01">
      <w:pPr>
        <w:pStyle w:val="Call"/>
        <w:rPr>
          <w:lang w:val="es-ES_tradnl"/>
        </w:rPr>
      </w:pPr>
      <w:proofErr w:type="gramStart"/>
      <w:r w:rsidRPr="00E17456">
        <w:rPr>
          <w:lang w:val="es-ES_tradnl"/>
        </w:rPr>
        <w:t>considerando</w:t>
      </w:r>
      <w:proofErr w:type="gramEnd"/>
      <w:r w:rsidRPr="00E17456">
        <w:rPr>
          <w:lang w:val="es-ES_tradnl"/>
        </w:rPr>
        <w:t xml:space="preserve"> además</w:t>
      </w:r>
    </w:p>
    <w:p w14:paraId="64A1B05F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que, de conformidad con la Resolución 31 (Rev. Dubái, 2014) de la presente Conferencia, la identificación, el análisis y la elaboración de iniciativas y proyectos regionales en las reuniones preparatorias regionales constituyen una contribución clave a esta Conferencia;</w:t>
      </w:r>
    </w:p>
    <w:p w14:paraId="29F82A2B" w14:textId="77777777" w:rsidR="006E0A01" w:rsidRPr="00E17456" w:rsidRDefault="006E0A01" w:rsidP="006E0A01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30767E8D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b)</w:t>
      </w:r>
      <w:r w:rsidRPr="00E17456">
        <w:rPr>
          <w:lang w:val="es-ES_tradnl"/>
        </w:rPr>
        <w:tab/>
        <w:t>que en la Resolución 1358 (Consejo, 2013) se estableció el Grupo de Trabajo del Consejo para la elaboración del proyecto de Plan Estratégico y el proyecto de Plan Financiero de la Unión para el periodo 2016-2019 (GTC-PEPF) con el objetivo de brindar al Grupo Asesor de Desarrollo de las Telecomunicaciones y a esta Conferencia los principios, el glosario de términos, la estructura y las pautas para la elaboración del Plan Estratégico del UIT-D, basándose en una vinculación clara entre la planificación estratégica y operativa y la planificación financiera y presupuestaria,</w:t>
      </w:r>
    </w:p>
    <w:p w14:paraId="4CE1B346" w14:textId="77777777" w:rsidR="006E0A01" w:rsidRPr="00E17456" w:rsidRDefault="006E0A01" w:rsidP="006E0A01">
      <w:pPr>
        <w:pStyle w:val="Call"/>
        <w:rPr>
          <w:lang w:val="es-ES_tradnl"/>
        </w:rPr>
      </w:pPr>
      <w:r w:rsidRPr="00E17456">
        <w:rPr>
          <w:lang w:val="es-ES_tradnl"/>
        </w:rPr>
        <w:t>teniendo en cuenta</w:t>
      </w:r>
    </w:p>
    <w:p w14:paraId="09A76C49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en la Resolución 1359 (Consejo, 2013) se aprobó el presupuesto bienal de la UIT para el periodo 2014-2015, a fin de alcanzar la estabilidad financiera, cubrir las obligaciones a largo plazo no financiadas, preservar un patrimonio neto positivo y evitar la detracción de fondos de la Cuenta de Provisión;</w:t>
      </w:r>
    </w:p>
    <w:p w14:paraId="76F1D68D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aplicación continua en la UIT de la elaboración del presupuesto basada en resultados (PBR), cuya principal característica es la identificación de costos, objetivos, resultados previstos, indicadores de calidad y prioridades, presentada dentro del marco de productos bien definidos (definidos como productos o servicios de Sectores o intersectoriales proporcionados por la UIT),</w:t>
      </w:r>
    </w:p>
    <w:p w14:paraId="36C0DB9B" w14:textId="77777777" w:rsidR="006E0A01" w:rsidRPr="00E17456" w:rsidRDefault="006E0A01" w:rsidP="006E0A01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teniendo en </w:t>
      </w:r>
      <w:proofErr w:type="gramStart"/>
      <w:r w:rsidRPr="00E17456">
        <w:rPr>
          <w:lang w:val="es-ES_tradnl"/>
        </w:rPr>
        <w:t>cuenta</w:t>
      </w:r>
      <w:proofErr w:type="gramEnd"/>
      <w:r w:rsidRPr="00E17456">
        <w:rPr>
          <w:lang w:val="es-ES_tradnl"/>
        </w:rPr>
        <w:t xml:space="preserve"> además</w:t>
      </w:r>
    </w:p>
    <w:p w14:paraId="1FB590DE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el marco estratégico del Plan de Acción de Dubái se basa en:</w:t>
      </w:r>
    </w:p>
    <w:p w14:paraId="13835A09" w14:textId="77777777" w:rsidR="006E0A01" w:rsidRPr="00E17456" w:rsidRDefault="006E0A01" w:rsidP="006E0A01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las Resoluciones 71 (Rev. Guadalajara, 2010) y 72 (Rev. Guadalajara, 2010) de la Conferencia de Plenipotenciarios;</w:t>
      </w:r>
    </w:p>
    <w:p w14:paraId="3121C664" w14:textId="77777777" w:rsidR="006E0A01" w:rsidRPr="00E17456" w:rsidRDefault="006E0A01" w:rsidP="006E0A01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los objetivos estratégicos del UIT-D para el periodo 2016-2019 determinados por la presente Conferencia;</w:t>
      </w:r>
    </w:p>
    <w:p w14:paraId="77C4A9DD" w14:textId="77777777" w:rsidR="006E0A01" w:rsidRPr="00E17456" w:rsidRDefault="006E0A01" w:rsidP="006E0A01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el objetivo de cumplir con los mandatos del UIT-D, de conformidad con la Constitución de la UIT, evitando la duplicación de los esfuerzos realizados por los demás sectores y aplicando las metas estratégicas establecidas en el Plan Estratégico de la Unión para los periodos 2012-2015 y 2016-2019;</w:t>
      </w:r>
    </w:p>
    <w:p w14:paraId="4EB584B0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el marco financiero del Plan de Acción de Dubái se basa en:</w:t>
      </w:r>
    </w:p>
    <w:p w14:paraId="24B02217" w14:textId="77777777" w:rsidR="006E0A01" w:rsidRPr="00E17456" w:rsidRDefault="006E0A01" w:rsidP="006E0A01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la Decisión 5 (Rev. Guadalajara, 2010), especialmente en las medidas para la reducción de gastos identificadas en el Anexo 2;</w:t>
      </w:r>
    </w:p>
    <w:p w14:paraId="14189125" w14:textId="77777777" w:rsidR="006E0A01" w:rsidRPr="00E17456" w:rsidRDefault="006E0A01" w:rsidP="006E0A01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el presupuesto bienal aprobado de la Unión para el periodo 2014-2015 y las previsiones de ingresos y gastos para el periodo 2016-2017;</w:t>
      </w:r>
    </w:p>
    <w:p w14:paraId="0D84E22E" w14:textId="77777777" w:rsidR="006E0A01" w:rsidRPr="00E17456" w:rsidRDefault="006E0A01" w:rsidP="006E0A01">
      <w:pPr>
        <w:pStyle w:val="enumlev1"/>
        <w:rPr>
          <w:lang w:val="es-ES_tradnl"/>
        </w:rPr>
      </w:pPr>
      <w:r w:rsidRPr="00E17456">
        <w:rPr>
          <w:lang w:val="es-ES_tradnl"/>
        </w:rPr>
        <w:t>–</w:t>
      </w:r>
      <w:r w:rsidRPr="00E17456">
        <w:rPr>
          <w:lang w:val="es-ES_tradnl"/>
        </w:rPr>
        <w:tab/>
        <w:t>el objetivo de alcanzar la estabilidad financiera a largo plazo, preservando el patrimonio neto y evitando detraer fondos de la Cuenta de Reserva;</w:t>
      </w:r>
    </w:p>
    <w:p w14:paraId="3DE5B8DB" w14:textId="77777777" w:rsidR="006E0A01" w:rsidRPr="00E17456" w:rsidRDefault="006E0A01" w:rsidP="006E0A01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30F1819A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c)</w:t>
      </w:r>
      <w:r w:rsidRPr="00E17456">
        <w:rPr>
          <w:lang w:val="es-ES_tradnl"/>
        </w:rPr>
        <w:tab/>
        <w:t>que el Plan de Acción de Dubái define programas, objetivos, Iniciativas Regionales y resultados previstos que guardan relación con los principios, la terminología y la estructura del proyecto de Plan Estratégico del UIT-D para el periodo 2016-2019 elaborado por la presente Conferencia;</w:t>
      </w:r>
    </w:p>
    <w:p w14:paraId="3C05B4D5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el Plan de Acción de Dubái se elabora de conformidad con las metodologías de gestión/elaboración de presupuestos basadas en los resultados (GBR/PBR), a fin de garantizar que las actividades de alta prioridad cuenten con recursos suficientes para lograr los resultados previstos,</w:t>
      </w:r>
    </w:p>
    <w:p w14:paraId="41F71896" w14:textId="77777777" w:rsidR="006E0A01" w:rsidRPr="00E17456" w:rsidRDefault="006E0A01" w:rsidP="006E0A01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3F76F7BA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el proceso de revisión general de los resultados de la Cumbre Mundial sobre la Sociedad de la Información (CMSI), que tendrá lugar en 2014/2015;</w:t>
      </w:r>
    </w:p>
    <w:p w14:paraId="520A6E1D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en la Resolución 30 (Rev. Dubái, 2014) de la presente Conferencia se define la función del UIT-D para aplicar los resultados de la CMSI;</w:t>
      </w:r>
    </w:p>
    <w:p w14:paraId="752F3CAD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en la Resolución 140 (Rev. Guadalajara, 2010) de la Conferencia de Plenipotenciarios se resolvió que el UIT-D deberá conceder un alto grado de prioridad a la aplicación de la Línea de Acción C2 de la CMSI relativa a creación de infraestructura de información y comunicación;</w:t>
      </w:r>
    </w:p>
    <w:p w14:paraId="3037B980" w14:textId="77777777" w:rsidR="006E0A01" w:rsidRPr="00E17456" w:rsidRDefault="006E0A01" w:rsidP="006E0A01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 xml:space="preserve">que en la Resolución 1332 (Consejo, 2011) se encomendó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 (BDT) que tomara en cuenta las funciones de la UIT como principal facilitador de las Líneas de Acción C2, C5 y C6 de la CMSI, y cofacilitador de las Líneas de Acción C1, C3, C4, C7, C8, C9 y C11 en los preparativos de esta Conferencia,</w:t>
      </w:r>
    </w:p>
    <w:p w14:paraId="64D438B1" w14:textId="77777777" w:rsidR="006E0A01" w:rsidRPr="00E17456" w:rsidRDefault="006E0A01" w:rsidP="006E0A01">
      <w:pPr>
        <w:pStyle w:val="Call"/>
        <w:rPr>
          <w:lang w:val="es-ES_tradnl"/>
        </w:rPr>
      </w:pPr>
      <w:r w:rsidRPr="00E17456">
        <w:rPr>
          <w:lang w:val="es-ES_tradnl"/>
        </w:rPr>
        <w:t xml:space="preserve">resuelve encargar al </w:t>
      </w:r>
      <w:proofErr w:type="gramStart"/>
      <w:r w:rsidRPr="00E17456">
        <w:rPr>
          <w:lang w:val="es-ES_tradnl"/>
        </w:rPr>
        <w:t>Director</w:t>
      </w:r>
      <w:proofErr w:type="gramEnd"/>
      <w:r w:rsidRPr="00E17456">
        <w:rPr>
          <w:lang w:val="es-ES_tradnl"/>
        </w:rPr>
        <w:t xml:space="preserve"> de la Oficina de Desarrollo de las Telecomunicaciones</w:t>
      </w:r>
    </w:p>
    <w:p w14:paraId="3C8FCC4C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que, en la aplicación del Plan de Acción de Dubái:</w:t>
      </w:r>
    </w:p>
    <w:p w14:paraId="739D4BF5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brinde a las oficinas regionales y de zona de la UIT la asistencia necesaria para la ejecución cabal de las Iniciativas Regionales aprobadas por la presente Conferencia en la Resolución 17 (Rev. Dubái, 2014);</w:t>
      </w:r>
    </w:p>
    <w:p w14:paraId="7477F9BA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integre los mandatos aprobados por la Conferencia de Plenipotenciarios y el Consejo de la UIT para el UIT-D relativos a la aplicación de las Líneas de Acción de la CMSI, teniendo en cuenta los objetivos de desarrollo nacional establecidos por los Estados Miembros;</w:t>
      </w:r>
    </w:p>
    <w:p w14:paraId="39B43AFF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52482E2A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lastRenderedPageBreak/>
        <w:t>3</w:t>
      </w:r>
      <w:r w:rsidRPr="00E17456">
        <w:rPr>
          <w:lang w:val="es-ES_tradnl"/>
        </w:rPr>
        <w:tab/>
        <w:t>formule y organice las actividades y programas del Plan de Acción de Dubái de manera que facilite su evaluación, dada la necesidad crítica de asegurarse de que dichas actividades sean estudiadas de forma continua;</w:t>
      </w:r>
    </w:p>
    <w:p w14:paraId="361FDFD1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tenga en cuenta las restricciones en materia de recursos humanos y financieros que figuran en el presupuesto bienal para 2014-2015 y que está previsto que continúen en el próximo periodo de planificación financiera (2016</w:t>
      </w:r>
      <w:r w:rsidRPr="00E17456">
        <w:rPr>
          <w:lang w:val="es-ES_tradnl"/>
        </w:rPr>
        <w:noBreakHyphen/>
        <w:t>2019);</w:t>
      </w:r>
    </w:p>
    <w:p w14:paraId="7FDA379A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5</w:t>
      </w:r>
      <w:r w:rsidRPr="00E17456">
        <w:rPr>
          <w:lang w:val="es-ES_tradnl"/>
        </w:rPr>
        <w:tab/>
        <w:t>identifique y establezca asociaciones multipartitas en las que participen, entre otros, instituciones financieras internacionales, bancos de desarrollo regional, comisiones regionales del Departamento de Asuntos Económicos y Financieros (UNDESA), y otros organismos y departamentos de las Naciones Unidas, con organismos internacionales de desarrollo, organizaciones regionales de telecomunicaciones y el sector privado, a fin de optimizar el uso de recursos y evitar la duplicación de actividades;</w:t>
      </w:r>
    </w:p>
    <w:p w14:paraId="7194179D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6</w:t>
      </w:r>
      <w:r w:rsidRPr="00E17456">
        <w:rPr>
          <w:lang w:val="es-ES_tradnl"/>
        </w:rPr>
        <w:tab/>
        <w:t>prosiga los esfuerzos para identificar fuentes adicionales de ingresos y financiación, a fin de que los programas y actividades del UIT-D puedan ejecutarse plenamente;</w:t>
      </w:r>
    </w:p>
    <w:p w14:paraId="595AC7DD" w14:textId="77777777" w:rsidR="006E0A01" w:rsidRPr="00E17456" w:rsidRDefault="006E0A01" w:rsidP="006E0A01">
      <w:pPr>
        <w:rPr>
          <w:lang w:val="es-ES_tradnl"/>
        </w:rPr>
      </w:pPr>
      <w:r w:rsidRPr="00E17456">
        <w:rPr>
          <w:lang w:val="es-ES_tradnl"/>
        </w:rPr>
        <w:t>7</w:t>
      </w:r>
      <w:r w:rsidRPr="00E17456">
        <w:rPr>
          <w:lang w:val="es-ES_tradnl"/>
        </w:rPr>
        <w:tab/>
        <w:t>que informe de los resultados de la aplicación de la presente Resolución a la próxima CMDT.</w:t>
      </w:r>
    </w:p>
    <w:p w14:paraId="0AB23D6F" w14:textId="77777777" w:rsidR="006E0A01" w:rsidRPr="00E17456" w:rsidRDefault="006E0A01" w:rsidP="006E0A01">
      <w:pPr>
        <w:pStyle w:val="Reasons"/>
        <w:rPr>
          <w:lang w:val="es-ES"/>
        </w:rPr>
      </w:pPr>
    </w:p>
    <w:p w14:paraId="72EB7E1F" w14:textId="77777777" w:rsidR="006E0A01" w:rsidRPr="00E17456" w:rsidRDefault="006E0A01" w:rsidP="006E0A01">
      <w:pPr>
        <w:pStyle w:val="Reasons"/>
        <w:rPr>
          <w:lang w:val="es-ES"/>
        </w:rPr>
      </w:pPr>
    </w:p>
    <w:p w14:paraId="14DDA8D0" w14:textId="77777777" w:rsidR="006E0A01" w:rsidRDefault="006E0A01" w:rsidP="006E0A01">
      <w:pPr>
        <w:pStyle w:val="Reasons"/>
        <w:rPr>
          <w:lang w:val="es-ES"/>
        </w:rPr>
      </w:pPr>
    </w:p>
    <w:p w14:paraId="16A1FE58" w14:textId="77777777" w:rsidR="006E0A01" w:rsidRDefault="006E0A01" w:rsidP="006E0A01">
      <w:pPr>
        <w:pStyle w:val="Reasons"/>
        <w:rPr>
          <w:lang w:val="es-ES"/>
        </w:rPr>
      </w:pPr>
    </w:p>
    <w:p w14:paraId="5FA73415" w14:textId="77777777" w:rsidR="006E0A01" w:rsidRPr="00E17456" w:rsidRDefault="006E0A01" w:rsidP="006E0A01">
      <w:pPr>
        <w:pStyle w:val="Reasons"/>
        <w:rPr>
          <w:lang w:val="es-ES"/>
        </w:rPr>
      </w:pPr>
    </w:p>
    <w:p w14:paraId="696338E2" w14:textId="77777777" w:rsidR="00201FFB" w:rsidRPr="006E0A01" w:rsidRDefault="00201FFB">
      <w:pPr>
        <w:rPr>
          <w:lang w:val="es-ES"/>
        </w:rPr>
      </w:pPr>
    </w:p>
    <w:sectPr w:rsidR="00201FFB" w:rsidRPr="006E0A01" w:rsidSect="00047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66DA" w14:textId="77777777" w:rsidR="000478C4" w:rsidRDefault="000478C4" w:rsidP="000478C4">
      <w:pPr>
        <w:spacing w:before="0"/>
      </w:pPr>
      <w:r>
        <w:separator/>
      </w:r>
    </w:p>
  </w:endnote>
  <w:endnote w:type="continuationSeparator" w:id="0">
    <w:p w14:paraId="15271F89" w14:textId="77777777" w:rsidR="000478C4" w:rsidRDefault="000478C4" w:rsidP="000478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B077" w14:textId="77777777" w:rsidR="000478C4" w:rsidRDefault="00047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1993" w14:textId="77777777" w:rsidR="000478C4" w:rsidRDefault="00047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3F5" w14:textId="77777777" w:rsidR="000478C4" w:rsidRDefault="0004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FFDC" w14:textId="77777777" w:rsidR="000478C4" w:rsidRDefault="000478C4" w:rsidP="000478C4">
      <w:pPr>
        <w:spacing w:before="0"/>
      </w:pPr>
      <w:r>
        <w:separator/>
      </w:r>
    </w:p>
  </w:footnote>
  <w:footnote w:type="continuationSeparator" w:id="0">
    <w:p w14:paraId="4D838EC3" w14:textId="77777777" w:rsidR="000478C4" w:rsidRDefault="000478C4" w:rsidP="000478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651645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1A81D6" w14:textId="52828701" w:rsidR="000478C4" w:rsidRPr="000478C4" w:rsidRDefault="000478C4" w:rsidP="000478C4">
        <w:pPr>
          <w:tabs>
            <w:tab w:val="clear" w:pos="1134"/>
            <w:tab w:val="clear" w:pos="1871"/>
            <w:tab w:val="clear" w:pos="2268"/>
            <w:tab w:val="left" w:pos="567"/>
            <w:tab w:val="left" w:pos="851"/>
          </w:tabs>
          <w:overflowPunct/>
          <w:autoSpaceDE/>
          <w:autoSpaceDN/>
          <w:adjustRightInd/>
          <w:spacing w:before="0" w:after="120" w:line="259" w:lineRule="auto"/>
          <w:textAlignment w:val="auto"/>
          <w:rPr>
            <w:sz w:val="16"/>
            <w:szCs w:val="16"/>
            <w:lang w:val="es-ES"/>
          </w:rPr>
        </w:pPr>
        <w:r w:rsidRPr="00C9093A">
          <w:rPr>
            <w:sz w:val="16"/>
            <w:szCs w:val="16"/>
          </w:rPr>
          <w:fldChar w:fldCharType="begin"/>
        </w:r>
        <w:r w:rsidRPr="00E20F5B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0478C4">
          <w:rPr>
            <w:sz w:val="16"/>
            <w:szCs w:val="16"/>
            <w:lang w:val="es-ES"/>
          </w:rPr>
          <w:t>2</w:t>
        </w:r>
        <w:r w:rsidRPr="00C9093A">
          <w:rPr>
            <w:noProof/>
            <w:sz w:val="16"/>
            <w:szCs w:val="16"/>
          </w:rPr>
          <w:fldChar w:fldCharType="end"/>
        </w:r>
        <w:r w:rsidRPr="000478C4">
          <w:rPr>
            <w:sz w:val="16"/>
            <w:szCs w:val="16"/>
            <w:lang w:val="es-ES"/>
          </w:rPr>
          <w:tab/>
        </w:r>
        <w:r w:rsidRPr="00E20F5B">
          <w:rPr>
            <w:sz w:val="16"/>
            <w:szCs w:val="16"/>
            <w:lang w:val="es-ES"/>
          </w:rPr>
          <w:t>Informe final de la CMDT-22 – Parte IV – Resolución 5</w:t>
        </w:r>
        <w:r w:rsidR="00125DCD">
          <w:rPr>
            <w:sz w:val="16"/>
            <w:szCs w:val="16"/>
            <w:lang w:val="es-ES"/>
          </w:rPr>
          <w:t>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77688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F33560" w14:textId="1ABB130B" w:rsidR="000478C4" w:rsidRPr="000478C4" w:rsidRDefault="000478C4" w:rsidP="000478C4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spacing w:before="120"/>
          <w:jc w:val="left"/>
          <w:rPr>
            <w:sz w:val="16"/>
            <w:szCs w:val="16"/>
            <w:lang w:val="es-ES"/>
          </w:rPr>
        </w:pPr>
        <w:r w:rsidRPr="00125DCD">
          <w:rPr>
            <w:sz w:val="16"/>
            <w:szCs w:val="16"/>
            <w:lang w:val="es-ES"/>
          </w:rPr>
          <w:tab/>
        </w:r>
        <w:r w:rsidRPr="00125DCD">
          <w:rPr>
            <w:sz w:val="16"/>
            <w:szCs w:val="16"/>
            <w:lang w:val="es-ES"/>
          </w:rPr>
          <w:tab/>
        </w:r>
        <w:r w:rsidRPr="00E20F5B">
          <w:rPr>
            <w:sz w:val="16"/>
            <w:szCs w:val="16"/>
            <w:lang w:val="es-ES"/>
          </w:rPr>
          <w:t>Informe final de la CMDT-22 – Parte IV – Resolución 5</w:t>
        </w:r>
        <w:r w:rsidR="00125DCD">
          <w:rPr>
            <w:sz w:val="16"/>
            <w:szCs w:val="16"/>
            <w:lang w:val="es-ES"/>
          </w:rPr>
          <w:t>3</w:t>
        </w:r>
        <w:r w:rsidRPr="00E20F5B"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E20F5B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0478C4">
          <w:rPr>
            <w:sz w:val="16"/>
            <w:szCs w:val="16"/>
            <w:lang w:val="es-ES"/>
          </w:rPr>
          <w:t>337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EA29" w14:textId="77777777" w:rsidR="000478C4" w:rsidRDefault="00047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01"/>
    <w:rsid w:val="000478C4"/>
    <w:rsid w:val="00125DCD"/>
    <w:rsid w:val="00201FFB"/>
    <w:rsid w:val="003C321F"/>
    <w:rsid w:val="005809C6"/>
    <w:rsid w:val="005F322B"/>
    <w:rsid w:val="00623374"/>
    <w:rsid w:val="006E0A01"/>
    <w:rsid w:val="008A4CA6"/>
    <w:rsid w:val="00A74923"/>
    <w:rsid w:val="00A96FB2"/>
    <w:rsid w:val="00AC35D4"/>
    <w:rsid w:val="00B0107E"/>
    <w:rsid w:val="00BF353A"/>
    <w:rsid w:val="00D27EFC"/>
    <w:rsid w:val="00D53ED4"/>
    <w:rsid w:val="00DC6ABD"/>
    <w:rsid w:val="00E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34B3"/>
  <w15:chartTrackingRefBased/>
  <w15:docId w15:val="{47B9AB33-0FF2-4A4B-9AD3-B0EA362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0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B0107E"/>
    <w:pPr>
      <w:spacing w:after="120"/>
      <w:ind w:left="0"/>
      <w:contextualSpacing w:val="0"/>
      <w:outlineLvl w:val="0"/>
    </w:pPr>
    <w:rPr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107E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 w:line="259" w:lineRule="auto"/>
      <w:jc w:val="left"/>
      <w:textAlignment w:val="auto"/>
      <w:outlineLvl w:val="1"/>
    </w:pPr>
    <w:rPr>
      <w:rFonts w:cstheme="minorBidi"/>
      <w:bCs/>
      <w:iCs/>
      <w:color w:val="2F5496" w:themeColor="accent1" w:themeShade="BF"/>
      <w:sz w:val="22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rsid w:val="00B0107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160" w:after="160" w:line="259" w:lineRule="auto"/>
      <w:jc w:val="left"/>
      <w:outlineLvl w:val="2"/>
    </w:pPr>
    <w:rPr>
      <w:rFonts w:eastAsiaTheme="minorHAnsi" w:cstheme="minorBidi"/>
      <w:color w:val="2F5496" w:themeColor="accent1" w:themeShade="BF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A96F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240" w:line="259" w:lineRule="auto"/>
      <w:jc w:val="left"/>
      <w:textAlignment w:val="auto"/>
    </w:pPr>
    <w:rPr>
      <w:rFonts w:eastAsiaTheme="minorEastAsia" w:cs="Calibri"/>
      <w:color w:val="0070C0"/>
      <w:sz w:val="28"/>
      <w:szCs w:val="22"/>
      <w:lang w:val="en-US" w:eastAsia="es-ES"/>
    </w:rPr>
  </w:style>
  <w:style w:type="character" w:customStyle="1" w:styleId="Heading1Char">
    <w:name w:val="Heading 1 Char"/>
    <w:basedOn w:val="DefaultParagraphFont"/>
    <w:link w:val="Heading1"/>
    <w:rsid w:val="00B0107E"/>
    <w:rPr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0107E"/>
    <w:rPr>
      <w:rFonts w:eastAsia="Times New Roman" w:cs="Arial"/>
      <w:bCs/>
      <w:iCs/>
      <w:color w:val="2F5496" w:themeColor="accent1" w:themeShade="BF"/>
      <w:szCs w:val="26"/>
    </w:rPr>
  </w:style>
  <w:style w:type="paragraph" w:customStyle="1" w:styleId="Figuretitle">
    <w:name w:val="Figur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contextualSpacing/>
      <w:jc w:val="left"/>
      <w:textAlignment w:val="auto"/>
    </w:pPr>
    <w:rPr>
      <w:rFonts w:eastAsiaTheme="minorEastAsia" w:cstheme="minorBidi"/>
      <w:color w:val="365F91"/>
      <w:szCs w:val="56"/>
      <w:lang w:val="en-US" w:eastAsia="zh-CN"/>
    </w:rPr>
  </w:style>
  <w:style w:type="paragraph" w:customStyle="1" w:styleId="Alternativetext">
    <w:name w:val="Alternative text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259" w:lineRule="auto"/>
      <w:jc w:val="center"/>
      <w:textAlignment w:val="auto"/>
    </w:pPr>
    <w:rPr>
      <w:rFonts w:eastAsiaTheme="minorEastAsia" w:cstheme="minorHAnsi"/>
      <w:i/>
      <w:color w:val="FFC000"/>
      <w:sz w:val="18"/>
      <w:szCs w:val="24"/>
      <w:lang w:val="en-US" w:eastAsia="zh-CN"/>
    </w:rPr>
  </w:style>
  <w:style w:type="paragraph" w:customStyle="1" w:styleId="Tabletitle">
    <w:name w:val="Tabl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color w:val="2F5496" w:themeColor="accent1" w:themeShade="BF"/>
      <w:szCs w:val="56"/>
      <w:lang w:val="en-US" w:eastAsia="zh-CN"/>
    </w:rPr>
  </w:style>
  <w:style w:type="paragraph" w:customStyle="1" w:styleId="Tabletext">
    <w:name w:val="Table tex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ind w:left="57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Tablehead">
    <w:name w:val="Table hea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character" w:customStyle="1" w:styleId="StyleBoldBold">
    <w:name w:val="Style Bold + Bold"/>
    <w:basedOn w:val="DefaultParagraphFont"/>
    <w:rsid w:val="00B0107E"/>
    <w:rPr>
      <w:b/>
      <w:bCs/>
      <w:sz w:val="20"/>
      <w:szCs w:val="24"/>
    </w:rPr>
  </w:style>
  <w:style w:type="paragraph" w:customStyle="1" w:styleId="Tablebullet">
    <w:name w:val="Table bulle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StyleBoldBold1">
    <w:name w:val="Style Bold + Bold1"/>
    <w:basedOn w:val="DefaultParagraphFont"/>
    <w:rsid w:val="00B0107E"/>
    <w:rPr>
      <w:b/>
      <w:bCs/>
      <w:sz w:val="20"/>
      <w:szCs w:val="24"/>
    </w:rPr>
  </w:style>
  <w:style w:type="paragraph" w:customStyle="1" w:styleId="StyleTablebulletLeft0cmHanging051cm">
    <w:name w:val="Style Table bullet + Left:  0 cm Hanging:  0.51 cm"/>
    <w:basedOn w:val="Tablebullet"/>
    <w:rsid w:val="00B0107E"/>
    <w:pPr>
      <w:ind w:left="288" w:hanging="288"/>
    </w:pPr>
    <w:rPr>
      <w:rFonts w:eastAsia="Times New Roman"/>
      <w:szCs w:val="20"/>
    </w:rPr>
  </w:style>
  <w:style w:type="paragraph" w:customStyle="1" w:styleId="StyleTabletextBoldLeft01cm">
    <w:name w:val="Style Table text + Bold Left:  0.1 cm"/>
    <w:basedOn w:val="Tabletext"/>
    <w:rsid w:val="00B0107E"/>
    <w:rPr>
      <w:rFonts w:eastAsia="Times New Roman"/>
      <w:b/>
      <w:bCs/>
      <w:szCs w:val="20"/>
    </w:rPr>
  </w:style>
  <w:style w:type="paragraph" w:customStyle="1" w:styleId="Tableheadcentredwhite">
    <w:name w:val="Table head centred white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paragraph" w:customStyle="1" w:styleId="Tabletextcentred">
    <w:name w:val="Table text centre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0107E"/>
    <w:rPr>
      <w:color w:val="2F5496" w:themeColor="accent1" w:themeShade="BF"/>
    </w:rPr>
  </w:style>
  <w:style w:type="character" w:customStyle="1" w:styleId="Colored-Normal">
    <w:name w:val="Colored - Normal"/>
    <w:rsid w:val="00B0107E"/>
    <w:rPr>
      <w:color w:val="365F91"/>
      <w:sz w:val="22"/>
      <w:szCs w:val="24"/>
    </w:rPr>
  </w:style>
  <w:style w:type="paragraph" w:customStyle="1" w:styleId="Bulletlist2">
    <w:name w:val="Bullet list 2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Bulletlist3">
    <w:name w:val="Bullet list 3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righ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HeadingSum">
    <w:name w:val="Heading_Sum"/>
    <w:basedOn w:val="Normal"/>
    <w:next w:val="Normal"/>
    <w:autoRedefine/>
    <w:rsid w:val="00BF353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160" w:line="259" w:lineRule="auto"/>
    </w:pPr>
    <w:rPr>
      <w:rFonts w:ascii="Times New Roman" w:hAnsi="Times New Roman" w:cstheme="minorBidi"/>
      <w:b/>
      <w:sz w:val="22"/>
      <w:lang w:val="es-ES_tradnl" w:eastAsia="zh-CN"/>
    </w:rPr>
  </w:style>
  <w:style w:type="paragraph" w:customStyle="1" w:styleId="Summary">
    <w:name w:val="Summary"/>
    <w:basedOn w:val="Normal"/>
    <w:next w:val="Normal"/>
    <w:autoRedefine/>
    <w:rsid w:val="00BF353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0" w:after="480" w:line="259" w:lineRule="auto"/>
    </w:pPr>
    <w:rPr>
      <w:rFonts w:ascii="Times New Roman" w:hAnsi="Times New Roman" w:cstheme="minorBidi"/>
      <w:sz w:val="22"/>
      <w:lang w:val="es-ES_tradnl" w:eastAsia="zh-CN"/>
    </w:rPr>
  </w:style>
  <w:style w:type="paragraph" w:customStyle="1" w:styleId="Bulletlist1">
    <w:name w:val="Bullet list 1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left"/>
      <w:textAlignment w:val="auto"/>
    </w:pPr>
    <w:rPr>
      <w:rFonts w:eastAsiaTheme="minorEastAsia" w:cstheme="minorHAnsi"/>
      <w:sz w:val="22"/>
      <w:szCs w:val="24"/>
      <w:lang w:val="en-US" w:eastAsia="zh-CN"/>
    </w:rPr>
  </w:style>
  <w:style w:type="paragraph" w:customStyle="1" w:styleId="Call">
    <w:name w:val="Call"/>
    <w:basedOn w:val="Normal"/>
    <w:next w:val="Normal"/>
    <w:link w:val="CallChar"/>
    <w:rsid w:val="006E0A01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6E0A0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Normalaftertitle">
    <w:name w:val="Normal after title"/>
    <w:basedOn w:val="Normal"/>
    <w:next w:val="Normal"/>
    <w:link w:val="NormalaftertitleChar"/>
    <w:rsid w:val="006E0A01"/>
    <w:pPr>
      <w:spacing w:before="280"/>
    </w:pPr>
  </w:style>
  <w:style w:type="paragraph" w:customStyle="1" w:styleId="Reasons">
    <w:name w:val="Reasons"/>
    <w:basedOn w:val="Normal"/>
    <w:qFormat/>
    <w:rsid w:val="006E0A01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6E0A0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center"/>
      <w:textAlignment w:val="baseline"/>
    </w:pPr>
    <w:rPr>
      <w:rFonts w:cs="Times New Roman"/>
      <w:bCs w:val="0"/>
      <w:iCs w:val="0"/>
      <w:color w:val="auto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6E0A01"/>
    <w:pPr>
      <w:keepNext/>
      <w:keepLines/>
      <w:spacing w:before="240"/>
      <w:jc w:val="center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E0A01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6E0A01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6E0A01"/>
    <w:rPr>
      <w:rFonts w:eastAsia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locked/>
    <w:rsid w:val="006E0A01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6E0A01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6E0A01"/>
    <w:rPr>
      <w:rFonts w:eastAsia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1"/>
    <w:unhideWhenUsed/>
    <w:rsid w:val="000478C4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1"/>
    <w:rsid w:val="000478C4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8C4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478C4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53 (Rev. Dubái, 2014) – Marco estratégico y financiero para la elaboración y ejecución del Plan de Acción de Dubái</dc:title>
  <dc:subject/>
  <dc:creator>Catalano Moreira, Rossana</dc:creator>
  <cp:keywords/>
  <dc:description/>
  <cp:lastModifiedBy>Catalano Moreira, Rossana</cp:lastModifiedBy>
  <cp:revision>5</cp:revision>
  <cp:lastPrinted>2023-10-17T12:26:00Z</cp:lastPrinted>
  <dcterms:created xsi:type="dcterms:W3CDTF">2023-10-17T12:24:00Z</dcterms:created>
  <dcterms:modified xsi:type="dcterms:W3CDTF">2023-10-17T12:28:00Z</dcterms:modified>
</cp:coreProperties>
</file>