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CA54" w14:textId="77777777" w:rsidR="004F44FF" w:rsidRPr="002B2BF7" w:rsidRDefault="004F44FF" w:rsidP="004F44FF">
      <w:pPr>
        <w:pStyle w:val="ResNo"/>
        <w:rPr>
          <w:lang w:val="ru-RU"/>
        </w:rPr>
      </w:pPr>
      <w:bookmarkStart w:id="0" w:name="_Toc116554202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53</w:t>
      </w:r>
      <w:r w:rsidRPr="002B2BF7">
        <w:rPr>
          <w:lang w:val="ru-RU"/>
        </w:rPr>
        <w:t xml:space="preserve"> (Пересм. Дубай, 2014 г.)</w:t>
      </w:r>
      <w:bookmarkEnd w:id="0"/>
    </w:p>
    <w:p w14:paraId="766ECBE8" w14:textId="77777777" w:rsidR="004F44FF" w:rsidRPr="002B2BF7" w:rsidRDefault="004F44FF" w:rsidP="004F44FF">
      <w:pPr>
        <w:pStyle w:val="Restitle"/>
        <w:rPr>
          <w:lang w:val="ru-RU"/>
        </w:rPr>
      </w:pPr>
      <w:bookmarkStart w:id="1" w:name="_Toc116554203"/>
      <w:r w:rsidRPr="002B2BF7">
        <w:rPr>
          <w:lang w:val="ru-RU"/>
        </w:rPr>
        <w:t>Стратегическая и финансовая основа для разработки и выполнения Дубайского плана действий</w:t>
      </w:r>
      <w:bookmarkEnd w:id="1"/>
    </w:p>
    <w:p w14:paraId="139189DB" w14:textId="77777777" w:rsidR="004F44FF" w:rsidRPr="002B2BF7" w:rsidRDefault="004F44FF" w:rsidP="004F44FF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(Дубай, 2014 г.),</w:t>
      </w:r>
    </w:p>
    <w:p w14:paraId="516252BA" w14:textId="77777777" w:rsidR="004F44FF" w:rsidRPr="002B2BF7" w:rsidRDefault="004F44FF" w:rsidP="004F44FF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iCs/>
          <w:lang w:val="ru-RU"/>
        </w:rPr>
        <w:t>,</w:t>
      </w:r>
    </w:p>
    <w:p w14:paraId="440C7DF1" w14:textId="77777777" w:rsidR="004F44FF" w:rsidRPr="002B2BF7" w:rsidRDefault="004F44FF" w:rsidP="004F44F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в соответствии с п. 118 Устава МСЭ и п. 209 Конвенции МСЭ функции всемирных конференций по развитию электросвязи (ВКРЭ) включают: i) разработку программ работы и указаний по определению вопросов и приоритетов, относящихся к развитию электросвязи, и ii) указание направлений и директив по программе работы Сектора развития электросвязи МСЭ (МСЭ</w:t>
      </w:r>
      <w:r w:rsidRPr="002B2BF7">
        <w:rPr>
          <w:lang w:val="ru-RU"/>
        </w:rPr>
        <w:noBreakHyphen/>
        <w:t xml:space="preserve">D); </w:t>
      </w:r>
    </w:p>
    <w:p w14:paraId="2E484E42" w14:textId="77777777" w:rsidR="004F44FF" w:rsidRPr="002B2BF7" w:rsidRDefault="004F44FF" w:rsidP="004F44F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в Резолюции 71 (Пересм. Гвадалахара, 2010 г.) Полномочной конференции содержится Стратегический план для МСЭ-D на 2012–2018 годы и определяются стратегические цель и задачи МСЭ-D на указанный период;</w:t>
      </w:r>
    </w:p>
    <w:p w14:paraId="26EF0D4C" w14:textId="77777777" w:rsidR="004F44FF" w:rsidRPr="002B2BF7" w:rsidRDefault="004F44FF" w:rsidP="004F44FF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в Резолюции 72 (Пересм. Гвадалахара, 2010 г.) Полномочной конференции определяется, что должна быть увязка между стратегическим, финансовым и оперативным планированием в МСЭ;</w:t>
      </w:r>
    </w:p>
    <w:p w14:paraId="3BDDF5D9" w14:textId="77777777" w:rsidR="004F44FF" w:rsidRPr="002B2BF7" w:rsidRDefault="004F44FF" w:rsidP="004F44FF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в Решении 5 (Пересм. Гвадалахара, 2010 г.) Полномочной конференции при определении поступлений и издержек Союза на 2012−2015 годы и признании нынешних финансовых ограничений Союза в Приложении 2 устанавливается ряд мер, направленных на сокращение издержек, которые необходимо принимать во внимание всем трем Секторам Союза,</w:t>
      </w:r>
    </w:p>
    <w:p w14:paraId="4D2D6C7C" w14:textId="77777777" w:rsidR="004F44FF" w:rsidRPr="002B2BF7" w:rsidRDefault="004F44FF" w:rsidP="004F44FF">
      <w:pPr>
        <w:pStyle w:val="Call"/>
        <w:rPr>
          <w:rFonts w:eastAsia="Calibri"/>
          <w:lang w:val="ru-RU"/>
        </w:rPr>
      </w:pPr>
      <w:r w:rsidRPr="002B2BF7">
        <w:rPr>
          <w:lang w:val="ru-RU"/>
        </w:rPr>
        <w:t>учитывая далее</w:t>
      </w:r>
      <w:r w:rsidRPr="002B2BF7">
        <w:rPr>
          <w:i w:val="0"/>
          <w:iCs/>
          <w:lang w:val="ru-RU"/>
        </w:rPr>
        <w:t>,</w:t>
      </w:r>
    </w:p>
    <w:p w14:paraId="62A7A50A" w14:textId="77777777" w:rsidR="004F44FF" w:rsidRPr="002B2BF7" w:rsidRDefault="004F44FF" w:rsidP="004F44FF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что, согласно Резолюции 31 (Пересм. Дубай, 2014 г.) настоящей Конференции, выявление, анализ и разработка региональных инициатив и проектов на региональных подготовительных собраниях обеспечили ключевой вклад на данную Конференцию;</w:t>
      </w:r>
      <w:r w:rsidRPr="002B2BF7">
        <w:rPr>
          <w:i/>
          <w:iCs/>
          <w:lang w:val="ru-RU"/>
        </w:rPr>
        <w:br w:type="page"/>
      </w:r>
    </w:p>
    <w:p w14:paraId="54736239" w14:textId="77777777" w:rsidR="004F44FF" w:rsidRPr="002B2BF7" w:rsidRDefault="004F44FF" w:rsidP="004F44FF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b)</w:t>
      </w:r>
      <w:r w:rsidRPr="002B2BF7">
        <w:rPr>
          <w:lang w:val="ru-RU"/>
        </w:rPr>
        <w:tab/>
        <w:t>что Резолюцией 1358 Совета МСЭ, принятой на его сессии 2013 года, создана Рабочая группа Совета по разработке проекта Стратегического плана и проекта Финансового плана Союза на 2016−2019 годы (РГС СП-ФП), которая должна была представить Консультативной группе по развитию электросвязи и настоящей Конференции принципы, глоссарий терминов, структуру и руководящие указания для разработки Стратегического плана МСЭ-D, на основе четкой увязки стратегического и оперативного планирования с финансовым планированием и составлением бюджета,</w:t>
      </w:r>
    </w:p>
    <w:p w14:paraId="698C0CA1" w14:textId="77777777" w:rsidR="004F44FF" w:rsidRPr="002B2BF7" w:rsidRDefault="004F44FF" w:rsidP="004F44FF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принимая во внимание</w:t>
      </w:r>
      <w:r w:rsidRPr="002B2BF7">
        <w:rPr>
          <w:i w:val="0"/>
          <w:iCs/>
          <w:lang w:val="ru-RU"/>
        </w:rPr>
        <w:t>,</w:t>
      </w:r>
    </w:p>
    <w:p w14:paraId="3CCD7A38" w14:textId="77777777" w:rsidR="004F44FF" w:rsidRPr="002B2BF7" w:rsidRDefault="004F44FF" w:rsidP="004F44F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Резолюцией 1359, принятой Советом на его сессии 2013 года, утвержден двухгодичный бюджет МСЭ на 2014−2015 годы в целях достижения финансовой стабильности, обеспечения нефинансируемых долгосрочных обязательств, сохранения позитивной величины чистых активов и недопущения снятия средств с Резервного счета;</w:t>
      </w:r>
    </w:p>
    <w:p w14:paraId="31D6883E" w14:textId="77777777" w:rsidR="004F44FF" w:rsidRPr="002B2BF7" w:rsidRDefault="004F44FF" w:rsidP="004F44F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продолжающееся внедрение в МСЭ процесса составления бюджета, ориентированного на результаты (БОР), главной особенностью которого является определение затрат, задач, ожидаемых результатов, показателей выполнения и приоритетов, представленных в рамках четко определенных намеченных результатов деятельности (в виде продуктов или услуг Сектора или межсекторальных продуктов или услуг, предоставляемых МСЭ),</w:t>
      </w:r>
    </w:p>
    <w:p w14:paraId="0E357A75" w14:textId="77777777" w:rsidR="004F44FF" w:rsidRPr="002B2BF7" w:rsidRDefault="004F44FF" w:rsidP="004F44FF">
      <w:pPr>
        <w:pStyle w:val="Call"/>
        <w:rPr>
          <w:rFonts w:eastAsia="Calibri"/>
          <w:i w:val="0"/>
          <w:lang w:val="ru-RU"/>
        </w:rPr>
      </w:pPr>
      <w:r w:rsidRPr="002B2BF7">
        <w:rPr>
          <w:lang w:val="ru-RU"/>
        </w:rPr>
        <w:t>принимая далее во внимание</w:t>
      </w:r>
      <w:r w:rsidRPr="002B2BF7">
        <w:rPr>
          <w:i w:val="0"/>
          <w:iCs/>
          <w:lang w:val="ru-RU"/>
        </w:rPr>
        <w:t>,</w:t>
      </w:r>
    </w:p>
    <w:p w14:paraId="34A79C5E" w14:textId="77777777" w:rsidR="004F44FF" w:rsidRPr="002B2BF7" w:rsidRDefault="004F44FF" w:rsidP="004F44F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стратегической основой Дубайского плана действий являются:</w:t>
      </w:r>
    </w:p>
    <w:p w14:paraId="1D268F07" w14:textId="77777777" w:rsidR="004F44FF" w:rsidRPr="002B2BF7" w:rsidRDefault="004F44FF" w:rsidP="004F44FF">
      <w:pPr>
        <w:pStyle w:val="enumlev1"/>
        <w:rPr>
          <w:lang w:val="ru-RU"/>
        </w:rPr>
      </w:pPr>
      <w:r w:rsidRPr="002B2BF7">
        <w:rPr>
          <w:lang w:val="ru-RU"/>
        </w:rPr>
        <w:t>−</w:t>
      </w:r>
      <w:r w:rsidRPr="002B2BF7">
        <w:rPr>
          <w:lang w:val="ru-RU"/>
        </w:rPr>
        <w:tab/>
        <w:t>Резолюции 71 (Пересм. Гвадалахара, 2010 г.) и 72 (Пересм. Гвадалахара, 2010 г.) Полномочной конференции;</w:t>
      </w:r>
    </w:p>
    <w:p w14:paraId="6B49C0F4" w14:textId="77777777" w:rsidR="004F44FF" w:rsidRPr="002B2BF7" w:rsidRDefault="004F44FF" w:rsidP="004F44FF">
      <w:pPr>
        <w:pStyle w:val="enumlev1"/>
        <w:rPr>
          <w:lang w:val="ru-RU"/>
        </w:rPr>
      </w:pPr>
      <w:r w:rsidRPr="002B2BF7">
        <w:rPr>
          <w:lang w:val="ru-RU"/>
        </w:rPr>
        <w:t>−</w:t>
      </w:r>
      <w:r w:rsidRPr="002B2BF7">
        <w:rPr>
          <w:lang w:val="ru-RU"/>
        </w:rPr>
        <w:tab/>
        <w:t>стратегические задачи МСЭ-</w:t>
      </w:r>
      <w:r w:rsidRPr="002B2BF7">
        <w:rPr>
          <w:rFonts w:eastAsia="Calibri"/>
          <w:lang w:val="ru-RU"/>
        </w:rPr>
        <w:t xml:space="preserve">D </w:t>
      </w:r>
      <w:r w:rsidRPr="002B2BF7">
        <w:rPr>
          <w:lang w:val="ru-RU"/>
        </w:rPr>
        <w:t>на</w:t>
      </w:r>
      <w:r w:rsidRPr="002B2BF7">
        <w:rPr>
          <w:rFonts w:eastAsia="Calibri"/>
          <w:lang w:val="ru-RU"/>
        </w:rPr>
        <w:t xml:space="preserve"> 2016−2019 </w:t>
      </w:r>
      <w:r w:rsidRPr="002B2BF7">
        <w:rPr>
          <w:lang w:val="ru-RU"/>
        </w:rPr>
        <w:t>годы</w:t>
      </w:r>
      <w:r w:rsidRPr="002B2BF7">
        <w:rPr>
          <w:rFonts w:eastAsia="Calibri"/>
          <w:lang w:val="ru-RU"/>
        </w:rPr>
        <w:t xml:space="preserve">, </w:t>
      </w:r>
      <w:r w:rsidRPr="002B2BF7">
        <w:rPr>
          <w:lang w:val="ru-RU"/>
        </w:rPr>
        <w:t>разработанные на данной Конференции</w:t>
      </w:r>
      <w:r w:rsidRPr="002B2BF7">
        <w:rPr>
          <w:rFonts w:eastAsia="Calibri"/>
          <w:lang w:val="ru-RU"/>
        </w:rPr>
        <w:t>;</w:t>
      </w:r>
    </w:p>
    <w:p w14:paraId="077C4070" w14:textId="77777777" w:rsidR="004F44FF" w:rsidRPr="002B2BF7" w:rsidRDefault="004F44FF" w:rsidP="004F44FF">
      <w:pPr>
        <w:pStyle w:val="enumlev1"/>
        <w:rPr>
          <w:lang w:val="ru-RU"/>
        </w:rPr>
      </w:pPr>
      <w:r w:rsidRPr="002B2BF7">
        <w:rPr>
          <w:lang w:val="ru-RU"/>
        </w:rPr>
        <w:t>−</w:t>
      </w:r>
      <w:r w:rsidRPr="002B2BF7">
        <w:rPr>
          <w:lang w:val="ru-RU"/>
        </w:rPr>
        <w:tab/>
        <w:t>цель выполнения мандатов МСЭ-D, в соответствии с Уставом МСЭ, недопущения дублирования работы с другими Секторами, а также реализации стратегических целей, установленных в Стратегических планах Союза на 2012−2015 и 2016−2019 годы,</w:t>
      </w:r>
    </w:p>
    <w:p w14:paraId="44C0BC77" w14:textId="77777777" w:rsidR="004F44FF" w:rsidRPr="002B2BF7" w:rsidRDefault="004F44FF" w:rsidP="004F44FF">
      <w:pPr>
        <w:rPr>
          <w:lang w:val="ru-RU"/>
        </w:rPr>
      </w:pPr>
      <w:r w:rsidRPr="002B2BF7">
        <w:rPr>
          <w:rFonts w:eastAsia="SimHei"/>
          <w:i/>
          <w:iCs/>
          <w:lang w:val="ru-RU"/>
        </w:rPr>
        <w:t>b)</w:t>
      </w:r>
      <w:r w:rsidRPr="002B2BF7">
        <w:rPr>
          <w:rFonts w:eastAsia="SimHei"/>
          <w:lang w:val="ru-RU"/>
        </w:rPr>
        <w:tab/>
      </w:r>
      <w:r w:rsidRPr="002B2BF7">
        <w:rPr>
          <w:lang w:val="ru-RU"/>
        </w:rPr>
        <w:t>что финансовой основой Дубайского плана действий являются</w:t>
      </w:r>
      <w:r w:rsidRPr="002B2BF7">
        <w:rPr>
          <w:rFonts w:eastAsia="SimHei"/>
          <w:lang w:val="ru-RU"/>
        </w:rPr>
        <w:t>:</w:t>
      </w:r>
    </w:p>
    <w:p w14:paraId="310AE86A" w14:textId="77777777" w:rsidR="004F44FF" w:rsidRPr="002B2BF7" w:rsidRDefault="004F44FF" w:rsidP="004F44FF">
      <w:pPr>
        <w:pStyle w:val="enumlev1"/>
        <w:rPr>
          <w:lang w:val="ru-RU"/>
        </w:rPr>
      </w:pPr>
      <w:r w:rsidRPr="002B2BF7">
        <w:rPr>
          <w:rFonts w:eastAsia="SimHei"/>
          <w:lang w:val="ru-RU"/>
        </w:rPr>
        <w:t>−</w:t>
      </w:r>
      <w:r w:rsidRPr="002B2BF7">
        <w:rPr>
          <w:rFonts w:eastAsia="SimHei"/>
          <w:lang w:val="ru-RU"/>
        </w:rPr>
        <w:tab/>
      </w:r>
      <w:r w:rsidRPr="002B2BF7">
        <w:rPr>
          <w:lang w:val="ru-RU"/>
        </w:rPr>
        <w:t>Решение 5 (Пересм. Гвадалахара, 2010 г.), в частности определенные в Приложении 2 меры по сокращению издержек;</w:t>
      </w:r>
    </w:p>
    <w:p w14:paraId="0A82F36B" w14:textId="77777777" w:rsidR="004F44FF" w:rsidRPr="002B2BF7" w:rsidRDefault="004F44FF" w:rsidP="004F44FF">
      <w:pPr>
        <w:pStyle w:val="enumlev1"/>
        <w:rPr>
          <w:lang w:val="ru-RU"/>
        </w:rPr>
      </w:pPr>
      <w:r w:rsidRPr="002B2BF7">
        <w:rPr>
          <w:lang w:val="ru-RU"/>
        </w:rPr>
        <w:t>−</w:t>
      </w:r>
      <w:r w:rsidRPr="002B2BF7">
        <w:rPr>
          <w:lang w:val="ru-RU"/>
        </w:rPr>
        <w:tab/>
        <w:t>утвержденный двухгодичный бюджет Союза на период 2014−2015 годов и прогноз доходов и расходов на период 2016−2017 годов;</w:t>
      </w:r>
    </w:p>
    <w:p w14:paraId="5CC0F93B" w14:textId="77777777" w:rsidR="004F44FF" w:rsidRPr="002B2BF7" w:rsidRDefault="004F44FF" w:rsidP="004F44FF">
      <w:pPr>
        <w:pStyle w:val="enumlev1"/>
        <w:rPr>
          <w:rFonts w:eastAsia="SimHei"/>
          <w:i/>
          <w:iCs/>
          <w:lang w:val="ru-RU"/>
        </w:rPr>
      </w:pPr>
      <w:r w:rsidRPr="002B2BF7">
        <w:rPr>
          <w:lang w:val="ru-RU"/>
        </w:rPr>
        <w:t>−</w:t>
      </w:r>
      <w:r w:rsidRPr="002B2BF7">
        <w:rPr>
          <w:lang w:val="ru-RU"/>
        </w:rPr>
        <w:tab/>
        <w:t xml:space="preserve">цель достижения долгосрочной финансовой стабильности, сохранения чистой стоимости активов и недопущения </w:t>
      </w:r>
      <w:r w:rsidRPr="002B2BF7">
        <w:rPr>
          <w:rFonts w:cs="Segoe UI"/>
          <w:color w:val="000000"/>
          <w:lang w:val="ru-RU"/>
        </w:rPr>
        <w:t>снятия средств с Резервного счета</w:t>
      </w:r>
      <w:r w:rsidRPr="002B2BF7">
        <w:rPr>
          <w:lang w:val="ru-RU"/>
        </w:rPr>
        <w:t>,</w:t>
      </w:r>
      <w:r w:rsidRPr="002B2BF7">
        <w:rPr>
          <w:rFonts w:eastAsia="SimHei"/>
          <w:i/>
          <w:iCs/>
          <w:lang w:val="ru-RU"/>
        </w:rPr>
        <w:br w:type="page"/>
      </w:r>
    </w:p>
    <w:p w14:paraId="72263076" w14:textId="77777777" w:rsidR="004F44FF" w:rsidRPr="002B2BF7" w:rsidRDefault="004F44FF" w:rsidP="004F44FF">
      <w:pPr>
        <w:rPr>
          <w:rFonts w:eastAsia="SimHei"/>
          <w:lang w:val="ru-RU"/>
        </w:rPr>
      </w:pPr>
      <w:r w:rsidRPr="002B2BF7">
        <w:rPr>
          <w:rFonts w:eastAsia="SimHei"/>
          <w:i/>
          <w:iCs/>
          <w:lang w:val="ru-RU"/>
        </w:rPr>
        <w:lastRenderedPageBreak/>
        <w:t>c)</w:t>
      </w:r>
      <w:r w:rsidRPr="002B2BF7">
        <w:rPr>
          <w:rFonts w:eastAsia="SimHei"/>
          <w:lang w:val="ru-RU"/>
        </w:rPr>
        <w:tab/>
        <w:t xml:space="preserve">что </w:t>
      </w:r>
      <w:r w:rsidRPr="002B2BF7">
        <w:rPr>
          <w:lang w:val="ru-RU"/>
        </w:rPr>
        <w:t>Дубайский план действий</w:t>
      </w:r>
      <w:r w:rsidRPr="002B2BF7">
        <w:rPr>
          <w:rFonts w:eastAsia="SimHei"/>
          <w:lang w:val="ru-RU"/>
        </w:rPr>
        <w:t xml:space="preserve"> определит программы, задачи, региональные инициативы и ожидаемые результаты, которые </w:t>
      </w:r>
      <w:r w:rsidRPr="002B2BF7">
        <w:rPr>
          <w:lang w:val="ru-RU"/>
        </w:rPr>
        <w:t xml:space="preserve">соотносятся с принципами, терминологией и структурой </w:t>
      </w:r>
      <w:r w:rsidRPr="002B2BF7">
        <w:rPr>
          <w:rFonts w:eastAsia="SimHei"/>
          <w:lang w:val="ru-RU"/>
        </w:rPr>
        <w:t>разработанного настоящей Конференцией</w:t>
      </w:r>
      <w:r w:rsidRPr="002B2BF7">
        <w:rPr>
          <w:lang w:val="ru-RU"/>
        </w:rPr>
        <w:t xml:space="preserve"> проекта Стратегического плана МСЭ</w:t>
      </w:r>
      <w:r w:rsidRPr="002B2BF7">
        <w:rPr>
          <w:rFonts w:eastAsia="SimHei"/>
          <w:lang w:val="ru-RU"/>
        </w:rPr>
        <w:t>-D на 2016−2019 годы</w:t>
      </w:r>
      <w:r w:rsidRPr="002B2BF7">
        <w:rPr>
          <w:lang w:val="ru-RU"/>
        </w:rPr>
        <w:t>;</w:t>
      </w:r>
    </w:p>
    <w:p w14:paraId="3E1E0B83" w14:textId="77777777" w:rsidR="004F44FF" w:rsidRPr="002B2BF7" w:rsidRDefault="004F44FF" w:rsidP="004F44FF">
      <w:pPr>
        <w:rPr>
          <w:rFonts w:eastAsia="SimHei"/>
          <w:lang w:val="ru-RU"/>
        </w:rPr>
      </w:pPr>
      <w:r w:rsidRPr="002B2BF7">
        <w:rPr>
          <w:rFonts w:eastAsia="SimHei"/>
          <w:i/>
          <w:iCs/>
          <w:lang w:val="ru-RU"/>
        </w:rPr>
        <w:t>d)</w:t>
      </w:r>
      <w:r w:rsidRPr="002B2BF7">
        <w:rPr>
          <w:rFonts w:eastAsia="SimHei"/>
          <w:lang w:val="ru-RU"/>
        </w:rPr>
        <w:tab/>
        <w:t xml:space="preserve">что </w:t>
      </w:r>
      <w:r w:rsidRPr="002B2BF7">
        <w:rPr>
          <w:lang w:val="ru-RU"/>
        </w:rPr>
        <w:t>Дубайский план действий</w:t>
      </w:r>
      <w:r w:rsidRPr="002B2BF7">
        <w:rPr>
          <w:rFonts w:eastAsia="SimHei"/>
          <w:lang w:val="ru-RU"/>
        </w:rPr>
        <w:t xml:space="preserve"> будет разработан в соответствии с </w:t>
      </w:r>
      <w:r w:rsidRPr="002B2BF7">
        <w:rPr>
          <w:lang w:val="ru-RU"/>
        </w:rPr>
        <w:t>методиками управления/бюджетирования, ориентированного на результаты (УОР/БОР)</w:t>
      </w:r>
      <w:r w:rsidRPr="002B2BF7">
        <w:rPr>
          <w:rFonts w:eastAsia="SimHei"/>
          <w:lang w:val="ru-RU"/>
        </w:rPr>
        <w:t xml:space="preserve">, с целью обеспечения того, чтобы </w:t>
      </w:r>
      <w:r w:rsidRPr="002B2BF7">
        <w:rPr>
          <w:lang w:val="ru-RU"/>
        </w:rPr>
        <w:t>высокоприоритетным видам деятельности выделялись ресурсы, достаточные для достижения планируемых результатов</w:t>
      </w:r>
      <w:r w:rsidRPr="002B2BF7">
        <w:rPr>
          <w:rFonts w:eastAsia="SimHei"/>
          <w:lang w:val="ru-RU"/>
        </w:rPr>
        <w:t>,</w:t>
      </w:r>
    </w:p>
    <w:p w14:paraId="21AC891E" w14:textId="77777777" w:rsidR="004F44FF" w:rsidRPr="002B2BF7" w:rsidRDefault="004F44FF" w:rsidP="004F44FF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73150648" w14:textId="77777777" w:rsidR="004F44FF" w:rsidRPr="002B2BF7" w:rsidRDefault="004F44FF" w:rsidP="004F44FF">
      <w:pPr>
        <w:rPr>
          <w:lang w:val="ru-RU"/>
        </w:rPr>
      </w:pPr>
      <w:r w:rsidRPr="002B2BF7">
        <w:rPr>
          <w:rFonts w:eastAsia="SimHei"/>
          <w:i/>
          <w:iCs/>
          <w:lang w:val="ru-RU"/>
        </w:rPr>
        <w:t>a)</w:t>
      </w:r>
      <w:r w:rsidRPr="002B2BF7">
        <w:rPr>
          <w:rFonts w:eastAsia="SimHei"/>
          <w:lang w:val="ru-RU"/>
        </w:rPr>
        <w:tab/>
        <w:t xml:space="preserve">что процесс </w:t>
      </w:r>
      <w:r w:rsidRPr="002B2BF7">
        <w:rPr>
          <w:lang w:val="ru-RU"/>
        </w:rPr>
        <w:t>общего обзора выполнения решений Всемирной встречи на высшем уровне по вопросам информационного общества (ВВУИО)</w:t>
      </w:r>
      <w:r w:rsidRPr="002B2BF7">
        <w:rPr>
          <w:rFonts w:eastAsia="SimHei"/>
          <w:lang w:val="ru-RU"/>
        </w:rPr>
        <w:t xml:space="preserve"> состоится в 2014/2015 годах;</w:t>
      </w:r>
    </w:p>
    <w:p w14:paraId="089EF5D1" w14:textId="77777777" w:rsidR="004F44FF" w:rsidRPr="002B2BF7" w:rsidRDefault="004F44FF" w:rsidP="004F44F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в Резолюции 30 (Пересм. Дубай, 2014 г.) настоящей Конференции, определяется роль МСЭ-D в выполнении решений ВВУИО;</w:t>
      </w:r>
    </w:p>
    <w:p w14:paraId="5548F791" w14:textId="77777777" w:rsidR="004F44FF" w:rsidRPr="002B2BF7" w:rsidRDefault="004F44FF" w:rsidP="004F44FF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в Резолюции 140 (Пересм. Гвадалахара, 2010 г.) Полномочной конференции решается, что МСЭ-D должен обеспечить высокий приоритет реализации Направления деятельности С2 ВВУИО "Информационно-коммуникационная инфраструктура";</w:t>
      </w:r>
    </w:p>
    <w:p w14:paraId="6B4E48B2" w14:textId="77777777" w:rsidR="004F44FF" w:rsidRPr="002B2BF7" w:rsidRDefault="004F44FF" w:rsidP="004F44FF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в Резолюции 1332, принятой Советом на его сессии 2011 года, Директору Бюро развития электросвязи поручается учитывать задачи МСЭ как ведущей содействующей организации по Направлениям деятельности C2, C5 и C6 ВВУИО и содействующей организации по Направлениям деятельности C1, C3, C4, C7, C8, C9 и C11 при подготовке настоящей Конференции,</w:t>
      </w:r>
    </w:p>
    <w:p w14:paraId="3547B865" w14:textId="77777777" w:rsidR="004F44FF" w:rsidRPr="002B2BF7" w:rsidRDefault="004F44FF" w:rsidP="004F44FF">
      <w:pPr>
        <w:pStyle w:val="Call"/>
        <w:rPr>
          <w:lang w:val="ru-RU"/>
        </w:rPr>
      </w:pPr>
      <w:r w:rsidRPr="002B2BF7">
        <w:rPr>
          <w:lang w:val="ru-RU"/>
        </w:rPr>
        <w:t>решает поручить Директору Бюро развития электросвязи</w:t>
      </w:r>
    </w:p>
    <w:p w14:paraId="1B79CB8B" w14:textId="77777777" w:rsidR="004F44FF" w:rsidRPr="002B2BF7" w:rsidRDefault="004F44FF" w:rsidP="004F44FF">
      <w:pPr>
        <w:rPr>
          <w:lang w:val="ru-RU"/>
        </w:rPr>
      </w:pPr>
      <w:r w:rsidRPr="002B2BF7">
        <w:rPr>
          <w:lang w:val="ru-RU"/>
        </w:rPr>
        <w:t>при выполнении Дубайского плана действий:</w:t>
      </w:r>
    </w:p>
    <w:p w14:paraId="2A824699" w14:textId="77777777" w:rsidR="004F44FF" w:rsidRPr="002B2BF7" w:rsidRDefault="004F44FF" w:rsidP="004F44FF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предоставить региональным и зональным отделениям МСЭ необходимое содействие в целях полной реализации региональных инициатив, утвержденных настоящей Конференцией в Резолюции 17 (Пересм. Дубай, 2014 г.);</w:t>
      </w:r>
    </w:p>
    <w:p w14:paraId="62DB30C6" w14:textId="77777777" w:rsidR="004F44FF" w:rsidRPr="002B2BF7" w:rsidRDefault="004F44FF" w:rsidP="004F44FF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включить возложенные на МСЭ-D Полномочной конференцией и Советом МСЭ мандаты по выполнению Направлений деятельности ВВУИО, учитывая национальные цели в области развития, устанавливаемые Государствами-Членами;</w:t>
      </w:r>
      <w:r w:rsidRPr="002B2BF7">
        <w:rPr>
          <w:lang w:val="ru-RU"/>
        </w:rPr>
        <w:br w:type="page"/>
      </w:r>
    </w:p>
    <w:p w14:paraId="0DEB09EE" w14:textId="77777777" w:rsidR="004F44FF" w:rsidRPr="002B2BF7" w:rsidRDefault="004F44FF" w:rsidP="004F44FF">
      <w:pPr>
        <w:rPr>
          <w:lang w:val="ru-RU"/>
        </w:rPr>
      </w:pPr>
      <w:r w:rsidRPr="002B2BF7">
        <w:rPr>
          <w:lang w:val="ru-RU"/>
        </w:rPr>
        <w:lastRenderedPageBreak/>
        <w:t>3</w:t>
      </w:r>
      <w:r w:rsidRPr="002B2BF7">
        <w:rPr>
          <w:lang w:val="ru-RU"/>
        </w:rPr>
        <w:tab/>
        <w:t>сформулировать виды деятельности и программы Дубайского плана действий и сформировать их структуру таким образом, чтобы упростить их анализ с учетом настоятельной необходимости оценки этой деятельности на постоянной основе;</w:t>
      </w:r>
    </w:p>
    <w:p w14:paraId="0CE89574" w14:textId="77777777" w:rsidR="004F44FF" w:rsidRPr="002B2BF7" w:rsidRDefault="004F44FF" w:rsidP="004F44FF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принять во внимание ограничения людских и финансовых ресурсов, которые определены в двухгодичном бюджете 2014–2015 годов и, как ожидается, сохранятся в следующем цикле финансового планирования 2016−2019 годов;</w:t>
      </w:r>
    </w:p>
    <w:p w14:paraId="51BA3A23" w14:textId="77777777" w:rsidR="004F44FF" w:rsidRPr="002B2BF7" w:rsidRDefault="004F44FF" w:rsidP="004F44FF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определить и реализовать договоренности о партнерстве с участием многих заинтересованных сторон, в частности с международными финансовыми институтами, региональными банками развития, региональными комиссиями Департамента по экономическим и социальным вопросам (ДЭСВ ООН) и другими учреждениями и департаментами Организации Объединенных Наций, с международными учреждениями по развитию, региональными организациями электросвязи и частным сектором, с целью оптимизации использования ресурсов и недопущения дублирования усилий;</w:t>
      </w:r>
    </w:p>
    <w:p w14:paraId="705536FD" w14:textId="77777777" w:rsidR="004F44FF" w:rsidRPr="002B2BF7" w:rsidRDefault="004F44FF" w:rsidP="004F44FF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продолжать прилагать усилия для определения дополнительных источников доходов и финансирования, с тем чтобы гарантировать возможность полной реализации программ и видов деятельности МСЭ</w:t>
      </w:r>
      <w:r w:rsidRPr="002B2BF7">
        <w:rPr>
          <w:lang w:val="ru-RU"/>
        </w:rPr>
        <w:noBreakHyphen/>
        <w:t>D;</w:t>
      </w:r>
    </w:p>
    <w:p w14:paraId="102B85CB" w14:textId="77777777" w:rsidR="004F44FF" w:rsidRPr="002B2BF7" w:rsidRDefault="004F44FF" w:rsidP="004F44FF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представить отчет о результатах выполнения настоящей Резолюции следующей ВКРЭ.</w:t>
      </w:r>
    </w:p>
    <w:p w14:paraId="70B87637" w14:textId="77777777" w:rsidR="004F44FF" w:rsidRDefault="004F44FF" w:rsidP="004F44FF">
      <w:pPr>
        <w:pStyle w:val="Reasons"/>
        <w:rPr>
          <w:lang w:val="ru-RU"/>
        </w:rPr>
      </w:pPr>
    </w:p>
    <w:p w14:paraId="6F9C0208" w14:textId="77777777" w:rsidR="004F44FF" w:rsidRDefault="004F44FF" w:rsidP="004F44FF">
      <w:pPr>
        <w:pStyle w:val="Reasons"/>
        <w:rPr>
          <w:lang w:val="ru-RU"/>
        </w:rPr>
      </w:pPr>
    </w:p>
    <w:p w14:paraId="4F06D608" w14:textId="77777777" w:rsidR="004F44FF" w:rsidRDefault="004F44FF" w:rsidP="004F44FF">
      <w:pPr>
        <w:pStyle w:val="Reasons"/>
        <w:rPr>
          <w:lang w:val="ru-RU"/>
        </w:rPr>
      </w:pPr>
    </w:p>
    <w:p w14:paraId="544DC4C0" w14:textId="77777777" w:rsidR="004F44FF" w:rsidRDefault="004F44FF" w:rsidP="004F44FF">
      <w:pPr>
        <w:pStyle w:val="Reasons"/>
        <w:rPr>
          <w:lang w:val="ru-RU"/>
        </w:rPr>
      </w:pPr>
    </w:p>
    <w:p w14:paraId="4681DD68" w14:textId="77777777" w:rsidR="004F44FF" w:rsidRDefault="004F44FF" w:rsidP="004F44FF">
      <w:pPr>
        <w:pStyle w:val="Reasons"/>
        <w:rPr>
          <w:lang w:val="ru-RU"/>
        </w:rPr>
      </w:pPr>
    </w:p>
    <w:p w14:paraId="7F17A895" w14:textId="77777777" w:rsidR="004F44FF" w:rsidRDefault="004F44FF" w:rsidP="004F44FF">
      <w:pPr>
        <w:pStyle w:val="Reasons"/>
        <w:rPr>
          <w:lang w:val="ru-RU"/>
        </w:rPr>
      </w:pPr>
    </w:p>
    <w:p w14:paraId="49AB591C" w14:textId="77777777" w:rsidR="004F44FF" w:rsidRDefault="004F44FF" w:rsidP="004F44FF">
      <w:pPr>
        <w:pStyle w:val="Reasons"/>
        <w:rPr>
          <w:lang w:val="ru-RU"/>
        </w:rPr>
      </w:pPr>
    </w:p>
    <w:p w14:paraId="4D86601C" w14:textId="77777777" w:rsidR="004F44FF" w:rsidRPr="002B2BF7" w:rsidRDefault="004F44FF" w:rsidP="004F44FF">
      <w:pPr>
        <w:pStyle w:val="Reasons"/>
        <w:rPr>
          <w:lang w:val="ru-RU"/>
        </w:rPr>
      </w:pPr>
    </w:p>
    <w:p w14:paraId="37220351" w14:textId="77777777" w:rsidR="004F44FF" w:rsidRPr="002B2BF7" w:rsidRDefault="004F44FF" w:rsidP="004F44FF">
      <w:pPr>
        <w:pStyle w:val="Reasons"/>
        <w:rPr>
          <w:lang w:val="ru-RU"/>
        </w:rPr>
      </w:pPr>
    </w:p>
    <w:p w14:paraId="2EE5F88B" w14:textId="77777777" w:rsidR="004F44FF" w:rsidRPr="002B2BF7" w:rsidRDefault="004F44FF" w:rsidP="004F44FF">
      <w:pPr>
        <w:pStyle w:val="Reasons"/>
        <w:rPr>
          <w:lang w:val="ru-RU"/>
        </w:rPr>
      </w:pPr>
    </w:p>
    <w:p w14:paraId="3FBB6BCD" w14:textId="77777777" w:rsidR="00E45F09" w:rsidRPr="004F44FF" w:rsidRDefault="00E45F09" w:rsidP="004F44FF">
      <w:pPr>
        <w:rPr>
          <w:lang w:val="ru-RU"/>
        </w:rPr>
      </w:pPr>
    </w:p>
    <w:sectPr w:rsidR="00E45F09" w:rsidRPr="004F44FF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086BA6F2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4F44FF">
          <w:rPr>
            <w:noProof/>
            <w:szCs w:val="22"/>
          </w:rPr>
          <w:t>53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33BF1B2E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4F44FF">
      <w:rPr>
        <w:noProof/>
        <w:szCs w:val="22"/>
      </w:rPr>
      <w:t>53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373FF6"/>
    <w:rsid w:val="003E584B"/>
    <w:rsid w:val="004F44FF"/>
    <w:rsid w:val="006677D6"/>
    <w:rsid w:val="00686D9E"/>
    <w:rsid w:val="00791A97"/>
    <w:rsid w:val="009D3EFE"/>
    <w:rsid w:val="00D90490"/>
    <w:rsid w:val="00DD3985"/>
    <w:rsid w:val="00E45F09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12</cp:revision>
  <dcterms:created xsi:type="dcterms:W3CDTF">2023-10-16T12:49:00Z</dcterms:created>
  <dcterms:modified xsi:type="dcterms:W3CDTF">2023-10-16T13:11:00Z</dcterms:modified>
</cp:coreProperties>
</file>