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EE75" w14:textId="77777777" w:rsidR="00D9532E" w:rsidRPr="007D4F79" w:rsidRDefault="00D9532E" w:rsidP="00D9532E">
      <w:pPr>
        <w:pStyle w:val="ResNo"/>
        <w:rPr>
          <w:lang w:val="fr-FR"/>
        </w:rPr>
      </w:pPr>
      <w:bookmarkStart w:id="0" w:name="_Toc116542384"/>
      <w:r w:rsidRPr="007D4F79">
        <w:rPr>
          <w:caps w:val="0"/>
          <w:lang w:val="fr-FR"/>
        </w:rPr>
        <w:t xml:space="preserve">RÉSOLUTION </w:t>
      </w:r>
      <w:r w:rsidRPr="007D4F79">
        <w:rPr>
          <w:lang w:val="fr-FR"/>
        </w:rPr>
        <w:t>53 (R</w:t>
      </w:r>
      <w:r w:rsidRPr="007D4F79">
        <w:rPr>
          <w:caps w:val="0"/>
          <w:lang w:val="fr-FR"/>
        </w:rPr>
        <w:t>év</w:t>
      </w:r>
      <w:r w:rsidRPr="007D4F79">
        <w:rPr>
          <w:lang w:val="fr-FR"/>
        </w:rPr>
        <w:t>. D</w:t>
      </w:r>
      <w:r w:rsidRPr="007D4F79">
        <w:rPr>
          <w:caps w:val="0"/>
          <w:lang w:val="fr-FR"/>
        </w:rPr>
        <w:t>ubaï,</w:t>
      </w:r>
      <w:r w:rsidRPr="007D4F79">
        <w:rPr>
          <w:lang w:val="fr-FR"/>
        </w:rPr>
        <w:t xml:space="preserve"> 2014)</w:t>
      </w:r>
      <w:bookmarkEnd w:id="0"/>
    </w:p>
    <w:p w14:paraId="1519AA1D" w14:textId="77777777" w:rsidR="00D9532E" w:rsidRPr="007D4F79" w:rsidRDefault="00D9532E" w:rsidP="00D9532E">
      <w:pPr>
        <w:pStyle w:val="Restitle"/>
        <w:rPr>
          <w:lang w:val="fr-FR"/>
        </w:rPr>
      </w:pPr>
      <w:bookmarkStart w:id="1" w:name="_Toc116542385"/>
      <w:r w:rsidRPr="007D4F79">
        <w:rPr>
          <w:lang w:val="fr-FR"/>
        </w:rPr>
        <w:t xml:space="preserve">Cadre stratégique et financier pour l'élaboration et </w:t>
      </w:r>
      <w:r w:rsidRPr="007D4F79">
        <w:rPr>
          <w:lang w:val="fr-FR"/>
        </w:rPr>
        <w:br/>
        <w:t>la mise en œuvre du Plan d'action de Dubaï</w:t>
      </w:r>
      <w:bookmarkEnd w:id="1"/>
    </w:p>
    <w:p w14:paraId="149FE970" w14:textId="77777777" w:rsidR="00D9532E" w:rsidRPr="007D4F79" w:rsidRDefault="00D9532E" w:rsidP="00D9532E">
      <w:pPr>
        <w:pStyle w:val="Normalaftertitle"/>
        <w:rPr>
          <w:lang w:val="fr-FR"/>
        </w:rPr>
      </w:pPr>
      <w:r w:rsidRPr="007D4F79">
        <w:rPr>
          <w:lang w:val="fr-FR"/>
        </w:rPr>
        <w:t>La Conférence mondiale de développement des télécommunications (Dubaï, 2014),</w:t>
      </w:r>
    </w:p>
    <w:p w14:paraId="55CB2B6D" w14:textId="77777777" w:rsidR="00D9532E" w:rsidRPr="007D4F79" w:rsidRDefault="00D9532E" w:rsidP="00D9532E">
      <w:pPr>
        <w:pStyle w:val="Call"/>
        <w:rPr>
          <w:lang w:val="fr-FR"/>
        </w:rPr>
      </w:pPr>
      <w:r w:rsidRPr="007D4F79">
        <w:rPr>
          <w:lang w:val="fr-FR"/>
        </w:rPr>
        <w:t>considérant</w:t>
      </w:r>
    </w:p>
    <w:p w14:paraId="6E4DE836" w14:textId="77777777" w:rsidR="00D9532E" w:rsidRPr="007D4F79" w:rsidRDefault="00D9532E" w:rsidP="00D9532E">
      <w:pPr>
        <w:rPr>
          <w:lang w:val="fr-FR"/>
        </w:rPr>
      </w:pPr>
      <w:r w:rsidRPr="007D4F79">
        <w:rPr>
          <w:i/>
          <w:iCs/>
          <w:lang w:val="fr-FR"/>
        </w:rPr>
        <w:t>a)</w:t>
      </w:r>
      <w:r w:rsidRPr="007D4F79">
        <w:rPr>
          <w:lang w:val="fr-FR"/>
        </w:rPr>
        <w:tab/>
        <w:t>que, conformément au numéro 118 de la Constitution de l'UIT et au numéro 209 de la Convention de l'UIT, le rôle des conférences mondiales de développement des télécommunications (CMDT) est notamment: i) d'établir des programmes de travail et des directives afin de définir les questions et les priorités relatives au développement des télécommunications; et ii) de donner des orientations au Secteur du développement des télécommunications de l'UIT (UIT-D) pour son programme de travail;</w:t>
      </w:r>
    </w:p>
    <w:p w14:paraId="3DD243DF" w14:textId="77777777" w:rsidR="00D9532E" w:rsidRPr="007D4F79" w:rsidRDefault="00D9532E" w:rsidP="00D9532E">
      <w:pPr>
        <w:rPr>
          <w:lang w:val="fr-FR"/>
        </w:rPr>
      </w:pPr>
      <w:r w:rsidRPr="007D4F79">
        <w:rPr>
          <w:i/>
          <w:iCs/>
          <w:lang w:val="fr-FR"/>
        </w:rPr>
        <w:t>b)</w:t>
      </w:r>
      <w:r w:rsidRPr="007D4F79">
        <w:rPr>
          <w:lang w:val="fr-FR"/>
        </w:rPr>
        <w:tab/>
        <w:t>que la Résolution 71 (Rév. Guadalajara, 2010) de la Conférence de plénipotentiaires contient le Plan stratégique de l'UIT-D pour la période 2012</w:t>
      </w:r>
      <w:r w:rsidRPr="007D4F79">
        <w:rPr>
          <w:lang w:val="fr-FR"/>
        </w:rPr>
        <w:noBreakHyphen/>
        <w:t>2015 et définit le but stratégique et les objectifs de l'UIT-D pour cette période;</w:t>
      </w:r>
    </w:p>
    <w:p w14:paraId="46829D59" w14:textId="77777777" w:rsidR="00D9532E" w:rsidRPr="007D4F79" w:rsidRDefault="00D9532E" w:rsidP="00D9532E">
      <w:pPr>
        <w:rPr>
          <w:lang w:val="fr-FR"/>
        </w:rPr>
      </w:pPr>
      <w:r w:rsidRPr="007D4F79">
        <w:rPr>
          <w:i/>
          <w:iCs/>
          <w:lang w:val="fr-FR"/>
        </w:rPr>
        <w:t>c)</w:t>
      </w:r>
      <w:r w:rsidRPr="007D4F79">
        <w:rPr>
          <w:i/>
          <w:iCs/>
          <w:lang w:val="fr-FR"/>
        </w:rPr>
        <w:tab/>
      </w:r>
      <w:r w:rsidRPr="007D4F79">
        <w:rPr>
          <w:lang w:val="fr-FR"/>
        </w:rPr>
        <w:t>que, par sa Résolution 72 (Rév. Guadalajara, 2010), la Conférence de plénipotentiaires a établi qu'il convenait d'établir une coordination entre les planifications stratégique, financière et opérationnelle à l'UIT;</w:t>
      </w:r>
    </w:p>
    <w:p w14:paraId="1BDB4948" w14:textId="77777777" w:rsidR="00D9532E" w:rsidRPr="007D4F79" w:rsidRDefault="00D9532E" w:rsidP="00D9532E">
      <w:pPr>
        <w:rPr>
          <w:lang w:val="fr-FR"/>
        </w:rPr>
      </w:pPr>
      <w:r w:rsidRPr="007D4F79">
        <w:rPr>
          <w:i/>
          <w:iCs/>
          <w:lang w:val="fr-FR"/>
        </w:rPr>
        <w:t>d)</w:t>
      </w:r>
      <w:r w:rsidRPr="007D4F79">
        <w:rPr>
          <w:i/>
          <w:iCs/>
          <w:lang w:val="fr-FR"/>
        </w:rPr>
        <w:tab/>
      </w:r>
      <w:r w:rsidRPr="007D4F79">
        <w:rPr>
          <w:lang w:val="fr-FR"/>
        </w:rPr>
        <w:t>que, au titre de sa Décision 5 (Rév. Guadalajara, 2010), dans laquelle elle définit les recettes et dépenses de l'Union pour la période 2012-2015 et prend acte des contraintes financières actuelles de l'Union, la Conférence de plénipotentiaires a identifié, dans l'Annexe 2 de ladite Décision, plusieurs mesures de réduction des dépenses dont les trois Secteurs de l'Union doivent tenir compte,</w:t>
      </w:r>
    </w:p>
    <w:p w14:paraId="469722DA" w14:textId="77777777" w:rsidR="00D9532E" w:rsidRPr="007D4F79" w:rsidRDefault="00D9532E" w:rsidP="00D9532E">
      <w:pPr>
        <w:pStyle w:val="Call"/>
        <w:rPr>
          <w:lang w:val="fr-FR"/>
        </w:rPr>
      </w:pPr>
      <w:r w:rsidRPr="007D4F79">
        <w:rPr>
          <w:lang w:val="fr-FR"/>
        </w:rPr>
        <w:t>considérant en outre</w:t>
      </w:r>
    </w:p>
    <w:p w14:paraId="2F20DAEA" w14:textId="77777777" w:rsidR="00D9532E" w:rsidRPr="007D4F79" w:rsidRDefault="00D9532E" w:rsidP="00D9532E">
      <w:pPr>
        <w:rPr>
          <w:lang w:val="fr-FR"/>
        </w:rPr>
      </w:pPr>
      <w:r w:rsidRPr="007D4F79">
        <w:rPr>
          <w:i/>
          <w:iCs/>
          <w:lang w:val="fr-FR"/>
        </w:rPr>
        <w:t>a)</w:t>
      </w:r>
      <w:r w:rsidRPr="007D4F79">
        <w:rPr>
          <w:i/>
          <w:iCs/>
          <w:lang w:val="fr-FR"/>
        </w:rPr>
        <w:tab/>
      </w:r>
      <w:r w:rsidRPr="007D4F79">
        <w:rPr>
          <w:lang w:val="fr-FR"/>
        </w:rPr>
        <w:t>que, conformément à la Résolution 31 (Rév. Dubaï, 2014) de la présente Conférence, l'identification, l'analyse et l'élaboration d'initiatives et de projets régionaux lors des réunions préparatoires régionales constituent un apport majeur à la présente Conférence;</w:t>
      </w:r>
    </w:p>
    <w:p w14:paraId="1A7B150F" w14:textId="77777777" w:rsidR="00D9532E" w:rsidRDefault="00D9532E" w:rsidP="00D9532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EE38FF3" w14:textId="77777777" w:rsidR="00D9532E" w:rsidRPr="007D4F79" w:rsidRDefault="00D9532E" w:rsidP="00D9532E">
      <w:pPr>
        <w:rPr>
          <w:lang w:val="fr-FR"/>
        </w:rPr>
      </w:pPr>
      <w:r w:rsidRPr="007D4F79">
        <w:rPr>
          <w:i/>
          <w:iCs/>
          <w:lang w:val="fr-FR"/>
        </w:rPr>
        <w:lastRenderedPageBreak/>
        <w:t>b)</w:t>
      </w:r>
      <w:r w:rsidRPr="007D4F79">
        <w:rPr>
          <w:i/>
          <w:iCs/>
          <w:lang w:val="fr-FR"/>
        </w:rPr>
        <w:tab/>
      </w:r>
      <w:r w:rsidRPr="007D4F79">
        <w:rPr>
          <w:lang w:val="fr-FR"/>
        </w:rPr>
        <w:t>que, en vertu de la Résolution 1358 adoptée à sa session de 2013, le Conseil de l'UIT a établi le Groupe de travail du Conseil chargé d'élaborer le projet de Plan stratégique et le projet de plan financier de l'Union pour la période 2016-2019</w:t>
      </w:r>
      <w:r w:rsidRPr="007D4F79">
        <w:rPr>
          <w:rFonts w:cs="Calibri"/>
          <w:szCs w:val="22"/>
          <w:lang w:val="fr-FR" w:eastAsia="zh-CN"/>
        </w:rPr>
        <w:t xml:space="preserve"> </w:t>
      </w:r>
      <w:r w:rsidRPr="007D4F79">
        <w:rPr>
          <w:lang w:val="fr-FR"/>
        </w:rPr>
        <w:t>(GTC-SPFP), qui devait soumettre au Groupe consultatif pour le développement des télécommunications et à la présente Conférence les principes, le glossaire, la structure et les lignes directrices en vue de l'élaboration du Plan stratégique de l'UIT</w:t>
      </w:r>
      <w:r w:rsidRPr="007D4F79">
        <w:rPr>
          <w:lang w:val="fr-FR"/>
        </w:rPr>
        <w:noBreakHyphen/>
        <w:t>D, sur la base d'une coordination claire des planifications stratégique et opérationnelle avec la planification financière et la budgétisation,</w:t>
      </w:r>
    </w:p>
    <w:p w14:paraId="7B16639F" w14:textId="77777777" w:rsidR="00D9532E" w:rsidRPr="007D4F79" w:rsidRDefault="00D9532E" w:rsidP="00D9532E">
      <w:pPr>
        <w:pStyle w:val="Call"/>
        <w:rPr>
          <w:lang w:val="fr-FR"/>
        </w:rPr>
      </w:pPr>
      <w:r w:rsidRPr="007D4F79">
        <w:rPr>
          <w:lang w:val="fr-FR"/>
        </w:rPr>
        <w:t>tenant compte</w:t>
      </w:r>
    </w:p>
    <w:p w14:paraId="24F8BED4" w14:textId="77777777" w:rsidR="00D9532E" w:rsidRPr="007D4F79" w:rsidRDefault="00D9532E" w:rsidP="00D9532E">
      <w:pPr>
        <w:rPr>
          <w:lang w:val="fr-FR"/>
        </w:rPr>
      </w:pPr>
      <w:r w:rsidRPr="007D4F79">
        <w:rPr>
          <w:i/>
          <w:iCs/>
          <w:lang w:val="fr-FR"/>
        </w:rPr>
        <w:t>a)</w:t>
      </w:r>
      <w:r w:rsidRPr="007D4F79">
        <w:rPr>
          <w:lang w:val="fr-FR"/>
        </w:rPr>
        <w:tab/>
        <w:t>du fait que, par sa Résolution 1359, adoptée à sa session de 2013, le Conseil a approuvé le budget biennal de l'UIT pour la période 2014-2015, en vue d'assurer la stabilité financière, de régler les engagements à long terme non financés, de maintenir une valeur de l'actif net positive et d'éviter les prélèvements sur le Fonds de réserve;</w:t>
      </w:r>
    </w:p>
    <w:p w14:paraId="75BD8C6D" w14:textId="77777777" w:rsidR="00D9532E" w:rsidRPr="007D4F79" w:rsidRDefault="00D9532E" w:rsidP="00D9532E">
      <w:pPr>
        <w:rPr>
          <w:lang w:val="fr-FR"/>
        </w:rPr>
      </w:pPr>
      <w:r w:rsidRPr="007D4F79">
        <w:rPr>
          <w:i/>
          <w:iCs/>
          <w:lang w:val="fr-FR"/>
        </w:rPr>
        <w:t>b)</w:t>
      </w:r>
      <w:r w:rsidRPr="007D4F79">
        <w:rPr>
          <w:lang w:val="fr-FR"/>
        </w:rPr>
        <w:tab/>
        <w:t>de la poursuite du processus de mise en œuvre de la budgétisation axée sur les résultats (BAR) à l'UIT, budgétisation dont la caractéristique principale est l'identification des coûts, des objectifs, des résultats attendus, des indicateurs de performance et des priorités pour un certain nombre de produits bien définis (produits sectoriels ou intersectoriels ou encore services fournis par l'UIT),</w:t>
      </w:r>
    </w:p>
    <w:p w14:paraId="03C12165" w14:textId="77777777" w:rsidR="00D9532E" w:rsidRPr="007D4F79" w:rsidRDefault="00D9532E" w:rsidP="00D9532E">
      <w:pPr>
        <w:pStyle w:val="Call"/>
        <w:rPr>
          <w:lang w:val="fr-FR"/>
        </w:rPr>
      </w:pPr>
      <w:r w:rsidRPr="007D4F79">
        <w:rPr>
          <w:lang w:val="fr-FR"/>
        </w:rPr>
        <w:t>tenant compte en outre du fait</w:t>
      </w:r>
    </w:p>
    <w:p w14:paraId="232AD378" w14:textId="77777777" w:rsidR="00D9532E" w:rsidRPr="007D4F79" w:rsidRDefault="00D9532E" w:rsidP="00D9532E">
      <w:pPr>
        <w:rPr>
          <w:lang w:val="fr-FR"/>
        </w:rPr>
      </w:pPr>
      <w:r w:rsidRPr="007D4F79">
        <w:rPr>
          <w:i/>
          <w:iCs/>
          <w:lang w:val="fr-FR"/>
        </w:rPr>
        <w:t>a)</w:t>
      </w:r>
      <w:r w:rsidRPr="007D4F79">
        <w:rPr>
          <w:lang w:val="fr-FR"/>
        </w:rPr>
        <w:tab/>
        <w:t>que le cadre stratégique du Plan d'action de Dubaï est fondé sur:</w:t>
      </w:r>
    </w:p>
    <w:p w14:paraId="3CFF69C7" w14:textId="77777777" w:rsidR="00D9532E" w:rsidRPr="007D4F79" w:rsidRDefault="00D9532E" w:rsidP="00D9532E">
      <w:pPr>
        <w:pStyle w:val="enumlev1"/>
        <w:rPr>
          <w:lang w:val="fr-FR"/>
        </w:rPr>
      </w:pPr>
      <w:r w:rsidRPr="007D4F79">
        <w:rPr>
          <w:lang w:val="fr-FR"/>
        </w:rPr>
        <w:t>–</w:t>
      </w:r>
      <w:r w:rsidRPr="007D4F79">
        <w:rPr>
          <w:lang w:val="fr-FR"/>
        </w:rPr>
        <w:tab/>
        <w:t>les Résolutions 71 (Rév. Guadalajara, 2010) et 72 (Rév. Guadalajara, 2010) de la Conférence de plénipotentiaires;</w:t>
      </w:r>
    </w:p>
    <w:p w14:paraId="2D89C033" w14:textId="77777777" w:rsidR="00D9532E" w:rsidRPr="007D4F79" w:rsidRDefault="00D9532E" w:rsidP="00D9532E">
      <w:pPr>
        <w:pStyle w:val="enumlev1"/>
        <w:rPr>
          <w:lang w:val="fr-FR"/>
        </w:rPr>
      </w:pPr>
      <w:r w:rsidRPr="007D4F79">
        <w:rPr>
          <w:lang w:val="fr-FR"/>
        </w:rPr>
        <w:t>–</w:t>
      </w:r>
      <w:r w:rsidRPr="007D4F79">
        <w:rPr>
          <w:lang w:val="fr-FR"/>
        </w:rPr>
        <w:tab/>
        <w:t>les objectifs stratégiques de l'UIT-D pour la période 2016-2019 élaborés par la présente Conférence;</w:t>
      </w:r>
    </w:p>
    <w:p w14:paraId="189F3441" w14:textId="77777777" w:rsidR="00D9532E" w:rsidRPr="007D4F79" w:rsidRDefault="00D9532E" w:rsidP="00D9532E">
      <w:pPr>
        <w:pStyle w:val="enumlev1"/>
        <w:rPr>
          <w:i/>
          <w:iCs/>
          <w:lang w:val="fr-FR"/>
        </w:rPr>
      </w:pPr>
      <w:r w:rsidRPr="007D4F79">
        <w:rPr>
          <w:lang w:val="fr-FR"/>
        </w:rPr>
        <w:t>–</w:t>
      </w:r>
      <w:r w:rsidRPr="007D4F79">
        <w:rPr>
          <w:lang w:val="fr-FR"/>
        </w:rPr>
        <w:tab/>
        <w:t>l'accomplissement du mandat de l'UIT-D, conformément à la Constitution de l'UIT, en évitant tout chevauchement avec les travaux menés par les autres Secteurs et en mettant en œuvre les objectifs stratégiques énoncés dans les Plans stratégiques de l'Union pour les périodes 2012-2015 et 2016-2019;</w:t>
      </w:r>
    </w:p>
    <w:p w14:paraId="2EA45F48" w14:textId="77777777" w:rsidR="00D9532E" w:rsidRPr="007D4F79" w:rsidRDefault="00D9532E" w:rsidP="00D9532E">
      <w:pPr>
        <w:rPr>
          <w:i/>
          <w:iCs/>
          <w:lang w:val="fr-FR"/>
        </w:rPr>
      </w:pPr>
      <w:r w:rsidRPr="007D4F79">
        <w:rPr>
          <w:i/>
          <w:iCs/>
          <w:lang w:val="fr-FR"/>
        </w:rPr>
        <w:t>b)</w:t>
      </w:r>
      <w:r w:rsidRPr="007D4F79">
        <w:rPr>
          <w:i/>
          <w:iCs/>
          <w:lang w:val="fr-FR"/>
        </w:rPr>
        <w:tab/>
      </w:r>
      <w:r w:rsidRPr="007D4F79">
        <w:rPr>
          <w:lang w:val="fr-FR"/>
        </w:rPr>
        <w:t>que le cadre financier du Plan d'action de Dubaï est fondé sur:</w:t>
      </w:r>
    </w:p>
    <w:p w14:paraId="72E81370" w14:textId="77777777" w:rsidR="00D9532E" w:rsidRPr="007D4F79" w:rsidRDefault="00D9532E" w:rsidP="00D9532E">
      <w:pPr>
        <w:pStyle w:val="enumlev1"/>
        <w:rPr>
          <w:lang w:val="fr-FR"/>
        </w:rPr>
      </w:pPr>
      <w:r w:rsidRPr="007D4F79">
        <w:rPr>
          <w:lang w:val="fr-FR"/>
        </w:rPr>
        <w:t>–</w:t>
      </w:r>
      <w:r w:rsidRPr="007D4F79">
        <w:rPr>
          <w:lang w:val="fr-FR"/>
        </w:rPr>
        <w:tab/>
        <w:t>la Décision 5 (Rév. Guadalajara, 2010) de la Conférence de plénipotentiaires, et en particulier sur les mesures de réduction des dépenses définies dans l'Annexe 2 de ladite Décision;</w:t>
      </w:r>
    </w:p>
    <w:p w14:paraId="4C3E9810" w14:textId="77777777" w:rsidR="00D9532E" w:rsidRPr="007D4F79" w:rsidRDefault="00D9532E" w:rsidP="00D9532E">
      <w:pPr>
        <w:pStyle w:val="enumlev1"/>
        <w:rPr>
          <w:lang w:val="fr-FR"/>
        </w:rPr>
      </w:pPr>
      <w:r w:rsidRPr="007D4F79">
        <w:rPr>
          <w:lang w:val="fr-FR"/>
        </w:rPr>
        <w:t>–</w:t>
      </w:r>
      <w:r w:rsidRPr="007D4F79">
        <w:rPr>
          <w:lang w:val="fr-FR"/>
        </w:rPr>
        <w:tab/>
        <w:t>le budget biennal de l'Union approuvé pour la période 2014-2015 et les prévisions de recettes et de dépenses pour la période 2016-2017;</w:t>
      </w:r>
    </w:p>
    <w:p w14:paraId="185C78B4" w14:textId="77777777" w:rsidR="00D9532E" w:rsidRPr="007D4F79" w:rsidRDefault="00D9532E" w:rsidP="00D9532E">
      <w:pPr>
        <w:pStyle w:val="enumlev1"/>
        <w:rPr>
          <w:lang w:val="fr-FR"/>
        </w:rPr>
      </w:pPr>
      <w:r w:rsidRPr="007D4F79">
        <w:rPr>
          <w:lang w:val="fr-FR"/>
        </w:rPr>
        <w:t>–</w:t>
      </w:r>
      <w:r w:rsidRPr="007D4F79">
        <w:rPr>
          <w:lang w:val="fr-FR"/>
        </w:rPr>
        <w:tab/>
        <w:t>l'objectif visant à assurer la stabilité financière à long terme, à maintenir la valeur de l'actif net et à éviter les prélèvements sur le Fonds de réserve;</w:t>
      </w:r>
    </w:p>
    <w:p w14:paraId="2E8F5188" w14:textId="77777777" w:rsidR="00D9532E" w:rsidRDefault="00D9532E" w:rsidP="00D9532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4B379477" w14:textId="77777777" w:rsidR="00D9532E" w:rsidRPr="007D4F79" w:rsidRDefault="00D9532E" w:rsidP="00D9532E">
      <w:pPr>
        <w:rPr>
          <w:lang w:val="fr-FR"/>
        </w:rPr>
      </w:pPr>
      <w:r w:rsidRPr="007D4F79">
        <w:rPr>
          <w:i/>
          <w:iCs/>
          <w:lang w:val="fr-FR"/>
        </w:rPr>
        <w:lastRenderedPageBreak/>
        <w:t>c)</w:t>
      </w:r>
      <w:r w:rsidRPr="007D4F79">
        <w:rPr>
          <w:i/>
          <w:iCs/>
          <w:lang w:val="fr-FR"/>
        </w:rPr>
        <w:tab/>
      </w:r>
      <w:r w:rsidRPr="007D4F79">
        <w:rPr>
          <w:lang w:val="fr-FR"/>
        </w:rPr>
        <w:t>que le Plan d'action de Dubaï définit des programmes, des objectifs, des initiatives régionales et des résultats attendus qui sont en corrélation avec les principes, la terminologie et la structure du projet de Plan stratégique de l'UIT</w:t>
      </w:r>
      <w:r w:rsidRPr="007D4F79">
        <w:rPr>
          <w:lang w:val="fr-FR"/>
        </w:rPr>
        <w:noBreakHyphen/>
        <w:t>D pour la période 2016-2019 élaboré par la présente Conférence;</w:t>
      </w:r>
    </w:p>
    <w:p w14:paraId="2E476CB4" w14:textId="77777777" w:rsidR="00D9532E" w:rsidRPr="007D4F79" w:rsidRDefault="00D9532E" w:rsidP="00D9532E">
      <w:pPr>
        <w:rPr>
          <w:lang w:val="fr-FR"/>
        </w:rPr>
      </w:pPr>
      <w:r w:rsidRPr="007D4F79">
        <w:rPr>
          <w:i/>
          <w:lang w:val="fr-FR"/>
        </w:rPr>
        <w:t>d)</w:t>
      </w:r>
      <w:r w:rsidRPr="007D4F79">
        <w:rPr>
          <w:lang w:val="fr-FR"/>
        </w:rPr>
        <w:tab/>
        <w:t>que le Plan d'action de Dubaï est élaboré en conformité avec les méthodes de gestion/budgétisation axée sur les résultats (GAR/BAR), en vue de faire en sorte que des ressources suffisantes soient allouées aux activités ayant un rang de priorité élevé, afin d'obtenir les résultats prévus,</w:t>
      </w:r>
    </w:p>
    <w:p w14:paraId="0521F635" w14:textId="77777777" w:rsidR="00D9532E" w:rsidRPr="007D4F79" w:rsidRDefault="00D9532E" w:rsidP="00D9532E">
      <w:pPr>
        <w:pStyle w:val="Call"/>
        <w:rPr>
          <w:lang w:val="fr-FR"/>
        </w:rPr>
      </w:pPr>
      <w:r w:rsidRPr="007D4F79">
        <w:rPr>
          <w:lang w:val="fr-FR"/>
        </w:rPr>
        <w:t>reconnaissant</w:t>
      </w:r>
    </w:p>
    <w:p w14:paraId="02EF074E" w14:textId="77777777" w:rsidR="00D9532E" w:rsidRPr="007D4F79" w:rsidRDefault="00D9532E" w:rsidP="00D9532E">
      <w:pPr>
        <w:rPr>
          <w:i/>
          <w:iCs/>
          <w:lang w:val="fr-FR"/>
        </w:rPr>
      </w:pPr>
      <w:r w:rsidRPr="007D4F79">
        <w:rPr>
          <w:i/>
          <w:iCs/>
          <w:lang w:val="fr-FR"/>
        </w:rPr>
        <w:t>a)</w:t>
      </w:r>
      <w:r w:rsidRPr="007D4F79">
        <w:rPr>
          <w:lang w:val="fr-FR"/>
        </w:rPr>
        <w:tab/>
        <w:t>le processus d'examen d'ensemble des résultats du Sommet mondial sur la société de l'information (SMSI), qui aura lieu en 2014 ou 2015;</w:t>
      </w:r>
    </w:p>
    <w:p w14:paraId="26F7E9B8" w14:textId="77777777" w:rsidR="00D9532E" w:rsidRPr="007D4F79" w:rsidRDefault="00D9532E" w:rsidP="00D9532E">
      <w:pPr>
        <w:rPr>
          <w:lang w:val="fr-FR"/>
        </w:rPr>
      </w:pPr>
      <w:r w:rsidRPr="007D4F79">
        <w:rPr>
          <w:i/>
          <w:iCs/>
          <w:lang w:val="fr-FR"/>
        </w:rPr>
        <w:t>b)</w:t>
      </w:r>
      <w:r w:rsidRPr="007D4F79">
        <w:rPr>
          <w:i/>
          <w:iCs/>
          <w:lang w:val="fr-FR"/>
        </w:rPr>
        <w:tab/>
      </w:r>
      <w:r w:rsidRPr="007D4F79">
        <w:rPr>
          <w:lang w:val="fr-FR"/>
        </w:rPr>
        <w:t>que la Résolution 30 (Rév. Dubaï, 2014) de la présente Conférence a défini le rôle de l'UIT-D dans la mise en œuvre des résultats du SMSI;</w:t>
      </w:r>
    </w:p>
    <w:p w14:paraId="0FCDFC09" w14:textId="77777777" w:rsidR="00D9532E" w:rsidRPr="007D4F79" w:rsidRDefault="00D9532E" w:rsidP="00D9532E">
      <w:pPr>
        <w:rPr>
          <w:lang w:val="fr-FR"/>
        </w:rPr>
      </w:pPr>
      <w:r w:rsidRPr="007D4F79">
        <w:rPr>
          <w:i/>
          <w:iCs/>
          <w:lang w:val="fr-FR"/>
        </w:rPr>
        <w:t>c)</w:t>
      </w:r>
      <w:r w:rsidRPr="007D4F79">
        <w:rPr>
          <w:lang w:val="fr-FR"/>
        </w:rPr>
        <w:tab/>
        <w:t>que, aux termes de la Résolution 140 (Rév. Guadalajara, 2010) de la Conférence de plénipotentiaires, il a été décidé que l'UIT-D devait accorder un rang de priorité élevé à la mise en œuvre de la grande orientation C2 du SMSI relative à l'édification de l'infrastructure de l'information et de la communication;</w:t>
      </w:r>
    </w:p>
    <w:p w14:paraId="6C4A949F" w14:textId="77777777" w:rsidR="00D9532E" w:rsidRPr="007D4F79" w:rsidRDefault="00D9532E" w:rsidP="00D9532E">
      <w:pPr>
        <w:rPr>
          <w:szCs w:val="24"/>
          <w:lang w:val="fr-FR"/>
        </w:rPr>
      </w:pPr>
      <w:r w:rsidRPr="007D4F79">
        <w:rPr>
          <w:i/>
          <w:iCs/>
          <w:lang w:val="fr-FR"/>
        </w:rPr>
        <w:t>d)</w:t>
      </w:r>
      <w:r w:rsidRPr="007D4F79">
        <w:rPr>
          <w:lang w:val="fr-FR"/>
        </w:rPr>
        <w:tab/>
        <w:t>que, en vertu de sa Résolution 1332 adoptée à sa session de 2011, le Conseil a chargé le Directeur du Bureau de développement des télécommunications de tenir compte des tâches menées par l'UIT en tant que coordonnateur principal des grandes orientations C2, C5 et C6 du SMSI et co</w:t>
      </w:r>
      <w:r w:rsidRPr="007D4F79">
        <w:rPr>
          <w:lang w:val="fr-FR"/>
        </w:rPr>
        <w:noBreakHyphen/>
        <w:t xml:space="preserve">coordonnateur des grandes orientations </w:t>
      </w:r>
      <w:r w:rsidRPr="007D4F79">
        <w:rPr>
          <w:szCs w:val="24"/>
          <w:lang w:val="fr-FR"/>
        </w:rPr>
        <w:t>C1, C3, C4, C7, C8, C9 et C11 du SMSI dans le cadre des travaux préparatoires en vue de la présente Conférence,</w:t>
      </w:r>
    </w:p>
    <w:p w14:paraId="0434902D" w14:textId="77777777" w:rsidR="00D9532E" w:rsidRPr="007D4F79" w:rsidRDefault="00D9532E" w:rsidP="00D9532E">
      <w:pPr>
        <w:pStyle w:val="Call"/>
        <w:rPr>
          <w:lang w:val="fr-FR"/>
        </w:rPr>
      </w:pPr>
      <w:r w:rsidRPr="007D4F79">
        <w:rPr>
          <w:lang w:val="fr-FR"/>
        </w:rPr>
        <w:t>décide de charger le Directeur du Bureau de développement des télécommunications</w:t>
      </w:r>
    </w:p>
    <w:p w14:paraId="6F8BBDED" w14:textId="77777777" w:rsidR="00D9532E" w:rsidRPr="007D4F79" w:rsidRDefault="00D9532E" w:rsidP="00D9532E">
      <w:pPr>
        <w:rPr>
          <w:lang w:val="fr-FR"/>
        </w:rPr>
      </w:pPr>
      <w:r w:rsidRPr="007D4F79">
        <w:rPr>
          <w:lang w:val="fr-FR"/>
        </w:rPr>
        <w:t>dans le cadre de la mise en œuvre du Plan d'action de Dubaï:</w:t>
      </w:r>
    </w:p>
    <w:p w14:paraId="5F02140C" w14:textId="77777777" w:rsidR="00D9532E" w:rsidRPr="007D4F79" w:rsidRDefault="00D9532E" w:rsidP="00D9532E">
      <w:pPr>
        <w:rPr>
          <w:lang w:val="fr-FR"/>
        </w:rPr>
      </w:pPr>
      <w:r w:rsidRPr="007D4F79">
        <w:rPr>
          <w:lang w:val="fr-FR"/>
        </w:rPr>
        <w:t>1</w:t>
      </w:r>
      <w:r w:rsidRPr="007D4F79">
        <w:rPr>
          <w:lang w:val="fr-FR"/>
        </w:rPr>
        <w:tab/>
        <w:t>d'apporter aux bureaux régionaux et aux bureaux de zone de l'UIT l'assistance nécessaire pour la mise en œuvre pleine et entière des initiatives régionales approuvées par la présente Conférence dans la Résolution 17 (Rév. Dubaï, 2014);</w:t>
      </w:r>
    </w:p>
    <w:p w14:paraId="6DC80060" w14:textId="77777777" w:rsidR="00D9532E" w:rsidRPr="007D4F79" w:rsidRDefault="00D9532E" w:rsidP="00D9532E">
      <w:pPr>
        <w:rPr>
          <w:lang w:val="fr-FR"/>
        </w:rPr>
      </w:pPr>
      <w:r w:rsidRPr="007D4F79">
        <w:rPr>
          <w:lang w:val="fr-FR"/>
        </w:rPr>
        <w:t>2</w:t>
      </w:r>
      <w:r w:rsidRPr="007D4F79">
        <w:rPr>
          <w:lang w:val="fr-FR"/>
        </w:rPr>
        <w:tab/>
        <w:t>d'intégrer le mandat conféré à l'UIT-D par la Conférence de plénipotentiaires et le Conseil de l'UIT concernant la mise en œuvre des grandes orientations du SMSI, en tenant compte des objectifs de développement nationaux établis par les États Membres;</w:t>
      </w:r>
    </w:p>
    <w:p w14:paraId="2CC351EC" w14:textId="77777777" w:rsidR="00D9532E" w:rsidRDefault="00D9532E" w:rsidP="00D9532E">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5C2A85B4" w14:textId="77777777" w:rsidR="00D9532E" w:rsidRPr="007D4F79" w:rsidRDefault="00D9532E" w:rsidP="00D9532E">
      <w:pPr>
        <w:rPr>
          <w:lang w:val="fr-FR"/>
        </w:rPr>
      </w:pPr>
      <w:r w:rsidRPr="007D4F79">
        <w:rPr>
          <w:lang w:val="fr-FR"/>
        </w:rPr>
        <w:lastRenderedPageBreak/>
        <w:t>3</w:t>
      </w:r>
      <w:r w:rsidRPr="007D4F79">
        <w:rPr>
          <w:lang w:val="fr-FR"/>
        </w:rPr>
        <w:tab/>
        <w:t>de formuler et de structurer les activités et programmes du Plan d'action de Dubaï de manière à faciliter leur évaluation, sachant qu'il faut impérativement s'assurer que celle-ci est faite de manière régulière;</w:t>
      </w:r>
    </w:p>
    <w:p w14:paraId="6658225B" w14:textId="77777777" w:rsidR="00D9532E" w:rsidRPr="007D4F79" w:rsidRDefault="00D9532E" w:rsidP="00D9532E">
      <w:pPr>
        <w:rPr>
          <w:lang w:val="fr-FR"/>
        </w:rPr>
      </w:pPr>
      <w:r w:rsidRPr="007D4F79">
        <w:rPr>
          <w:lang w:val="fr-FR"/>
        </w:rPr>
        <w:t>4</w:t>
      </w:r>
      <w:r w:rsidRPr="007D4F79">
        <w:rPr>
          <w:lang w:val="fr-FR"/>
        </w:rPr>
        <w:tab/>
        <w:t>de prendre en compte les restrictions au niveau des ressources financières et humaines identifiées dans le budget biennal pour 2014-2015 et qui devraient être maintenues pendant le prochain cycle de planification financière (période 2016-2019);</w:t>
      </w:r>
    </w:p>
    <w:p w14:paraId="5E2AE056" w14:textId="77777777" w:rsidR="00D9532E" w:rsidRPr="007D4F79" w:rsidRDefault="00D9532E" w:rsidP="00D9532E">
      <w:pPr>
        <w:rPr>
          <w:iCs/>
          <w:lang w:val="fr-FR"/>
        </w:rPr>
      </w:pPr>
      <w:r w:rsidRPr="007D4F79">
        <w:rPr>
          <w:lang w:val="fr-FR"/>
        </w:rPr>
        <w:t>5</w:t>
      </w:r>
      <w:r w:rsidRPr="007D4F79">
        <w:rPr>
          <w:lang w:val="fr-FR"/>
        </w:rPr>
        <w:tab/>
        <w:t xml:space="preserve">d'identifier et de mettre en œuvre des partenariats multi-parties prenantes avec, notamment, des institutions financières internationales, des banques régionales de développement, </w:t>
      </w:r>
      <w:r w:rsidRPr="007D4F79">
        <w:rPr>
          <w:iCs/>
          <w:lang w:val="fr-FR"/>
        </w:rPr>
        <w:t>des commissions régionales du Département des affaires économiques et sociales (DAES) des Nations Unies et d'autres agences et départements des Nations Unies, avec également des organismes internationaux de développement, des organisations régionales de télécommunication et le secteur privé, afin d'utiliser au mieux les ressources et d'éviter tout double emploi;</w:t>
      </w:r>
    </w:p>
    <w:p w14:paraId="2DED36EF" w14:textId="77777777" w:rsidR="00D9532E" w:rsidRPr="007D4F79" w:rsidRDefault="00D9532E" w:rsidP="00D9532E">
      <w:pPr>
        <w:rPr>
          <w:iCs/>
          <w:lang w:val="fr-FR"/>
        </w:rPr>
      </w:pPr>
      <w:r w:rsidRPr="007D4F79">
        <w:rPr>
          <w:iCs/>
          <w:lang w:val="fr-FR"/>
        </w:rPr>
        <w:t>6</w:t>
      </w:r>
      <w:r w:rsidRPr="007D4F79">
        <w:rPr>
          <w:iCs/>
          <w:lang w:val="fr-FR"/>
        </w:rPr>
        <w:tab/>
        <w:t>de poursuivre les efforts visant à recenser des sources de recettes et de financement additionnelles, afin de faire en sorte que les programmes et les activités de l'UIT</w:t>
      </w:r>
      <w:r w:rsidRPr="007D4F79">
        <w:rPr>
          <w:iCs/>
          <w:lang w:val="fr-FR"/>
        </w:rPr>
        <w:noBreakHyphen/>
        <w:t>D puissent être pleinement mis en œuvre;</w:t>
      </w:r>
    </w:p>
    <w:p w14:paraId="006133B0" w14:textId="77777777" w:rsidR="00D9532E" w:rsidRPr="007D4F79" w:rsidRDefault="00D9532E" w:rsidP="00D9532E">
      <w:pPr>
        <w:rPr>
          <w:lang w:val="fr-FR"/>
        </w:rPr>
      </w:pPr>
      <w:r w:rsidRPr="007D4F79">
        <w:rPr>
          <w:lang w:val="fr-FR"/>
        </w:rPr>
        <w:t>7</w:t>
      </w:r>
      <w:r w:rsidRPr="007D4F79">
        <w:rPr>
          <w:lang w:val="fr-FR"/>
        </w:rPr>
        <w:tab/>
        <w:t>de faire rapport sur les résultats de la mise en œuvre de la présente Résolution à la prochaine CMDT.</w:t>
      </w:r>
    </w:p>
    <w:p w14:paraId="2C0897A4" w14:textId="77777777" w:rsidR="00D9532E" w:rsidRDefault="00D9532E" w:rsidP="00D9532E">
      <w:pPr>
        <w:pStyle w:val="Reasons"/>
        <w:rPr>
          <w:lang w:val="fr-FR"/>
        </w:rPr>
      </w:pPr>
    </w:p>
    <w:p w14:paraId="60AE4AF7" w14:textId="77777777" w:rsidR="00D9532E" w:rsidRDefault="00D9532E" w:rsidP="00D9532E">
      <w:pPr>
        <w:pStyle w:val="Reasons"/>
        <w:rPr>
          <w:lang w:val="fr-FR"/>
        </w:rPr>
      </w:pPr>
    </w:p>
    <w:p w14:paraId="197ECC89" w14:textId="77777777" w:rsidR="00D9532E" w:rsidRDefault="00D9532E" w:rsidP="00D9532E">
      <w:pPr>
        <w:pStyle w:val="Reasons"/>
        <w:rPr>
          <w:lang w:val="fr-FR"/>
        </w:rPr>
      </w:pPr>
    </w:p>
    <w:p w14:paraId="30795F57" w14:textId="77777777" w:rsidR="00D9532E" w:rsidRDefault="00D9532E" w:rsidP="00D9532E">
      <w:pPr>
        <w:pStyle w:val="Reasons"/>
        <w:rPr>
          <w:lang w:val="fr-FR"/>
        </w:rPr>
      </w:pPr>
    </w:p>
    <w:p w14:paraId="3B4B4F98" w14:textId="77777777" w:rsidR="00D9532E" w:rsidRDefault="00D9532E" w:rsidP="00D9532E">
      <w:pPr>
        <w:pStyle w:val="Reasons"/>
        <w:rPr>
          <w:lang w:val="fr-FR"/>
        </w:rPr>
      </w:pPr>
    </w:p>
    <w:p w14:paraId="53393C88" w14:textId="77777777" w:rsidR="00D9532E" w:rsidRPr="007D4F79" w:rsidRDefault="00D9532E" w:rsidP="00D9532E">
      <w:pPr>
        <w:pStyle w:val="Reasons"/>
        <w:rPr>
          <w:lang w:val="fr-FR"/>
        </w:rPr>
      </w:pPr>
    </w:p>
    <w:p w14:paraId="55D3FDBA" w14:textId="77777777" w:rsidR="00D9532E" w:rsidRPr="007D4F79" w:rsidRDefault="00D9532E" w:rsidP="00D9532E">
      <w:pPr>
        <w:tabs>
          <w:tab w:val="clear" w:pos="1134"/>
          <w:tab w:val="clear" w:pos="1871"/>
          <w:tab w:val="clear" w:pos="2268"/>
        </w:tabs>
        <w:overflowPunct/>
        <w:autoSpaceDE/>
        <w:autoSpaceDN/>
        <w:adjustRightInd/>
        <w:spacing w:before="0"/>
        <w:textAlignment w:val="auto"/>
        <w:rPr>
          <w:lang w:val="fr-FR"/>
        </w:rPr>
      </w:pPr>
    </w:p>
    <w:p w14:paraId="40B9BDFC" w14:textId="77777777" w:rsidR="00D9532E" w:rsidRPr="007D4F79" w:rsidRDefault="00D9532E" w:rsidP="00D9532E">
      <w:pPr>
        <w:tabs>
          <w:tab w:val="clear" w:pos="1134"/>
          <w:tab w:val="clear" w:pos="1871"/>
          <w:tab w:val="clear" w:pos="2268"/>
        </w:tabs>
        <w:overflowPunct/>
        <w:autoSpaceDE/>
        <w:autoSpaceDN/>
        <w:adjustRightInd/>
        <w:spacing w:before="0"/>
        <w:textAlignment w:val="auto"/>
        <w:rPr>
          <w:lang w:val="fr-FR"/>
        </w:rPr>
      </w:pPr>
    </w:p>
    <w:p w14:paraId="30BA383A" w14:textId="77777777" w:rsidR="00D9532E" w:rsidRPr="007D4F79" w:rsidRDefault="00D9532E" w:rsidP="00D9532E">
      <w:pPr>
        <w:tabs>
          <w:tab w:val="clear" w:pos="1134"/>
          <w:tab w:val="clear" w:pos="1871"/>
          <w:tab w:val="clear" w:pos="2268"/>
        </w:tabs>
        <w:overflowPunct/>
        <w:autoSpaceDE/>
        <w:autoSpaceDN/>
        <w:adjustRightInd/>
        <w:spacing w:before="0"/>
        <w:textAlignment w:val="auto"/>
        <w:rPr>
          <w:lang w:val="fr-FR"/>
        </w:rPr>
      </w:pPr>
    </w:p>
    <w:p w14:paraId="730BCE14" w14:textId="77777777" w:rsidR="00D9532E" w:rsidRPr="007D4F79" w:rsidRDefault="00D9532E" w:rsidP="00D9532E">
      <w:pPr>
        <w:tabs>
          <w:tab w:val="clear" w:pos="1134"/>
          <w:tab w:val="clear" w:pos="1871"/>
          <w:tab w:val="clear" w:pos="2268"/>
        </w:tabs>
        <w:overflowPunct/>
        <w:autoSpaceDE/>
        <w:autoSpaceDN/>
        <w:adjustRightInd/>
        <w:spacing w:before="0"/>
        <w:textAlignment w:val="auto"/>
        <w:rPr>
          <w:lang w:val="fr-FR"/>
        </w:rPr>
      </w:pPr>
    </w:p>
    <w:p w14:paraId="76E8E999" w14:textId="77777777" w:rsidR="00F16487" w:rsidRDefault="00F16487"/>
    <w:sectPr w:rsidR="00F16487" w:rsidSect="00D9532E">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9F6F" w14:textId="77777777" w:rsidR="00DC5119" w:rsidRDefault="00DC5119" w:rsidP="00DC5119">
      <w:pPr>
        <w:spacing w:before="0" w:after="0"/>
      </w:pPr>
      <w:r>
        <w:separator/>
      </w:r>
    </w:p>
  </w:endnote>
  <w:endnote w:type="continuationSeparator" w:id="0">
    <w:p w14:paraId="0A1233F5" w14:textId="77777777" w:rsidR="00DC5119" w:rsidRDefault="00DC5119" w:rsidP="00DC5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D076" w14:textId="77777777" w:rsidR="00DC5119" w:rsidRDefault="00DC5119" w:rsidP="00DC5119">
      <w:pPr>
        <w:spacing w:before="0" w:after="0"/>
      </w:pPr>
      <w:r>
        <w:separator/>
      </w:r>
    </w:p>
  </w:footnote>
  <w:footnote w:type="continuationSeparator" w:id="0">
    <w:p w14:paraId="2F7E0399" w14:textId="77777777" w:rsidR="00DC5119" w:rsidRDefault="00DC5119" w:rsidP="00DC51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16813870"/>
      <w:docPartObj>
        <w:docPartGallery w:val="Page Numbers (Top of Page)"/>
        <w:docPartUnique/>
      </w:docPartObj>
    </w:sdtPr>
    <w:sdtEndPr>
      <w:rPr>
        <w:noProof/>
      </w:rPr>
    </w:sdtEndPr>
    <w:sdtContent>
      <w:p w14:paraId="3843EE88" w14:textId="1056F711" w:rsidR="00DC5119" w:rsidRPr="00FE50D7" w:rsidRDefault="00DC5119" w:rsidP="00DC5119">
        <w:pPr>
          <w:tabs>
            <w:tab w:val="left" w:pos="426"/>
            <w:tab w:val="left" w:pos="851"/>
          </w:tabs>
          <w:spacing w:before="0"/>
          <w:jc w:val="left"/>
          <w:rPr>
            <w:rFonts w:ascii="Calibri" w:hAnsi="Calibri"/>
            <w:sz w:val="16"/>
            <w:szCs w:val="16"/>
            <w:lang w:val="fr-FR"/>
          </w:rPr>
        </w:pP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Pr>
            <w:rFonts w:ascii="Calibri" w:hAnsi="Calibri"/>
            <w:sz w:val="16"/>
            <w:szCs w:val="16"/>
          </w:rPr>
          <w:t>2</w:t>
        </w:r>
        <w:r w:rsidRPr="00FE50D7">
          <w:rPr>
            <w:rFonts w:ascii="Calibri" w:hAnsi="Calibri"/>
            <w:noProof/>
            <w:sz w:val="16"/>
            <w:szCs w:val="16"/>
          </w:rPr>
          <w:fldChar w:fldCharType="end"/>
        </w:r>
        <w:r w:rsidRPr="00FE50D7">
          <w:rPr>
            <w:rFonts w:ascii="Calibri" w:hAnsi="Calibri"/>
            <w:sz w:val="16"/>
            <w:szCs w:val="16"/>
            <w:lang w:val="fr-FR"/>
          </w:rPr>
          <w:tab/>
          <w:t>Rapport final de la CMDT-22 – Partie IV – Résolution 5</w:t>
        </w:r>
        <w:r>
          <w:rPr>
            <w:rFonts w:ascii="Calibri" w:hAnsi="Calibri"/>
            <w:sz w:val="16"/>
            <w:szCs w:val="16"/>
            <w:lang w:val="fr-FR"/>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75982952"/>
      <w:docPartObj>
        <w:docPartGallery w:val="Page Numbers (Top of Page)"/>
        <w:docPartUnique/>
      </w:docPartObj>
    </w:sdtPr>
    <w:sdtEndPr>
      <w:rPr>
        <w:noProof/>
      </w:rPr>
    </w:sdtEndPr>
    <w:sdtContent>
      <w:p w14:paraId="3FDCC233" w14:textId="1784D266" w:rsidR="00DC5119" w:rsidRPr="00FE50D7" w:rsidRDefault="00DC5119" w:rsidP="00DC5119">
        <w:pPr>
          <w:tabs>
            <w:tab w:val="clear" w:pos="1134"/>
            <w:tab w:val="clear" w:pos="1871"/>
            <w:tab w:val="clear" w:pos="2268"/>
            <w:tab w:val="left" w:pos="5387"/>
            <w:tab w:val="left" w:pos="9356"/>
          </w:tabs>
          <w:spacing w:before="0"/>
          <w:jc w:val="right"/>
          <w:rPr>
            <w:rFonts w:ascii="Calibri" w:hAnsi="Calibri"/>
            <w:sz w:val="16"/>
            <w:szCs w:val="16"/>
            <w:lang w:val="fr-FR"/>
          </w:rPr>
        </w:pPr>
        <w:r w:rsidRPr="00FE50D7">
          <w:rPr>
            <w:rFonts w:ascii="Calibri" w:hAnsi="Calibri"/>
            <w:sz w:val="16"/>
            <w:szCs w:val="16"/>
            <w:lang w:val="fr-FR"/>
          </w:rPr>
          <w:tab/>
          <w:t>Rapport final de la CMDT-22 – Partie IV – Résolution 5</w:t>
        </w:r>
        <w:r>
          <w:rPr>
            <w:rFonts w:ascii="Calibri" w:hAnsi="Calibri"/>
            <w:sz w:val="16"/>
            <w:szCs w:val="16"/>
            <w:lang w:val="fr-FR"/>
          </w:rPr>
          <w:t>3</w:t>
        </w:r>
        <w:r w:rsidRPr="00FE50D7">
          <w:rPr>
            <w:rFonts w:ascii="Calibri" w:hAnsi="Calibri"/>
            <w:sz w:val="16"/>
            <w:szCs w:val="16"/>
            <w:lang w:val="fr-FR"/>
          </w:rPr>
          <w:tab/>
        </w: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Pr>
            <w:rFonts w:ascii="Calibri" w:hAnsi="Calibri"/>
            <w:sz w:val="16"/>
            <w:szCs w:val="16"/>
          </w:rPr>
          <w:t>1</w:t>
        </w:r>
        <w:r w:rsidRPr="00FE50D7">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2E"/>
    <w:rsid w:val="00400A99"/>
    <w:rsid w:val="0045258F"/>
    <w:rsid w:val="004A0B3D"/>
    <w:rsid w:val="0051703C"/>
    <w:rsid w:val="005C0E4B"/>
    <w:rsid w:val="007359FB"/>
    <w:rsid w:val="0076311C"/>
    <w:rsid w:val="008630CC"/>
    <w:rsid w:val="00950AD1"/>
    <w:rsid w:val="009E6BCE"/>
    <w:rsid w:val="00D9532E"/>
    <w:rsid w:val="00DC1DAE"/>
    <w:rsid w:val="00DC5119"/>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31B6"/>
  <w15:chartTrackingRefBased/>
  <w15:docId w15:val="{4F528F60-2EA2-4558-A23D-B712E65D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2E"/>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D9532E"/>
    <w:pPr>
      <w:keepNext/>
      <w:keepLines/>
      <w:spacing w:before="160"/>
      <w:ind w:left="1134"/>
    </w:pPr>
    <w:rPr>
      <w:i/>
    </w:rPr>
  </w:style>
  <w:style w:type="paragraph" w:customStyle="1" w:styleId="enumlev1">
    <w:name w:val="enumlev1"/>
    <w:basedOn w:val="Normal"/>
    <w:link w:val="enumlev1Char"/>
    <w:rsid w:val="00D9532E"/>
    <w:pPr>
      <w:tabs>
        <w:tab w:val="clear" w:pos="2268"/>
        <w:tab w:val="left" w:pos="2608"/>
        <w:tab w:val="left" w:pos="3345"/>
      </w:tabs>
      <w:spacing w:before="40"/>
      <w:ind w:left="1134" w:hanging="1134"/>
    </w:pPr>
  </w:style>
  <w:style w:type="paragraph" w:customStyle="1" w:styleId="Normalaftertitle">
    <w:name w:val="Normal after title"/>
    <w:basedOn w:val="Normal"/>
    <w:next w:val="Normal"/>
    <w:link w:val="NormalaftertitleChar"/>
    <w:rsid w:val="00D9532E"/>
    <w:pPr>
      <w:spacing w:before="280"/>
    </w:pPr>
  </w:style>
  <w:style w:type="paragraph" w:customStyle="1" w:styleId="Reasons">
    <w:name w:val="Reasons"/>
    <w:basedOn w:val="Normal"/>
    <w:qFormat/>
    <w:rsid w:val="00D9532E"/>
    <w:pPr>
      <w:tabs>
        <w:tab w:val="clear" w:pos="2268"/>
        <w:tab w:val="left" w:pos="1588"/>
        <w:tab w:val="left" w:pos="1985"/>
      </w:tabs>
    </w:pPr>
  </w:style>
  <w:style w:type="paragraph" w:customStyle="1" w:styleId="ResNo">
    <w:name w:val="Res_No"/>
    <w:basedOn w:val="Normal"/>
    <w:next w:val="Normal"/>
    <w:rsid w:val="00D9532E"/>
    <w:pPr>
      <w:keepNext/>
      <w:keepLines/>
      <w:spacing w:before="480"/>
      <w:jc w:val="center"/>
      <w:outlineLvl w:val="0"/>
    </w:pPr>
    <w:rPr>
      <w:caps/>
      <w:sz w:val="28"/>
    </w:rPr>
  </w:style>
  <w:style w:type="paragraph" w:customStyle="1" w:styleId="Restitle">
    <w:name w:val="Res_title"/>
    <w:basedOn w:val="Normal"/>
    <w:next w:val="Normal"/>
    <w:rsid w:val="00D9532E"/>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D9532E"/>
    <w:rPr>
      <w:rFonts w:eastAsia="Times New Roman" w:cs="Times New Roman"/>
      <w:sz w:val="24"/>
      <w:szCs w:val="20"/>
      <w:lang w:val="en-GB"/>
    </w:rPr>
  </w:style>
  <w:style w:type="character" w:customStyle="1" w:styleId="enumlev1Char">
    <w:name w:val="enumlev1 Char"/>
    <w:link w:val="enumlev1"/>
    <w:qFormat/>
    <w:locked/>
    <w:rsid w:val="00D9532E"/>
    <w:rPr>
      <w:rFonts w:eastAsia="Times New Roman" w:cs="Times New Roman"/>
      <w:sz w:val="24"/>
      <w:szCs w:val="20"/>
      <w:lang w:val="en-GB"/>
    </w:rPr>
  </w:style>
  <w:style w:type="paragraph" w:styleId="Header">
    <w:name w:val="header"/>
    <w:basedOn w:val="Normal"/>
    <w:link w:val="HeaderChar"/>
    <w:uiPriority w:val="99"/>
    <w:unhideWhenUsed/>
    <w:rsid w:val="00DC511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DC5119"/>
    <w:rPr>
      <w:rFonts w:eastAsia="Times New Roman" w:cs="Times New Roman"/>
      <w:sz w:val="24"/>
      <w:szCs w:val="20"/>
      <w:lang w:val="en-GB"/>
    </w:rPr>
  </w:style>
  <w:style w:type="paragraph" w:styleId="Footer">
    <w:name w:val="footer"/>
    <w:basedOn w:val="Normal"/>
    <w:link w:val="FooterChar"/>
    <w:uiPriority w:val="99"/>
    <w:unhideWhenUsed/>
    <w:rsid w:val="00DC511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DC511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6793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2023-10-16T13:34:00Z</dcterms:created>
  <dcterms:modified xsi:type="dcterms:W3CDTF">2023-10-16T14:18:00Z</dcterms:modified>
</cp:coreProperties>
</file>