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45D3" w14:textId="77777777" w:rsidR="00E17676" w:rsidRPr="00A55C0D" w:rsidRDefault="00E17676" w:rsidP="00E17676">
      <w:pPr>
        <w:pStyle w:val="ResNo"/>
        <w:rPr>
          <w:rFonts w:eastAsia="Calibri"/>
        </w:rPr>
      </w:pPr>
      <w:bookmarkStart w:id="0" w:name="_Toc116556722"/>
      <w:bookmarkStart w:id="1" w:name="_Toc116557275"/>
      <w:bookmarkStart w:id="2" w:name="_Toc116636518"/>
      <w:r w:rsidRPr="00A55C0D">
        <w:rPr>
          <w:rFonts w:eastAsia="Calibri"/>
        </w:rPr>
        <w:t xml:space="preserve">RESOLUTION </w:t>
      </w:r>
      <w:r w:rsidRPr="00A55C0D">
        <w:rPr>
          <w:rStyle w:val="href"/>
        </w:rPr>
        <w:t>53</w:t>
      </w:r>
      <w:r w:rsidRPr="00A55C0D">
        <w:rPr>
          <w:rFonts w:eastAsia="Calibri"/>
        </w:rPr>
        <w:t xml:space="preserve"> (Rev. Dubai, 2014)</w:t>
      </w:r>
      <w:bookmarkEnd w:id="0"/>
      <w:bookmarkEnd w:id="1"/>
      <w:bookmarkEnd w:id="2"/>
    </w:p>
    <w:p w14:paraId="00A16A8D" w14:textId="77777777" w:rsidR="00E17676" w:rsidRPr="00A55C0D" w:rsidRDefault="00E17676" w:rsidP="00E17676">
      <w:pPr>
        <w:pStyle w:val="Restitle"/>
        <w:rPr>
          <w:rFonts w:eastAsia="SimSun"/>
        </w:rPr>
      </w:pPr>
      <w:bookmarkStart w:id="3" w:name="_Toc116556723"/>
      <w:bookmarkStart w:id="4" w:name="_Toc116557276"/>
      <w:bookmarkStart w:id="5" w:name="_Toc116636519"/>
      <w:r w:rsidRPr="00A55C0D">
        <w:rPr>
          <w:rFonts w:eastAsia="SimSun"/>
        </w:rPr>
        <w:t xml:space="preserve">Strategic and financial framework for the elaboration </w:t>
      </w:r>
      <w:r w:rsidRPr="00A55C0D">
        <w:rPr>
          <w:rFonts w:eastAsia="SimSun"/>
        </w:rPr>
        <w:br/>
        <w:t>and implementation of the Dubai</w:t>
      </w:r>
      <w:r w:rsidRPr="00A55C0D" w:rsidDel="005B6ABC">
        <w:rPr>
          <w:rFonts w:eastAsia="SimSun"/>
        </w:rPr>
        <w:t xml:space="preserve"> </w:t>
      </w:r>
      <w:r w:rsidRPr="00A55C0D">
        <w:rPr>
          <w:rFonts w:eastAsia="SimSun"/>
        </w:rPr>
        <w:t>Action Plan</w:t>
      </w:r>
      <w:bookmarkEnd w:id="3"/>
      <w:bookmarkEnd w:id="4"/>
      <w:bookmarkEnd w:id="5"/>
    </w:p>
    <w:p w14:paraId="4B814DDB" w14:textId="77777777" w:rsidR="00E17676" w:rsidRPr="00A55C0D" w:rsidRDefault="00E17676" w:rsidP="00E17676">
      <w:pPr>
        <w:pStyle w:val="Normalaftertitle"/>
      </w:pPr>
      <w:r w:rsidRPr="00A55C0D">
        <w:t>The World Telecommunication Development Conference (Dubai, 2014),</w:t>
      </w:r>
    </w:p>
    <w:p w14:paraId="3A94B1F6" w14:textId="77777777" w:rsidR="00E17676" w:rsidRPr="00A55C0D" w:rsidRDefault="00E17676" w:rsidP="00E17676">
      <w:pPr>
        <w:pStyle w:val="Call"/>
      </w:pPr>
      <w:r w:rsidRPr="00A55C0D">
        <w:t>considering</w:t>
      </w:r>
    </w:p>
    <w:p w14:paraId="757C02C8" w14:textId="77777777" w:rsidR="00E17676" w:rsidRPr="00A55C0D" w:rsidRDefault="00E17676" w:rsidP="00E17676">
      <w:r w:rsidRPr="00A55C0D">
        <w:rPr>
          <w:i/>
          <w:iCs/>
        </w:rPr>
        <w:t>a)</w:t>
      </w:r>
      <w:r w:rsidRPr="00A55C0D">
        <w:tab/>
        <w:t>that, in accordance with No. 118 of the ITU Constitution and No. 209 of the ITU Convention, the duties of world telecommunication development conferences (WTDC) shall include: i) establishing work programmes and guidelines for defining telecommunication development questions and priorities, and ii) providing direction and guidance for the work programme of the ITU Telecommunication Development Sector (ITU</w:t>
      </w:r>
      <w:r w:rsidRPr="00A55C0D">
        <w:noBreakHyphen/>
        <w:t>D);</w:t>
      </w:r>
    </w:p>
    <w:p w14:paraId="31839962" w14:textId="77777777" w:rsidR="00E17676" w:rsidRPr="00A55C0D" w:rsidRDefault="00E17676" w:rsidP="00E17676">
      <w:r w:rsidRPr="00A55C0D">
        <w:rPr>
          <w:i/>
        </w:rPr>
        <w:t>b)</w:t>
      </w:r>
      <w:r w:rsidRPr="00A55C0D">
        <w:tab/>
        <w:t>that Resolution 71 (Rev. Guadalajara, 2010) of the Plenipotentiary Conference contains the strategic plan for ITU</w:t>
      </w:r>
      <w:r w:rsidRPr="00A55C0D">
        <w:noBreakHyphen/>
        <w:t>D for the period 2012-2015 and defines the strategic goal and objectives of ITU</w:t>
      </w:r>
      <w:r w:rsidRPr="00A55C0D">
        <w:noBreakHyphen/>
        <w:t>D for that period;</w:t>
      </w:r>
    </w:p>
    <w:p w14:paraId="20A01FA4" w14:textId="77777777" w:rsidR="00E17676" w:rsidRPr="00A55C0D" w:rsidRDefault="00E17676" w:rsidP="00E17676">
      <w:r w:rsidRPr="00A55C0D">
        <w:rPr>
          <w:i/>
          <w:iCs/>
        </w:rPr>
        <w:t>c)</w:t>
      </w:r>
      <w:r w:rsidRPr="00A55C0D">
        <w:tab/>
        <w:t xml:space="preserve">that Resolution 72 </w:t>
      </w:r>
      <w:r w:rsidRPr="00A55C0D">
        <w:rPr>
          <w:iCs/>
        </w:rPr>
        <w:t>(Rev. Guadalajara, 2010) of the Plenipotentiary Conference</w:t>
      </w:r>
      <w:r w:rsidRPr="00A55C0D">
        <w:t xml:space="preserve"> determined that there should be a linkage between strategic, financial and operational planning in ITU;</w:t>
      </w:r>
    </w:p>
    <w:p w14:paraId="39EAA4A7" w14:textId="77777777" w:rsidR="00E17676" w:rsidRPr="00A55C0D" w:rsidRDefault="00E17676" w:rsidP="00E17676">
      <w:r w:rsidRPr="00A55C0D">
        <w:rPr>
          <w:i/>
        </w:rPr>
        <w:t>d)</w:t>
      </w:r>
      <w:r w:rsidRPr="00A55C0D">
        <w:tab/>
        <w:t>that Decision 5 (Rev. Guadalajara, 2010) of the Plenipotentiary Conference, in defining the income and expenditure of the Union for the period 2012-2015 and in recognizing the current financial constraints of the Union, has identified in its Annex 2 several measures for reducing expenditure to be taken into account by all three Sectors of the Union,</w:t>
      </w:r>
    </w:p>
    <w:p w14:paraId="79BB7ED8" w14:textId="77777777" w:rsidR="00E17676" w:rsidRPr="00A55C0D" w:rsidRDefault="00E17676" w:rsidP="00E17676">
      <w:pPr>
        <w:pStyle w:val="Call"/>
        <w:rPr>
          <w:rFonts w:eastAsia="Calibri"/>
        </w:rPr>
      </w:pPr>
      <w:r w:rsidRPr="00A55C0D">
        <w:rPr>
          <w:rFonts w:eastAsia="Calibri"/>
        </w:rPr>
        <w:t>considering further</w:t>
      </w:r>
    </w:p>
    <w:p w14:paraId="28FE1F0E" w14:textId="77777777" w:rsidR="00E17676" w:rsidRPr="00A55C0D" w:rsidRDefault="00E17676" w:rsidP="00E17676">
      <w:r w:rsidRPr="00A55C0D">
        <w:rPr>
          <w:i/>
          <w:iCs/>
        </w:rPr>
        <w:t>a)</w:t>
      </w:r>
      <w:r w:rsidRPr="00A55C0D">
        <w:tab/>
        <w:t>that, pursuant to Resolution 31 (Rev. Dubai, 2014) of this conference, the identification, analysis and elaboration of regional initiatives and projects at the regional preparatory meetings provides a key input to this conference;</w:t>
      </w:r>
    </w:p>
    <w:p w14:paraId="37FA15DB" w14:textId="77777777" w:rsidR="00E17676" w:rsidRPr="00A55C0D" w:rsidRDefault="00E17676" w:rsidP="00E17676">
      <w:pPr>
        <w:tabs>
          <w:tab w:val="clear" w:pos="1134"/>
          <w:tab w:val="clear" w:pos="1871"/>
          <w:tab w:val="clear" w:pos="2268"/>
        </w:tabs>
        <w:overflowPunct/>
        <w:autoSpaceDE/>
        <w:autoSpaceDN/>
        <w:adjustRightInd/>
        <w:spacing w:before="0"/>
        <w:textAlignment w:val="auto"/>
        <w:rPr>
          <w:i/>
        </w:rPr>
      </w:pPr>
      <w:r w:rsidRPr="00A55C0D">
        <w:rPr>
          <w:i/>
        </w:rPr>
        <w:br w:type="page"/>
      </w:r>
    </w:p>
    <w:p w14:paraId="10254E20" w14:textId="77777777" w:rsidR="00E17676" w:rsidRPr="00A55C0D" w:rsidRDefault="00E17676" w:rsidP="00E17676">
      <w:r w:rsidRPr="00A55C0D">
        <w:rPr>
          <w:i/>
        </w:rPr>
        <w:lastRenderedPageBreak/>
        <w:t>b)</w:t>
      </w:r>
      <w:r w:rsidRPr="00A55C0D">
        <w:tab/>
        <w:t>that Resolution 1358 of the ITU Council, adopted at its 2013 session, established the Council Working Group for the elaboration of the draft strategic plan and draft financial plan of the Union for 2016</w:t>
      </w:r>
      <w:r w:rsidRPr="00A55C0D">
        <w:noBreakHyphen/>
        <w:t>2019 (CWG-SPFP), which was to provide the Telecommunication Development Advisory Group and this conference with the principles, glossary of terms, structure and guidelines for the elaboration of the strategic plan for ITU</w:t>
      </w:r>
      <w:r w:rsidRPr="00A55C0D">
        <w:noBreakHyphen/>
        <w:t>D, on the basis of a clear linkage of strategic and operational planning with financial planning and budgeting,</w:t>
      </w:r>
    </w:p>
    <w:p w14:paraId="0232D3C2" w14:textId="77777777" w:rsidR="00E17676" w:rsidRPr="00A55C0D" w:rsidRDefault="00E17676" w:rsidP="00E17676">
      <w:pPr>
        <w:pStyle w:val="Call"/>
      </w:pPr>
      <w:r w:rsidRPr="00A55C0D">
        <w:t>taking into account</w:t>
      </w:r>
    </w:p>
    <w:p w14:paraId="72F25A71" w14:textId="77777777" w:rsidR="00E17676" w:rsidRPr="00A55C0D" w:rsidRDefault="00E17676" w:rsidP="00E17676">
      <w:r w:rsidRPr="00A55C0D">
        <w:rPr>
          <w:i/>
          <w:iCs/>
        </w:rPr>
        <w:t>a)</w:t>
      </w:r>
      <w:r w:rsidRPr="00A55C0D">
        <w:tab/>
        <w:t>that Resolution 1359 adopted by the Council at its 2013 session approved the biennial budget of ITU for the period 2014-2015 with a view to achieving financial stability, securing unfunded long-term liabilities, preserving a positive net asset value and avoiding withdrawals from the Reserve Account;</w:t>
      </w:r>
    </w:p>
    <w:p w14:paraId="56849E42" w14:textId="77777777" w:rsidR="00E17676" w:rsidRPr="00A55C0D" w:rsidRDefault="00E17676" w:rsidP="00E17676">
      <w:r w:rsidRPr="00A55C0D">
        <w:rPr>
          <w:i/>
          <w:iCs/>
        </w:rPr>
        <w:t>b)</w:t>
      </w:r>
      <w:r w:rsidRPr="00A55C0D">
        <w:tab/>
        <w:t>the continued implementation of results-based budgeting (RBB) in ITU, the main feature of which is the identification of costs, objectives, expected results, performance indicators and priorities presented within the framework of well-defined outputs (defined as Sector or intersectoral products or services provided by ITU),</w:t>
      </w:r>
    </w:p>
    <w:p w14:paraId="38B82876" w14:textId="77777777" w:rsidR="00E17676" w:rsidRPr="00A55C0D" w:rsidRDefault="00E17676" w:rsidP="00E17676">
      <w:pPr>
        <w:pStyle w:val="Call"/>
        <w:rPr>
          <w:rFonts w:eastAsia="Calibri"/>
        </w:rPr>
      </w:pPr>
      <w:r w:rsidRPr="00A55C0D">
        <w:rPr>
          <w:rFonts w:eastAsia="Calibri"/>
        </w:rPr>
        <w:t>taking into account further</w:t>
      </w:r>
    </w:p>
    <w:p w14:paraId="0BF51295" w14:textId="77777777" w:rsidR="00E17676" w:rsidRPr="00A55C0D" w:rsidRDefault="00E17676" w:rsidP="00E17676">
      <w:pPr>
        <w:keepNext/>
      </w:pPr>
      <w:r w:rsidRPr="00A55C0D">
        <w:rPr>
          <w:i/>
          <w:iCs/>
        </w:rPr>
        <w:t>a)</w:t>
      </w:r>
      <w:r w:rsidRPr="00A55C0D">
        <w:tab/>
        <w:t>that the Dubai Action Plan strategic framework is based on:</w:t>
      </w:r>
    </w:p>
    <w:p w14:paraId="53D69E31" w14:textId="77777777" w:rsidR="00E17676" w:rsidRPr="00A55C0D" w:rsidRDefault="00E17676" w:rsidP="00E17676">
      <w:pPr>
        <w:pStyle w:val="enumlev1"/>
      </w:pPr>
      <w:r w:rsidRPr="00A55C0D">
        <w:t>–</w:t>
      </w:r>
      <w:r w:rsidRPr="00A55C0D">
        <w:tab/>
        <w:t>Resolutions 71 (Rev. Guadalajara, 2010) and 72 (Rev. Guadalajara, 2010) of the Plenipotentiary Conference;</w:t>
      </w:r>
    </w:p>
    <w:p w14:paraId="6B7FA340" w14:textId="77777777" w:rsidR="00E17676" w:rsidRPr="00A55C0D" w:rsidRDefault="00E17676" w:rsidP="00E17676">
      <w:pPr>
        <w:pStyle w:val="enumlev1"/>
      </w:pPr>
      <w:r w:rsidRPr="00A55C0D">
        <w:t>–</w:t>
      </w:r>
      <w:r w:rsidRPr="00A55C0D">
        <w:tab/>
        <w:t>the strategic objectives of ITU</w:t>
      </w:r>
      <w:r w:rsidRPr="00A55C0D">
        <w:noBreakHyphen/>
        <w:t>D for the period 2016-2019, elaborated by this conference;</w:t>
      </w:r>
    </w:p>
    <w:p w14:paraId="1AA6CC35" w14:textId="77777777" w:rsidR="00E17676" w:rsidRPr="00A55C0D" w:rsidRDefault="00E17676" w:rsidP="00E17676">
      <w:pPr>
        <w:pStyle w:val="enumlev1"/>
      </w:pPr>
      <w:r w:rsidRPr="00A55C0D">
        <w:t>–</w:t>
      </w:r>
      <w:r w:rsidRPr="00A55C0D">
        <w:tab/>
        <w:t>the aim of fulfilling the mandates of ITU</w:t>
      </w:r>
      <w:r w:rsidRPr="00A55C0D">
        <w:noBreakHyphen/>
        <w:t>D, in accordance with the Constitution, avoiding duplication of efforts with the other Sectors and implementing the strategic goals set forth in the strategic plans of the Union for 2012-2015 and 2016-2019;</w:t>
      </w:r>
    </w:p>
    <w:p w14:paraId="0BF4CDC5" w14:textId="77777777" w:rsidR="00E17676" w:rsidRPr="00A55C0D" w:rsidRDefault="00E17676" w:rsidP="00E17676">
      <w:pPr>
        <w:keepNext/>
      </w:pPr>
      <w:r w:rsidRPr="00A55C0D">
        <w:rPr>
          <w:rFonts w:eastAsia="SimHei"/>
          <w:bCs/>
          <w:i/>
          <w:iCs/>
          <w:lang w:eastAsia="zh-CN"/>
        </w:rPr>
        <w:t>b)</w:t>
      </w:r>
      <w:r w:rsidRPr="00A55C0D">
        <w:rPr>
          <w:rFonts w:eastAsia="SimHei"/>
          <w:bCs/>
          <w:lang w:eastAsia="zh-CN"/>
        </w:rPr>
        <w:tab/>
        <w:t>that the Dubai Action Plan financial framework is based on:</w:t>
      </w:r>
    </w:p>
    <w:p w14:paraId="4986C11A" w14:textId="77777777" w:rsidR="00E17676" w:rsidRPr="00A55C0D" w:rsidRDefault="00E17676" w:rsidP="00E17676">
      <w:pPr>
        <w:pStyle w:val="enumlev1"/>
      </w:pPr>
      <w:r w:rsidRPr="00A55C0D">
        <w:t>–</w:t>
      </w:r>
      <w:r w:rsidRPr="00A55C0D">
        <w:rPr>
          <w:rFonts w:eastAsia="SimHei"/>
          <w:lang w:eastAsia="zh-CN"/>
        </w:rPr>
        <w:tab/>
      </w:r>
      <w:r w:rsidRPr="00A55C0D">
        <w:t>Decision 5 (Rev. Guadalajara, 2010), particularly the measures to reduce expenditure identified in Annex 2 thereto;</w:t>
      </w:r>
    </w:p>
    <w:p w14:paraId="51AAE7AC" w14:textId="77777777" w:rsidR="00E17676" w:rsidRPr="00A55C0D" w:rsidRDefault="00E17676" w:rsidP="00E17676">
      <w:pPr>
        <w:pStyle w:val="enumlev1"/>
      </w:pPr>
      <w:r w:rsidRPr="00A55C0D">
        <w:t>–</w:t>
      </w:r>
      <w:r w:rsidRPr="00A55C0D">
        <w:tab/>
        <w:t>the approved biennial budget of the Union for the period 2014-2015 and the forecast of revenues and expenses for the period 2016-2017;</w:t>
      </w:r>
    </w:p>
    <w:p w14:paraId="24869A89" w14:textId="77777777" w:rsidR="00E17676" w:rsidRPr="00A55C0D" w:rsidRDefault="00E17676" w:rsidP="00E17676">
      <w:pPr>
        <w:pStyle w:val="enumlev1"/>
      </w:pPr>
      <w:r w:rsidRPr="00A55C0D">
        <w:t>–</w:t>
      </w:r>
      <w:r w:rsidRPr="00A55C0D">
        <w:tab/>
        <w:t>the aim of achieving long-term financial stability, preserving the net asset value and avoiding withdrawals from the Reserve Account;</w:t>
      </w:r>
    </w:p>
    <w:p w14:paraId="5AE34692" w14:textId="77777777" w:rsidR="00E17676" w:rsidRPr="00A55C0D" w:rsidRDefault="00E17676" w:rsidP="00E17676">
      <w:pPr>
        <w:tabs>
          <w:tab w:val="clear" w:pos="1134"/>
          <w:tab w:val="clear" w:pos="1871"/>
          <w:tab w:val="clear" w:pos="2268"/>
        </w:tabs>
        <w:overflowPunct/>
        <w:autoSpaceDE/>
        <w:autoSpaceDN/>
        <w:adjustRightInd/>
        <w:spacing w:before="0"/>
        <w:textAlignment w:val="auto"/>
        <w:rPr>
          <w:rFonts w:eastAsia="SimHei"/>
          <w:i/>
          <w:iCs/>
          <w:lang w:eastAsia="zh-CN"/>
        </w:rPr>
      </w:pPr>
      <w:r w:rsidRPr="00A55C0D">
        <w:rPr>
          <w:rFonts w:eastAsia="SimHei"/>
          <w:i/>
          <w:iCs/>
          <w:lang w:eastAsia="zh-CN"/>
        </w:rPr>
        <w:br w:type="page"/>
      </w:r>
    </w:p>
    <w:p w14:paraId="5C172FD8" w14:textId="77777777" w:rsidR="00E17676" w:rsidRPr="00A55C0D" w:rsidRDefault="00E17676" w:rsidP="00E17676">
      <w:pPr>
        <w:rPr>
          <w:rFonts w:eastAsia="SimHei"/>
          <w:lang w:eastAsia="zh-CN"/>
        </w:rPr>
      </w:pPr>
      <w:r w:rsidRPr="00A55C0D">
        <w:rPr>
          <w:rFonts w:eastAsia="SimHei"/>
          <w:i/>
          <w:iCs/>
          <w:lang w:eastAsia="zh-CN"/>
        </w:rPr>
        <w:lastRenderedPageBreak/>
        <w:t>c)</w:t>
      </w:r>
      <w:r w:rsidRPr="00A55C0D">
        <w:rPr>
          <w:rFonts w:eastAsia="SimHei"/>
          <w:lang w:eastAsia="zh-CN"/>
        </w:rPr>
        <w:tab/>
        <w:t>that the Dubai Action Plan defines programmes, objectives, regional initiatives and expected results that correlate to the principles, terminology and structure of the draft strategic plan for ITU</w:t>
      </w:r>
      <w:r w:rsidRPr="00A55C0D">
        <w:rPr>
          <w:rFonts w:eastAsia="SimHei"/>
          <w:lang w:eastAsia="zh-CN"/>
        </w:rPr>
        <w:noBreakHyphen/>
        <w:t>D for 2016-2019 elaborated by this conference;</w:t>
      </w:r>
    </w:p>
    <w:p w14:paraId="00936563" w14:textId="77777777" w:rsidR="00E17676" w:rsidRPr="00A55C0D" w:rsidRDefault="00E17676" w:rsidP="00E17676">
      <w:pPr>
        <w:rPr>
          <w:rFonts w:eastAsia="Calibri"/>
          <w:strike/>
        </w:rPr>
      </w:pPr>
      <w:r w:rsidRPr="00A55C0D">
        <w:rPr>
          <w:rFonts w:eastAsia="SimHei"/>
          <w:i/>
          <w:iCs/>
          <w:lang w:eastAsia="zh-CN"/>
        </w:rPr>
        <w:t>d)</w:t>
      </w:r>
      <w:r w:rsidRPr="00A55C0D">
        <w:rPr>
          <w:rFonts w:eastAsia="SimHei"/>
          <w:lang w:eastAsia="zh-CN"/>
        </w:rPr>
        <w:tab/>
        <w:t>that the Dubai Action Plan is elaborated in conformity with results-based management/budgeting (RBM/RBB) methodologies, with a view to ensuring that high-priority activities are adequately resourced in order to achieve the planned results,</w:t>
      </w:r>
    </w:p>
    <w:p w14:paraId="31A53A5E" w14:textId="77777777" w:rsidR="00E17676" w:rsidRPr="00A55C0D" w:rsidRDefault="00E17676" w:rsidP="00E17676">
      <w:pPr>
        <w:pStyle w:val="Call"/>
        <w:rPr>
          <w:rFonts w:eastAsia="Calibri"/>
        </w:rPr>
      </w:pPr>
      <w:r w:rsidRPr="00A55C0D">
        <w:rPr>
          <w:rFonts w:eastAsia="Calibri"/>
        </w:rPr>
        <w:t>recognizing</w:t>
      </w:r>
    </w:p>
    <w:p w14:paraId="2ABCF2DB" w14:textId="77777777" w:rsidR="00E17676" w:rsidRPr="00A55C0D" w:rsidRDefault="00E17676" w:rsidP="00E17676">
      <w:pPr>
        <w:rPr>
          <w:iCs/>
        </w:rPr>
      </w:pPr>
      <w:r w:rsidRPr="00A55C0D">
        <w:rPr>
          <w:rFonts w:eastAsia="SimHei"/>
          <w:i/>
          <w:lang w:eastAsia="zh-CN"/>
        </w:rPr>
        <w:t>a)</w:t>
      </w:r>
      <w:r w:rsidRPr="00A55C0D">
        <w:rPr>
          <w:rFonts w:eastAsia="SimHei"/>
          <w:iCs/>
          <w:lang w:eastAsia="zh-CN"/>
        </w:rPr>
        <w:tab/>
        <w:t xml:space="preserve">the overall review process of the outcomes of the </w:t>
      </w:r>
      <w:r w:rsidRPr="00A55C0D">
        <w:rPr>
          <w:rFonts w:eastAsia="SimHei"/>
          <w:lang w:eastAsia="zh-CN"/>
        </w:rPr>
        <w:t>World Summit on the Information Society (WSIS) to take place in 2014/2015;</w:t>
      </w:r>
    </w:p>
    <w:p w14:paraId="2DBD7E35" w14:textId="77777777" w:rsidR="00E17676" w:rsidRPr="00A55C0D" w:rsidRDefault="00E17676" w:rsidP="00E17676">
      <w:r w:rsidRPr="00A55C0D">
        <w:rPr>
          <w:i/>
          <w:iCs/>
        </w:rPr>
        <w:t>b)</w:t>
      </w:r>
      <w:r w:rsidRPr="00A55C0D">
        <w:tab/>
        <w:t>that Resolution 30 (Rev. Dubai, 2014) of this conference has defined ITU</w:t>
      </w:r>
      <w:r w:rsidRPr="00A55C0D">
        <w:noBreakHyphen/>
        <w:t>D's role in implementing the WSIS outcomes;</w:t>
      </w:r>
    </w:p>
    <w:p w14:paraId="599F93C0" w14:textId="77777777" w:rsidR="00E17676" w:rsidRPr="00A55C0D" w:rsidRDefault="00E17676" w:rsidP="00E17676">
      <w:r w:rsidRPr="00A55C0D">
        <w:rPr>
          <w:i/>
          <w:iCs/>
        </w:rPr>
        <w:t>c)</w:t>
      </w:r>
      <w:r w:rsidRPr="00A55C0D">
        <w:tab/>
        <w:t>that Resolution 140 (Rev. Guadalajara, 2010) of the Plenipotentiary Conference resolved that ITU</w:t>
      </w:r>
      <w:r w:rsidRPr="00A55C0D">
        <w:noBreakHyphen/>
        <w:t>D shall assign high priority to the implementation of WSIS Action Line C2, on building information and communication infrastructure;</w:t>
      </w:r>
    </w:p>
    <w:p w14:paraId="59F422CC" w14:textId="77777777" w:rsidR="00E17676" w:rsidRPr="00A55C0D" w:rsidRDefault="00E17676" w:rsidP="00E17676">
      <w:pPr>
        <w:rPr>
          <w:rFonts w:eastAsia="Calibri"/>
        </w:rPr>
      </w:pPr>
      <w:r w:rsidRPr="00A55C0D">
        <w:rPr>
          <w:i/>
        </w:rPr>
        <w:t>d)</w:t>
      </w:r>
      <w:r w:rsidRPr="00A55C0D">
        <w:tab/>
        <w:t>that Resolution 1332 adopted by the Council at its 2011 session instructed the Director of the Telecommunication Development Bureau to take into account ITU's tasks as lead facilitator of WSIS Action Lines C2, C5 and C6 and as co</w:t>
      </w:r>
      <w:r w:rsidRPr="00A55C0D">
        <w:noBreakHyphen/>
        <w:t>facilitator of WSIS Action Lines C1, C3, C4, C7, C8, C9, C11 in the preparations for this conference,</w:t>
      </w:r>
    </w:p>
    <w:p w14:paraId="05E7DFCD" w14:textId="77777777" w:rsidR="00E17676" w:rsidRPr="00A55C0D" w:rsidRDefault="00E17676" w:rsidP="00E17676">
      <w:pPr>
        <w:pStyle w:val="Call"/>
      </w:pPr>
      <w:r w:rsidRPr="00A55C0D">
        <w:t>resolves to instruct the Director of the Telecommunication Development Bureau</w:t>
      </w:r>
    </w:p>
    <w:p w14:paraId="2B818055" w14:textId="77777777" w:rsidR="00E17676" w:rsidRPr="00A55C0D" w:rsidRDefault="00E17676" w:rsidP="00E17676">
      <w:r w:rsidRPr="00A55C0D">
        <w:t>in the implementation of the Dubai Action Plan:</w:t>
      </w:r>
    </w:p>
    <w:p w14:paraId="222513F3" w14:textId="77777777" w:rsidR="00E17676" w:rsidRPr="00A55C0D" w:rsidRDefault="00E17676" w:rsidP="00E17676">
      <w:r w:rsidRPr="00A55C0D">
        <w:rPr>
          <w:rFonts w:eastAsia="SimHei"/>
          <w:lang w:eastAsia="zh-CN"/>
        </w:rPr>
        <w:t>1</w:t>
      </w:r>
      <w:r w:rsidRPr="00A55C0D">
        <w:rPr>
          <w:rFonts w:eastAsia="SimHei"/>
          <w:lang w:eastAsia="zh-CN"/>
        </w:rPr>
        <w:tab/>
        <w:t>to provide the ITU regional and area offices with the assistance necessary for the full implementation of the regional initiatives approved by this conference in Resolution 17 (Rev. Dubai, 2014);</w:t>
      </w:r>
    </w:p>
    <w:p w14:paraId="037B074E" w14:textId="77777777" w:rsidR="00E17676" w:rsidRPr="00A55C0D" w:rsidRDefault="00E17676" w:rsidP="00E17676">
      <w:r w:rsidRPr="00A55C0D">
        <w:t>2</w:t>
      </w:r>
      <w:r w:rsidRPr="00A55C0D">
        <w:tab/>
        <w:t xml:space="preserve">to integrate </w:t>
      </w:r>
      <w:r w:rsidRPr="00A55C0D">
        <w:rPr>
          <w:rFonts w:eastAsia="SimHei"/>
          <w:lang w:eastAsia="zh-CN"/>
        </w:rPr>
        <w:t>the mandates handed down to ITU</w:t>
      </w:r>
      <w:r w:rsidRPr="00A55C0D">
        <w:rPr>
          <w:rFonts w:eastAsia="SimHei"/>
          <w:lang w:eastAsia="zh-CN"/>
        </w:rPr>
        <w:noBreakHyphen/>
        <w:t xml:space="preserve">D by the Plenipotentiary Conference and the Council on the implementation of </w:t>
      </w:r>
      <w:r w:rsidRPr="00A55C0D">
        <w:t xml:space="preserve">WSIS </w:t>
      </w:r>
      <w:r w:rsidRPr="00A55C0D">
        <w:rPr>
          <w:rFonts w:eastAsia="SimHei"/>
          <w:lang w:eastAsia="zh-CN"/>
        </w:rPr>
        <w:t xml:space="preserve">action lines, taking into account </w:t>
      </w:r>
      <w:r w:rsidRPr="00A55C0D">
        <w:t>the national development goals established by Member States;</w:t>
      </w:r>
    </w:p>
    <w:p w14:paraId="21D3ED64" w14:textId="77777777" w:rsidR="00E17676" w:rsidRPr="00A55C0D" w:rsidRDefault="00E17676" w:rsidP="00E17676">
      <w:pPr>
        <w:tabs>
          <w:tab w:val="clear" w:pos="1134"/>
          <w:tab w:val="clear" w:pos="1871"/>
          <w:tab w:val="clear" w:pos="2268"/>
        </w:tabs>
        <w:overflowPunct/>
        <w:autoSpaceDE/>
        <w:autoSpaceDN/>
        <w:adjustRightInd/>
        <w:spacing w:before="0"/>
        <w:textAlignment w:val="auto"/>
      </w:pPr>
      <w:r w:rsidRPr="00A55C0D">
        <w:br w:type="page"/>
      </w:r>
    </w:p>
    <w:p w14:paraId="5A46D5B1" w14:textId="77777777" w:rsidR="00E17676" w:rsidRPr="00A55C0D" w:rsidRDefault="00E17676" w:rsidP="00E17676">
      <w:r w:rsidRPr="00A55C0D">
        <w:lastRenderedPageBreak/>
        <w:t>3</w:t>
      </w:r>
      <w:r w:rsidRPr="00A55C0D">
        <w:tab/>
        <w:t>to formulate and structure the activities and programmes of the Dubai Action Plan in a manner that facilitates their evaluation, given the critical need to ensure that such activities are assessed on an ongoing basis;</w:t>
      </w:r>
    </w:p>
    <w:p w14:paraId="6A80C243" w14:textId="77777777" w:rsidR="00E17676" w:rsidRPr="00A55C0D" w:rsidRDefault="00E17676" w:rsidP="00E17676">
      <w:r w:rsidRPr="00A55C0D">
        <w:t>4</w:t>
      </w:r>
      <w:r w:rsidRPr="00A55C0D">
        <w:tab/>
        <w:t>to take into account the human and financial resource constraints identified in the biennial budget for 2014-2015 and expected to continue for the next financial planning cycle (2016-2019);</w:t>
      </w:r>
    </w:p>
    <w:p w14:paraId="68A971CF" w14:textId="77777777" w:rsidR="00E17676" w:rsidRPr="00A55C0D" w:rsidRDefault="00E17676" w:rsidP="00E17676">
      <w:r w:rsidRPr="00A55C0D">
        <w:t>5</w:t>
      </w:r>
      <w:r w:rsidRPr="00A55C0D">
        <w:tab/>
        <w:t xml:space="preserve">to identify and implement multistakeholder partnership arrangements with, </w:t>
      </w:r>
      <w:r w:rsidRPr="00A55C0D">
        <w:rPr>
          <w:i/>
        </w:rPr>
        <w:t>inter alia</w:t>
      </w:r>
      <w:r w:rsidRPr="00A55C0D">
        <w:t>, international financial institutions, regional development banks, regional commissions of the Department of Economic and Social Affairs (UNDESA) and other agencies and departments of the United Nations, with international development agencies, regional telecommunication organizations and the private sector, in order to optimize the use of resources and avoid duplication of effort;</w:t>
      </w:r>
    </w:p>
    <w:p w14:paraId="477FFA80" w14:textId="77777777" w:rsidR="00E17676" w:rsidRPr="00A55C0D" w:rsidRDefault="00E17676" w:rsidP="00E17676">
      <w:r w:rsidRPr="00A55C0D">
        <w:t>6</w:t>
      </w:r>
      <w:r w:rsidRPr="00A55C0D">
        <w:tab/>
        <w:t>to continue efforts to identify additional sources of revenue and funding, in order to ensure that the programmes and activities of ITU</w:t>
      </w:r>
      <w:r w:rsidRPr="00A55C0D">
        <w:noBreakHyphen/>
        <w:t>D can be fully implemented;</w:t>
      </w:r>
    </w:p>
    <w:p w14:paraId="13B9D459" w14:textId="77777777" w:rsidR="00E17676" w:rsidRPr="00A55C0D" w:rsidRDefault="00E17676" w:rsidP="00E17676">
      <w:r w:rsidRPr="00A55C0D">
        <w:t>7</w:t>
      </w:r>
      <w:r w:rsidRPr="00A55C0D">
        <w:tab/>
        <w:t>to report on the results of implementation of this resolution to the next WTDC.</w:t>
      </w:r>
    </w:p>
    <w:p w14:paraId="5B14179F" w14:textId="77777777" w:rsidR="00E17676" w:rsidRPr="00A55C0D" w:rsidRDefault="00E17676" w:rsidP="00E17676">
      <w:pPr>
        <w:pStyle w:val="Reasons"/>
      </w:pPr>
    </w:p>
    <w:p w14:paraId="2CDB1EEE" w14:textId="77777777" w:rsidR="00E17676" w:rsidRPr="00A55C0D" w:rsidRDefault="00E17676" w:rsidP="00E17676">
      <w:pPr>
        <w:tabs>
          <w:tab w:val="clear" w:pos="1134"/>
          <w:tab w:val="clear" w:pos="1871"/>
          <w:tab w:val="clear" w:pos="2268"/>
        </w:tabs>
        <w:overflowPunct/>
        <w:autoSpaceDE/>
        <w:autoSpaceDN/>
        <w:adjustRightInd/>
        <w:spacing w:before="0"/>
        <w:textAlignment w:val="auto"/>
      </w:pPr>
    </w:p>
    <w:p w14:paraId="6D3E6713" w14:textId="77777777" w:rsidR="00E17676" w:rsidRPr="00A55C0D" w:rsidRDefault="00E17676" w:rsidP="00E17676">
      <w:pPr>
        <w:tabs>
          <w:tab w:val="clear" w:pos="1134"/>
          <w:tab w:val="clear" w:pos="1871"/>
          <w:tab w:val="clear" w:pos="2268"/>
        </w:tabs>
        <w:overflowPunct/>
        <w:autoSpaceDE/>
        <w:autoSpaceDN/>
        <w:adjustRightInd/>
        <w:spacing w:before="0"/>
        <w:textAlignment w:val="auto"/>
      </w:pPr>
    </w:p>
    <w:p w14:paraId="0E054335" w14:textId="77777777" w:rsidR="00E17676" w:rsidRPr="00A55C0D" w:rsidRDefault="00E17676" w:rsidP="00E17676">
      <w:pPr>
        <w:tabs>
          <w:tab w:val="clear" w:pos="1134"/>
          <w:tab w:val="clear" w:pos="1871"/>
          <w:tab w:val="clear" w:pos="2268"/>
        </w:tabs>
        <w:overflowPunct/>
        <w:autoSpaceDE/>
        <w:autoSpaceDN/>
        <w:adjustRightInd/>
        <w:spacing w:before="0"/>
        <w:textAlignment w:val="auto"/>
      </w:pPr>
    </w:p>
    <w:p w14:paraId="7AF0131B" w14:textId="77777777" w:rsidR="00E17676" w:rsidRPr="00A55C0D" w:rsidRDefault="00E17676" w:rsidP="00E17676">
      <w:pPr>
        <w:tabs>
          <w:tab w:val="clear" w:pos="1134"/>
          <w:tab w:val="clear" w:pos="1871"/>
          <w:tab w:val="clear" w:pos="2268"/>
        </w:tabs>
        <w:overflowPunct/>
        <w:autoSpaceDE/>
        <w:autoSpaceDN/>
        <w:adjustRightInd/>
        <w:spacing w:before="0"/>
        <w:textAlignment w:val="auto"/>
      </w:pPr>
    </w:p>
    <w:p w14:paraId="6719DE41" w14:textId="77777777" w:rsidR="00E17676" w:rsidRPr="00A55C0D" w:rsidRDefault="00E17676" w:rsidP="00E17676">
      <w:pPr>
        <w:tabs>
          <w:tab w:val="clear" w:pos="1134"/>
          <w:tab w:val="clear" w:pos="1871"/>
          <w:tab w:val="clear" w:pos="2268"/>
        </w:tabs>
        <w:overflowPunct/>
        <w:autoSpaceDE/>
        <w:autoSpaceDN/>
        <w:adjustRightInd/>
        <w:spacing w:before="0"/>
        <w:textAlignment w:val="auto"/>
      </w:pPr>
    </w:p>
    <w:p w14:paraId="66704FBC" w14:textId="77777777" w:rsidR="00E17676" w:rsidRPr="00A55C0D" w:rsidRDefault="00E17676" w:rsidP="00E17676">
      <w:pPr>
        <w:tabs>
          <w:tab w:val="clear" w:pos="1134"/>
          <w:tab w:val="clear" w:pos="1871"/>
          <w:tab w:val="clear" w:pos="2268"/>
        </w:tabs>
        <w:overflowPunct/>
        <w:autoSpaceDE/>
        <w:autoSpaceDN/>
        <w:adjustRightInd/>
        <w:spacing w:before="0"/>
        <w:textAlignment w:val="auto"/>
      </w:pPr>
    </w:p>
    <w:p w14:paraId="7DAFBD41" w14:textId="77777777" w:rsidR="00E17676" w:rsidRPr="00A55C0D" w:rsidRDefault="00E17676" w:rsidP="00E17676">
      <w:pPr>
        <w:tabs>
          <w:tab w:val="clear" w:pos="1134"/>
          <w:tab w:val="clear" w:pos="1871"/>
          <w:tab w:val="clear" w:pos="2268"/>
        </w:tabs>
        <w:overflowPunct/>
        <w:autoSpaceDE/>
        <w:autoSpaceDN/>
        <w:adjustRightInd/>
        <w:spacing w:before="0"/>
        <w:textAlignment w:val="auto"/>
      </w:pPr>
    </w:p>
    <w:p w14:paraId="59FC5E46" w14:textId="77777777" w:rsidR="00E17676" w:rsidRPr="00A55C0D" w:rsidRDefault="00E17676" w:rsidP="00E17676">
      <w:pPr>
        <w:tabs>
          <w:tab w:val="clear" w:pos="1134"/>
          <w:tab w:val="clear" w:pos="1871"/>
          <w:tab w:val="clear" w:pos="2268"/>
        </w:tabs>
        <w:overflowPunct/>
        <w:autoSpaceDE/>
        <w:autoSpaceDN/>
        <w:adjustRightInd/>
        <w:spacing w:before="0"/>
        <w:textAlignment w:val="auto"/>
      </w:pPr>
    </w:p>
    <w:p w14:paraId="325EB619" w14:textId="77777777" w:rsidR="00542A8B" w:rsidRDefault="00542A8B"/>
    <w:sectPr w:rsidR="00542A8B" w:rsidSect="0026719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D778" w14:textId="77777777" w:rsidR="00267198" w:rsidRDefault="00267198" w:rsidP="00267198">
      <w:pPr>
        <w:spacing w:before="0"/>
      </w:pPr>
      <w:r>
        <w:separator/>
      </w:r>
    </w:p>
  </w:endnote>
  <w:endnote w:type="continuationSeparator" w:id="0">
    <w:p w14:paraId="503B6E9D" w14:textId="77777777" w:rsidR="00267198" w:rsidRDefault="00267198" w:rsidP="002671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6190" w14:textId="77777777" w:rsidR="00267198" w:rsidRDefault="00267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7A19" w14:textId="77777777" w:rsidR="00267198" w:rsidRDefault="00267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9730" w14:textId="77777777" w:rsidR="00267198" w:rsidRDefault="00267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FD80" w14:textId="77777777" w:rsidR="00267198" w:rsidRDefault="00267198" w:rsidP="00267198">
      <w:pPr>
        <w:spacing w:before="0"/>
      </w:pPr>
      <w:r>
        <w:separator/>
      </w:r>
    </w:p>
  </w:footnote>
  <w:footnote w:type="continuationSeparator" w:id="0">
    <w:p w14:paraId="57EC7269" w14:textId="77777777" w:rsidR="00267198" w:rsidRDefault="00267198" w:rsidP="002671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48445501"/>
      <w:docPartObj>
        <w:docPartGallery w:val="Page Numbers (Top of Page)"/>
        <w:docPartUnique/>
      </w:docPartObj>
    </w:sdtPr>
    <w:sdtEndPr>
      <w:rPr>
        <w:noProof/>
      </w:rPr>
    </w:sdtEndPr>
    <w:sdtContent>
      <w:p w14:paraId="51F9F937" w14:textId="772CA0C2" w:rsidR="00267198" w:rsidRPr="00267198" w:rsidRDefault="00267198" w:rsidP="00267198">
        <w:pPr>
          <w:pStyle w:val="Header"/>
          <w:tabs>
            <w:tab w:val="left" w:pos="567"/>
            <w:tab w:val="right" w:pos="9072"/>
            <w:tab w:val="right" w:pos="9639"/>
          </w:tabs>
          <w:jc w:val="left"/>
          <w:rPr>
            <w:sz w:val="16"/>
            <w:szCs w:val="16"/>
          </w:rPr>
        </w:pP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340</w:t>
        </w:r>
        <w:r w:rsidRPr="00713E5A">
          <w:rPr>
            <w:noProof/>
            <w:sz w:val="16"/>
            <w:szCs w:val="16"/>
          </w:rPr>
          <w:fldChar w:fldCharType="end"/>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F431C">
          <w:rPr>
            <w:noProof/>
            <w:sz w:val="16"/>
            <w:szCs w:val="16"/>
          </w:rPr>
          <w:t>53</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84850998"/>
      <w:docPartObj>
        <w:docPartGallery w:val="Page Numbers (Top of Page)"/>
        <w:docPartUnique/>
      </w:docPartObj>
    </w:sdtPr>
    <w:sdtEndPr>
      <w:rPr>
        <w:noProof/>
      </w:rPr>
    </w:sdtEndPr>
    <w:sdtContent>
      <w:p w14:paraId="43C96C6D" w14:textId="1C8A0BDB" w:rsidR="00267198" w:rsidRPr="00267198" w:rsidRDefault="00267198" w:rsidP="00267198">
        <w:pPr>
          <w:pStyle w:val="Header"/>
          <w:tabs>
            <w:tab w:val="clear" w:pos="4513"/>
            <w:tab w:val="clear" w:pos="9026"/>
            <w:tab w:val="left" w:pos="567"/>
            <w:tab w:val="right" w:pos="9072"/>
            <w:tab w:val="right" w:pos="9639"/>
          </w:tabs>
          <w:jc w:val="left"/>
          <w:rPr>
            <w:sz w:val="16"/>
            <w:szCs w:val="16"/>
          </w:rPr>
        </w:pPr>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9F431C">
          <w:rPr>
            <w:noProof/>
            <w:sz w:val="16"/>
            <w:szCs w:val="16"/>
          </w:rPr>
          <w:t>53</w:t>
        </w:r>
        <w:r w:rsidRPr="00642CD3">
          <w:rPr>
            <w:sz w:val="16"/>
            <w:szCs w:val="16"/>
          </w:rPr>
          <w:fldChar w:fldCharType="end"/>
        </w:r>
        <w:r>
          <w:tab/>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1</w:t>
        </w:r>
        <w:r w:rsidRPr="00713E5A">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C27B" w14:textId="77777777" w:rsidR="00267198" w:rsidRDefault="00267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6"/>
    <w:rsid w:val="001E7C13"/>
    <w:rsid w:val="00267198"/>
    <w:rsid w:val="00542A8B"/>
    <w:rsid w:val="00566FD7"/>
    <w:rsid w:val="009F431C"/>
    <w:rsid w:val="00D51EB4"/>
    <w:rsid w:val="00E1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3A87A5"/>
  <w14:defaultImageDpi w14:val="32767"/>
  <w15:chartTrackingRefBased/>
  <w15:docId w15:val="{97BEAE3B-AEE4-42FB-AC9D-18975604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76"/>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E176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E17676"/>
    <w:pPr>
      <w:keepNext/>
      <w:keepLines/>
      <w:spacing w:before="160"/>
      <w:ind w:left="1134"/>
    </w:pPr>
    <w:rPr>
      <w:i/>
    </w:rPr>
  </w:style>
  <w:style w:type="paragraph" w:customStyle="1" w:styleId="enumlev1">
    <w:name w:val="enumlev1"/>
    <w:basedOn w:val="Normal"/>
    <w:link w:val="enumlev1Char"/>
    <w:rsid w:val="00E17676"/>
    <w:pPr>
      <w:tabs>
        <w:tab w:val="clear" w:pos="2268"/>
        <w:tab w:val="left" w:pos="2608"/>
        <w:tab w:val="left" w:pos="3345"/>
      </w:tabs>
      <w:spacing w:before="80"/>
      <w:ind w:left="1134" w:hanging="1134"/>
    </w:pPr>
  </w:style>
  <w:style w:type="paragraph" w:customStyle="1" w:styleId="Normalaftertitle">
    <w:name w:val="Normal after title"/>
    <w:basedOn w:val="Normal"/>
    <w:next w:val="Normal"/>
    <w:link w:val="NormalaftertitleChar"/>
    <w:rsid w:val="00E17676"/>
    <w:pPr>
      <w:spacing w:before="280"/>
    </w:pPr>
  </w:style>
  <w:style w:type="paragraph" w:customStyle="1" w:styleId="Reasons">
    <w:name w:val="Reasons"/>
    <w:basedOn w:val="Normal"/>
    <w:qFormat/>
    <w:rsid w:val="00E17676"/>
    <w:pPr>
      <w:tabs>
        <w:tab w:val="clear" w:pos="2268"/>
        <w:tab w:val="left" w:pos="1588"/>
        <w:tab w:val="left" w:pos="1985"/>
      </w:tabs>
    </w:pPr>
  </w:style>
  <w:style w:type="paragraph" w:customStyle="1" w:styleId="ResNo">
    <w:name w:val="Res_No"/>
    <w:basedOn w:val="Heading2"/>
    <w:next w:val="Normal"/>
    <w:link w:val="ResNoChar"/>
    <w:rsid w:val="00E17676"/>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E17676"/>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E17676"/>
    <w:rPr>
      <w:rFonts w:eastAsia="Times New Roman" w:cs="Times New Roman"/>
      <w:kern w:val="0"/>
      <w:sz w:val="24"/>
      <w:szCs w:val="20"/>
      <w14:ligatures w14:val="none"/>
    </w:rPr>
  </w:style>
  <w:style w:type="character" w:customStyle="1" w:styleId="href">
    <w:name w:val="href"/>
    <w:basedOn w:val="DefaultParagraphFont"/>
    <w:rsid w:val="00E17676"/>
    <w:rPr>
      <w:color w:val="auto"/>
    </w:rPr>
  </w:style>
  <w:style w:type="character" w:customStyle="1" w:styleId="enumlev1Char">
    <w:name w:val="enumlev1 Char"/>
    <w:basedOn w:val="DefaultParagraphFont"/>
    <w:link w:val="enumlev1"/>
    <w:locked/>
    <w:rsid w:val="00E17676"/>
    <w:rPr>
      <w:rFonts w:eastAsia="Times New Roman" w:cs="Times New Roman"/>
      <w:kern w:val="0"/>
      <w:sz w:val="24"/>
      <w:szCs w:val="20"/>
      <w14:ligatures w14:val="none"/>
    </w:rPr>
  </w:style>
  <w:style w:type="character" w:customStyle="1" w:styleId="CallChar">
    <w:name w:val="Call Char"/>
    <w:basedOn w:val="DefaultParagraphFont"/>
    <w:link w:val="Call"/>
    <w:locked/>
    <w:rsid w:val="00E17676"/>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E17676"/>
    <w:rPr>
      <w:rFonts w:eastAsia="Times New Roman" w:cs="Times New Roman"/>
      <w:b/>
      <w:kern w:val="0"/>
      <w:sz w:val="28"/>
      <w:szCs w:val="20"/>
      <w14:ligatures w14:val="none"/>
    </w:rPr>
  </w:style>
  <w:style w:type="character" w:customStyle="1" w:styleId="ResNoChar">
    <w:name w:val="Res_No Char"/>
    <w:basedOn w:val="DefaultParagraphFont"/>
    <w:link w:val="ResNo"/>
    <w:rsid w:val="00E17676"/>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E17676"/>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267198"/>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267198"/>
    <w:rPr>
      <w:rFonts w:eastAsia="Times New Roman" w:cs="Times New Roman"/>
      <w:kern w:val="0"/>
      <w:sz w:val="24"/>
      <w:szCs w:val="20"/>
      <w14:ligatures w14:val="none"/>
    </w:rPr>
  </w:style>
  <w:style w:type="paragraph" w:styleId="Footer">
    <w:name w:val="footer"/>
    <w:basedOn w:val="Normal"/>
    <w:link w:val="FooterChar"/>
    <w:uiPriority w:val="99"/>
    <w:unhideWhenUsed/>
    <w:rsid w:val="00267198"/>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267198"/>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888</Words>
  <Characters>5953</Characters>
  <Application>Microsoft Office Word</Application>
  <DocSecurity>0</DocSecurity>
  <Lines>104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53 (Rev. Dubai, 2014)</dc:title>
  <dc:subject/>
  <dc:creator>Gachet, Christelle</dc:creator>
  <cp:keywords/>
  <dc:description/>
  <cp:lastModifiedBy>Gachet, Christelle</cp:lastModifiedBy>
  <cp:revision>4</cp:revision>
  <cp:lastPrinted>2023-10-16T13:48:00Z</cp:lastPrinted>
  <dcterms:created xsi:type="dcterms:W3CDTF">2023-10-16T13:47:00Z</dcterms:created>
  <dcterms:modified xsi:type="dcterms:W3CDTF">2023-10-16T13:49:00Z</dcterms:modified>
</cp:coreProperties>
</file>