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C59C4" w14:textId="77777777" w:rsidR="00686D9E" w:rsidRPr="002B2BF7" w:rsidRDefault="00686D9E" w:rsidP="00686D9E">
      <w:pPr>
        <w:pStyle w:val="ResNo"/>
        <w:rPr>
          <w:lang w:val="ru-RU"/>
        </w:rPr>
      </w:pPr>
      <w:bookmarkStart w:id="0" w:name="_Toc116554196"/>
      <w:r w:rsidRPr="002B2BF7">
        <w:rPr>
          <w:lang w:val="ru-RU"/>
        </w:rPr>
        <w:t xml:space="preserve">РЕЗОЛЮЦИЯ </w:t>
      </w:r>
      <w:r w:rsidRPr="002B2BF7">
        <w:rPr>
          <w:rStyle w:val="href"/>
          <w:lang w:val="ru-RU"/>
        </w:rPr>
        <w:t>48</w:t>
      </w:r>
      <w:r w:rsidRPr="002B2BF7">
        <w:rPr>
          <w:lang w:val="ru-RU"/>
        </w:rPr>
        <w:t xml:space="preserve"> (</w:t>
      </w:r>
      <w:proofErr w:type="spellStart"/>
      <w:r w:rsidRPr="002B2BF7">
        <w:rPr>
          <w:lang w:val="ru-RU"/>
        </w:rPr>
        <w:t>Пересм</w:t>
      </w:r>
      <w:proofErr w:type="spellEnd"/>
      <w:r w:rsidRPr="002B2BF7">
        <w:rPr>
          <w:lang w:val="ru-RU"/>
        </w:rPr>
        <w:t>. Кигали, 2022 г.)</w:t>
      </w:r>
      <w:bookmarkEnd w:id="0"/>
    </w:p>
    <w:p w14:paraId="071C7326" w14:textId="77777777" w:rsidR="00686D9E" w:rsidRPr="002B2BF7" w:rsidRDefault="00686D9E" w:rsidP="00686D9E">
      <w:pPr>
        <w:pStyle w:val="Restitle"/>
        <w:rPr>
          <w:lang w:val="ru-RU"/>
        </w:rPr>
      </w:pPr>
      <w:bookmarkStart w:id="1" w:name="_Toc116554197"/>
      <w:r w:rsidRPr="002B2BF7">
        <w:rPr>
          <w:lang w:val="ru-RU"/>
        </w:rPr>
        <w:t xml:space="preserve">Укрепление сотрудничества регуляторных органов </w:t>
      </w:r>
      <w:r w:rsidRPr="002B2BF7">
        <w:rPr>
          <w:lang w:val="ru-RU"/>
        </w:rPr>
        <w:br/>
        <w:t>в области электросвязи</w:t>
      </w:r>
      <w:bookmarkEnd w:id="1"/>
    </w:p>
    <w:p w14:paraId="697A1C18" w14:textId="77777777" w:rsidR="00686D9E" w:rsidRPr="002B2BF7" w:rsidRDefault="00686D9E" w:rsidP="00686D9E">
      <w:pPr>
        <w:pStyle w:val="Normalaftertitle"/>
        <w:rPr>
          <w:lang w:val="ru-RU"/>
        </w:rPr>
      </w:pPr>
      <w:r w:rsidRPr="002B2BF7">
        <w:rPr>
          <w:lang w:val="ru-RU"/>
        </w:rPr>
        <w:t>Всемирная конференция по развитию электросвязи (Кигали, 2022 г.),</w:t>
      </w:r>
    </w:p>
    <w:p w14:paraId="0C94B3C4" w14:textId="77777777" w:rsidR="00686D9E" w:rsidRPr="002B2BF7" w:rsidRDefault="00686D9E" w:rsidP="00686D9E">
      <w:pPr>
        <w:pStyle w:val="Call"/>
        <w:rPr>
          <w:lang w:val="ru-RU"/>
        </w:rPr>
      </w:pPr>
      <w:r w:rsidRPr="002B2BF7">
        <w:rPr>
          <w:lang w:val="ru-RU"/>
        </w:rPr>
        <w:t>напоминая</w:t>
      </w:r>
    </w:p>
    <w:p w14:paraId="3FC12106" w14:textId="77777777" w:rsidR="00686D9E" w:rsidRPr="002B2BF7" w:rsidRDefault="00686D9E" w:rsidP="00686D9E">
      <w:pPr>
        <w:rPr>
          <w:lang w:val="ru-RU"/>
        </w:rPr>
      </w:pPr>
      <w:r w:rsidRPr="002B2BF7">
        <w:rPr>
          <w:i/>
          <w:iCs/>
          <w:lang w:val="ru-RU"/>
        </w:rPr>
        <w:t>а)</w:t>
      </w:r>
      <w:r w:rsidRPr="002B2BF7">
        <w:rPr>
          <w:lang w:val="ru-RU"/>
        </w:rPr>
        <w:tab/>
        <w:t>о Резолюции 48 (</w:t>
      </w:r>
      <w:proofErr w:type="spellStart"/>
      <w:r w:rsidRPr="002B2BF7">
        <w:rPr>
          <w:lang w:val="ru-RU"/>
        </w:rPr>
        <w:t>Пересм</w:t>
      </w:r>
      <w:proofErr w:type="spellEnd"/>
      <w:r w:rsidRPr="002B2BF7">
        <w:rPr>
          <w:lang w:val="ru-RU"/>
        </w:rPr>
        <w:t>. Буэнос-Айрес, 2017 г.) Всемирной конференции по развитию электросвязи;</w:t>
      </w:r>
    </w:p>
    <w:p w14:paraId="6F1CAD35" w14:textId="77777777" w:rsidR="00686D9E" w:rsidRPr="002B2BF7" w:rsidRDefault="00686D9E" w:rsidP="00686D9E">
      <w:pPr>
        <w:rPr>
          <w:lang w:val="ru-RU"/>
        </w:rPr>
      </w:pPr>
      <w:r w:rsidRPr="002B2BF7">
        <w:rPr>
          <w:i/>
          <w:iCs/>
          <w:lang w:val="ru-RU"/>
        </w:rPr>
        <w:t>b)</w:t>
      </w:r>
      <w:r w:rsidRPr="002B2BF7">
        <w:rPr>
          <w:lang w:val="ru-RU"/>
        </w:rPr>
        <w:tab/>
        <w:t>о Резолюции 138 (Анталия, 2006 г.) Полномочной конференции о Глобальном симпозиуме для регуляторных органов (ГСР);</w:t>
      </w:r>
    </w:p>
    <w:p w14:paraId="3A2DB5C7" w14:textId="77777777" w:rsidR="00686D9E" w:rsidRPr="002B2BF7" w:rsidRDefault="00686D9E" w:rsidP="00686D9E">
      <w:pPr>
        <w:rPr>
          <w:lang w:val="ru-RU"/>
        </w:rPr>
      </w:pPr>
      <w:r w:rsidRPr="002B2BF7">
        <w:rPr>
          <w:i/>
          <w:iCs/>
          <w:lang w:val="ru-RU"/>
        </w:rPr>
        <w:t>c)</w:t>
      </w:r>
      <w:r w:rsidRPr="002B2BF7">
        <w:rPr>
          <w:i/>
          <w:iCs/>
          <w:lang w:val="ru-RU"/>
        </w:rPr>
        <w:tab/>
      </w:r>
      <w:r w:rsidRPr="002B2BF7">
        <w:rPr>
          <w:lang w:val="ru-RU"/>
        </w:rPr>
        <w:t>о</w:t>
      </w:r>
      <w:r w:rsidRPr="002B2BF7">
        <w:rPr>
          <w:i/>
          <w:iCs/>
          <w:lang w:val="ru-RU"/>
        </w:rPr>
        <w:t xml:space="preserve"> </w:t>
      </w:r>
      <w:r w:rsidRPr="002B2BF7">
        <w:rPr>
          <w:lang w:val="ru-RU"/>
        </w:rPr>
        <w:t>Резолюции 135 (</w:t>
      </w:r>
      <w:proofErr w:type="spellStart"/>
      <w:r w:rsidRPr="002B2BF7">
        <w:rPr>
          <w:lang w:val="ru-RU"/>
        </w:rPr>
        <w:t>Пересм</w:t>
      </w:r>
      <w:proofErr w:type="spellEnd"/>
      <w:r w:rsidRPr="002B2BF7">
        <w:rPr>
          <w:lang w:val="ru-RU"/>
        </w:rPr>
        <w:t>. Дубай, 2018 г.) Полномочной конференции о роли МСЭ в развитии электросвязи/информационно-коммуникационных технологий (ИКТ), в оказании технической помощи и консультаций развивающимся странам</w:t>
      </w:r>
      <w:r w:rsidRPr="002B2BF7">
        <w:rPr>
          <w:rStyle w:val="FootnoteReference"/>
          <w:lang w:val="ru-RU"/>
        </w:rPr>
        <w:footnoteReference w:id="1"/>
      </w:r>
      <w:r w:rsidRPr="002B2BF7">
        <w:rPr>
          <w:lang w:val="ru-RU"/>
        </w:rPr>
        <w:t xml:space="preserve"> и в реализации соответствующих национальных, региональных и межрегиональных проектов;</w:t>
      </w:r>
    </w:p>
    <w:p w14:paraId="06A35FF3" w14:textId="77777777" w:rsidR="00686D9E" w:rsidRPr="002B2BF7" w:rsidRDefault="00686D9E" w:rsidP="00686D9E">
      <w:pPr>
        <w:rPr>
          <w:lang w:val="ru-RU"/>
        </w:rPr>
      </w:pPr>
      <w:r w:rsidRPr="002B2BF7">
        <w:rPr>
          <w:i/>
          <w:iCs/>
          <w:lang w:val="ru-RU"/>
        </w:rPr>
        <w:t>d)</w:t>
      </w:r>
      <w:r w:rsidRPr="002B2BF7">
        <w:rPr>
          <w:lang w:val="ru-RU"/>
        </w:rPr>
        <w:tab/>
        <w:t>о Резолюции 2 (</w:t>
      </w:r>
      <w:proofErr w:type="spellStart"/>
      <w:r w:rsidRPr="002B2BF7">
        <w:rPr>
          <w:lang w:val="ru-RU"/>
        </w:rPr>
        <w:t>Пересм</w:t>
      </w:r>
      <w:proofErr w:type="spellEnd"/>
      <w:r w:rsidRPr="002B2BF7">
        <w:rPr>
          <w:lang w:val="ru-RU"/>
        </w:rPr>
        <w:t>. Дубай, 2018 г.) Полномочной конференции о Всемирном форуме по политике в области электросвязи/ИКТ;</w:t>
      </w:r>
    </w:p>
    <w:p w14:paraId="44A499C9" w14:textId="77777777" w:rsidR="00686D9E" w:rsidRPr="002B2BF7" w:rsidRDefault="00686D9E" w:rsidP="00686D9E">
      <w:pPr>
        <w:rPr>
          <w:lang w:val="ru-RU"/>
        </w:rPr>
      </w:pPr>
      <w:r w:rsidRPr="002B2BF7">
        <w:rPr>
          <w:i/>
          <w:iCs/>
          <w:lang w:val="ru-RU"/>
        </w:rPr>
        <w:t>e)</w:t>
      </w:r>
      <w:r w:rsidRPr="002B2BF7">
        <w:rPr>
          <w:lang w:val="ru-RU"/>
        </w:rPr>
        <w:tab/>
        <w:t>о резолюции 70/125 Генеральной Ассамблеи Организации Объединенных Наций (ГА ООН) об итоговом документе совещания высокого уровня Генеральной Ассамблеи, посвященного общему обзору хода осуществления решений Всемирной встречи на высшем уровне по вопросам информационного общества (ВВУИО);</w:t>
      </w:r>
    </w:p>
    <w:p w14:paraId="79AC89CF" w14:textId="77777777" w:rsidR="00686D9E" w:rsidRPr="002B2BF7" w:rsidRDefault="00686D9E" w:rsidP="00686D9E">
      <w:pPr>
        <w:rPr>
          <w:lang w:val="ru-RU"/>
        </w:rPr>
      </w:pPr>
      <w:r w:rsidRPr="002B2BF7">
        <w:rPr>
          <w:i/>
          <w:iCs/>
          <w:lang w:val="ru-RU"/>
        </w:rPr>
        <w:t>f)</w:t>
      </w:r>
      <w:r w:rsidRPr="002B2BF7">
        <w:rPr>
          <w:lang w:val="ru-RU"/>
        </w:rPr>
        <w:tab/>
        <w:t>о резолюции 70/1 ГА ООН о преобразовании нашего мира: Повестка дня в области устойчивого развития на период до 2030 года,</w:t>
      </w:r>
    </w:p>
    <w:p w14:paraId="6B2FC993" w14:textId="77777777" w:rsidR="00686D9E" w:rsidRPr="002B2BF7" w:rsidRDefault="00686D9E" w:rsidP="00686D9E">
      <w:pPr>
        <w:pStyle w:val="Call"/>
        <w:rPr>
          <w:lang w:val="ru-RU"/>
        </w:rPr>
      </w:pPr>
      <w:r w:rsidRPr="002B2BF7">
        <w:rPr>
          <w:lang w:val="ru-RU"/>
        </w:rPr>
        <w:t>учитывая</w:t>
      </w:r>
      <w:r w:rsidRPr="002B2BF7">
        <w:rPr>
          <w:i w:val="0"/>
          <w:iCs/>
          <w:lang w:val="ru-RU"/>
        </w:rPr>
        <w:t>,</w:t>
      </w:r>
    </w:p>
    <w:p w14:paraId="23550484" w14:textId="77777777" w:rsidR="00686D9E" w:rsidRPr="002B2BF7" w:rsidRDefault="00686D9E" w:rsidP="00686D9E">
      <w:pPr>
        <w:rPr>
          <w:i/>
          <w:iCs/>
          <w:szCs w:val="22"/>
          <w:lang w:val="ru-RU"/>
        </w:rPr>
      </w:pPr>
      <w:r w:rsidRPr="002B2BF7">
        <w:rPr>
          <w:i/>
          <w:iCs/>
          <w:szCs w:val="22"/>
          <w:lang w:val="ru-RU"/>
        </w:rPr>
        <w:t>a)</w:t>
      </w:r>
      <w:r w:rsidRPr="002B2BF7">
        <w:rPr>
          <w:i/>
          <w:iCs/>
          <w:szCs w:val="22"/>
          <w:lang w:val="ru-RU"/>
        </w:rPr>
        <w:tab/>
      </w:r>
      <w:r w:rsidRPr="002B2BF7">
        <w:rPr>
          <w:iCs/>
          <w:lang w:val="ru-RU"/>
        </w:rPr>
        <w:t>что либерализация рынков, развитие технологий и конвергенция услуг влекут за собой новые сложные задачи, требующие от регуляторных органов электросвязи новых компетенций в сфере регулирования</w:t>
      </w:r>
      <w:r w:rsidRPr="002B2BF7">
        <w:rPr>
          <w:iCs/>
          <w:szCs w:val="22"/>
          <w:lang w:val="ru-RU"/>
        </w:rPr>
        <w:t>;</w:t>
      </w:r>
      <w:r w:rsidRPr="002B2BF7">
        <w:rPr>
          <w:i/>
          <w:iCs/>
          <w:szCs w:val="22"/>
          <w:lang w:val="ru-RU"/>
        </w:rPr>
        <w:br w:type="page"/>
      </w:r>
    </w:p>
    <w:p w14:paraId="0F9AF607" w14:textId="77777777" w:rsidR="00686D9E" w:rsidRPr="002B2BF7" w:rsidRDefault="00686D9E" w:rsidP="00686D9E">
      <w:pPr>
        <w:rPr>
          <w:iCs/>
          <w:szCs w:val="22"/>
          <w:lang w:val="ru-RU"/>
        </w:rPr>
      </w:pPr>
      <w:r w:rsidRPr="002B2BF7">
        <w:rPr>
          <w:i/>
          <w:iCs/>
          <w:szCs w:val="22"/>
          <w:lang w:val="ru-RU"/>
        </w:rPr>
        <w:lastRenderedPageBreak/>
        <w:t>b)</w:t>
      </w:r>
      <w:r w:rsidRPr="002B2BF7">
        <w:rPr>
          <w:iCs/>
          <w:szCs w:val="22"/>
          <w:lang w:val="ru-RU"/>
        </w:rPr>
        <w:tab/>
      </w:r>
      <w:r w:rsidRPr="002B2BF7">
        <w:rPr>
          <w:iCs/>
          <w:lang w:val="ru-RU"/>
        </w:rPr>
        <w:t xml:space="preserve">что для действенности нормативно-правовой базы необходим </w:t>
      </w:r>
      <w:r w:rsidRPr="002B2BF7">
        <w:rPr>
          <w:lang w:val="ru-RU"/>
        </w:rPr>
        <w:t>баланс интересов среди всех заинтересованных сторон путем поощрения добросовестной конкуренции и обеспечения равных возможностей для всех участников, включая решение вопросов защиты потребителей</w:t>
      </w:r>
      <w:r w:rsidRPr="002B2BF7">
        <w:rPr>
          <w:iCs/>
          <w:szCs w:val="22"/>
          <w:lang w:val="ru-RU"/>
        </w:rPr>
        <w:t>;</w:t>
      </w:r>
    </w:p>
    <w:p w14:paraId="46DD1541" w14:textId="77777777" w:rsidR="00686D9E" w:rsidRPr="002B2BF7" w:rsidRDefault="00686D9E" w:rsidP="00686D9E">
      <w:pPr>
        <w:rPr>
          <w:iCs/>
          <w:szCs w:val="22"/>
          <w:lang w:val="ru-RU"/>
        </w:rPr>
      </w:pPr>
      <w:r w:rsidRPr="002B2BF7">
        <w:rPr>
          <w:i/>
          <w:iCs/>
          <w:szCs w:val="22"/>
          <w:lang w:val="ru-RU"/>
        </w:rPr>
        <w:t>c)</w:t>
      </w:r>
      <w:r w:rsidRPr="002B2BF7">
        <w:rPr>
          <w:iCs/>
          <w:szCs w:val="22"/>
          <w:lang w:val="ru-RU"/>
        </w:rPr>
        <w:tab/>
      </w:r>
      <w:r w:rsidRPr="002B2BF7">
        <w:rPr>
          <w:lang w:val="ru-RU"/>
        </w:rPr>
        <w:t xml:space="preserve">что МСЭ играет основополагающую роль в определении глобальных перспектив развития информационного общества, а одной из главных задач Сектора развития электросвязи МСЭ (МСЭ-D) в соответствии с п. 127 Устава МСЭ является "при необходимости консультирование, проведение или финансирование исследований по техническим, экономическим, финансовым, управленческим, </w:t>
      </w:r>
      <w:proofErr w:type="spellStart"/>
      <w:r w:rsidRPr="002B2BF7">
        <w:rPr>
          <w:lang w:val="ru-RU"/>
        </w:rPr>
        <w:t>регламентарным</w:t>
      </w:r>
      <w:proofErr w:type="spellEnd"/>
      <w:r w:rsidRPr="002B2BF7">
        <w:rPr>
          <w:lang w:val="ru-RU"/>
        </w:rPr>
        <w:t xml:space="preserve"> вопросам и аспектам политики, включая проведение исследований по конкретным проектам в области электросвязи"</w:t>
      </w:r>
      <w:r w:rsidRPr="002B2BF7">
        <w:rPr>
          <w:iCs/>
          <w:szCs w:val="22"/>
          <w:lang w:val="ru-RU"/>
        </w:rPr>
        <w:t>;</w:t>
      </w:r>
    </w:p>
    <w:p w14:paraId="2A85269F" w14:textId="77777777" w:rsidR="00686D9E" w:rsidRPr="002B2BF7" w:rsidRDefault="00686D9E" w:rsidP="00686D9E">
      <w:pPr>
        <w:rPr>
          <w:lang w:val="ru-RU"/>
        </w:rPr>
      </w:pPr>
      <w:r w:rsidRPr="002B2BF7">
        <w:rPr>
          <w:i/>
          <w:iCs/>
          <w:lang w:val="ru-RU"/>
        </w:rPr>
        <w:t>d)</w:t>
      </w:r>
      <w:r w:rsidRPr="002B2BF7">
        <w:rPr>
          <w:lang w:val="ru-RU"/>
        </w:rPr>
        <w:tab/>
        <w:t>что стремительное развитие в последние годы электросвязи/ИКТ и внедрение новых технологий и систем требует новых подходов в регулировании</w:t>
      </w:r>
      <w:r w:rsidRPr="002B2BF7">
        <w:rPr>
          <w:iCs/>
          <w:szCs w:val="22"/>
          <w:lang w:val="ru-RU"/>
        </w:rPr>
        <w:t>;</w:t>
      </w:r>
    </w:p>
    <w:p w14:paraId="51276A97" w14:textId="77777777" w:rsidR="00686D9E" w:rsidRPr="002B2BF7" w:rsidRDefault="00686D9E" w:rsidP="00686D9E">
      <w:pPr>
        <w:rPr>
          <w:lang w:val="ru-RU"/>
        </w:rPr>
      </w:pPr>
      <w:r w:rsidRPr="002B2BF7">
        <w:rPr>
          <w:i/>
          <w:lang w:val="ru-RU"/>
        </w:rPr>
        <w:t>e)</w:t>
      </w:r>
      <w:r w:rsidRPr="002B2BF7">
        <w:rPr>
          <w:lang w:val="ru-RU"/>
        </w:rPr>
        <w:tab/>
      </w:r>
      <w:r w:rsidRPr="002B2BF7">
        <w:rPr>
          <w:iCs/>
          <w:szCs w:val="22"/>
          <w:lang w:val="ru-RU"/>
        </w:rPr>
        <w:t>что не существует единственно правильного подхода к регулированию электросвязи/ИКТ во всех странах и необходимо учитывать особенности каждой страны. Однако во все более сложной и динамичной цифровой экосистеме необходимо стремиться к согласованию общих принципов</w:t>
      </w:r>
      <w:r w:rsidRPr="002B2BF7">
        <w:rPr>
          <w:lang w:val="ru-RU" w:eastAsia="zh-CN"/>
        </w:rPr>
        <w:t>;</w:t>
      </w:r>
    </w:p>
    <w:p w14:paraId="703111F9" w14:textId="77777777" w:rsidR="00686D9E" w:rsidRPr="002B2BF7" w:rsidRDefault="00686D9E" w:rsidP="00686D9E">
      <w:pPr>
        <w:rPr>
          <w:lang w:val="ru-RU"/>
        </w:rPr>
      </w:pPr>
      <w:r w:rsidRPr="002B2BF7">
        <w:rPr>
          <w:i/>
          <w:iCs/>
          <w:lang w:val="ru-RU"/>
        </w:rPr>
        <w:t>f)</w:t>
      </w:r>
      <w:r w:rsidRPr="002B2BF7">
        <w:rPr>
          <w:i/>
          <w:iCs/>
          <w:lang w:val="ru-RU"/>
        </w:rPr>
        <w:tab/>
      </w:r>
      <w:r w:rsidRPr="002B2BF7">
        <w:rPr>
          <w:lang w:val="ru-RU"/>
        </w:rPr>
        <w:t xml:space="preserve">что, </w:t>
      </w:r>
      <w:r w:rsidRPr="002B2BF7">
        <w:rPr>
          <w:szCs w:val="22"/>
          <w:lang w:val="ru-RU"/>
        </w:rPr>
        <w:t xml:space="preserve">учитывая значительные изменения в электросвязи/ИКТ, развитие рынков и общества, </w:t>
      </w:r>
      <w:r w:rsidRPr="002B2BF7">
        <w:rPr>
          <w:lang w:val="ru-RU"/>
        </w:rPr>
        <w:t>в большинстве стран мира, как развитых, так и развивающихся, осуществляются реформы в области электросвязи/ИКТ, включая реформирование регулирования электросвязи/ИКТ;</w:t>
      </w:r>
    </w:p>
    <w:p w14:paraId="258B659C" w14:textId="77777777" w:rsidR="00686D9E" w:rsidRPr="002B2BF7" w:rsidRDefault="00686D9E" w:rsidP="00686D9E">
      <w:pPr>
        <w:rPr>
          <w:lang w:val="ru-RU"/>
        </w:rPr>
      </w:pPr>
      <w:r w:rsidRPr="002B2BF7">
        <w:rPr>
          <w:i/>
          <w:iCs/>
          <w:lang w:val="ru-RU"/>
        </w:rPr>
        <w:t>g)</w:t>
      </w:r>
      <w:r w:rsidRPr="002B2BF7">
        <w:rPr>
          <w:lang w:val="ru-RU"/>
        </w:rPr>
        <w:tab/>
        <w:t>что успех реформы в области электросвязи/ИКТ главным образом будет обусловлен разработкой и внедрением эффективной нормативной базы, регуляторных механизмов и законов,</w:t>
      </w:r>
    </w:p>
    <w:p w14:paraId="6FC5D7BA" w14:textId="77777777" w:rsidR="00686D9E" w:rsidRPr="002B2BF7" w:rsidRDefault="00686D9E" w:rsidP="00686D9E">
      <w:pPr>
        <w:pStyle w:val="Call"/>
        <w:rPr>
          <w:lang w:val="ru-RU"/>
        </w:rPr>
      </w:pPr>
      <w:r w:rsidRPr="002B2BF7">
        <w:rPr>
          <w:lang w:val="ru-RU"/>
        </w:rPr>
        <w:t>признавая</w:t>
      </w:r>
    </w:p>
    <w:p w14:paraId="13F1F468" w14:textId="77777777" w:rsidR="00686D9E" w:rsidRPr="002B2BF7" w:rsidRDefault="00686D9E" w:rsidP="00686D9E">
      <w:pPr>
        <w:rPr>
          <w:i/>
          <w:iCs/>
          <w:lang w:val="ru-RU"/>
        </w:rPr>
      </w:pPr>
      <w:r w:rsidRPr="002B2BF7">
        <w:rPr>
          <w:i/>
          <w:iCs/>
          <w:lang w:val="ru-RU"/>
        </w:rPr>
        <w:t>a)</w:t>
      </w:r>
      <w:r w:rsidRPr="002B2BF7">
        <w:rPr>
          <w:lang w:val="ru-RU"/>
        </w:rPr>
        <w:tab/>
        <w:t>увеличение числа регуляторных органов в области электросвязи и что вновь созданным регуляторным органам и регуляторным органам развивающихся стран необходимо расширять область своей компетенции, чтобы успешно осуществлять деятельность в условиях возрастающей сложности регуляторной работы в части разработки и ввода в действие новых законов и политики в рамках реформирования сектора электросвязи, особенно в контексте быстрого изменения среды электросвязи;</w:t>
      </w:r>
      <w:r w:rsidRPr="002B2BF7">
        <w:rPr>
          <w:i/>
          <w:iCs/>
          <w:lang w:val="ru-RU"/>
        </w:rPr>
        <w:br w:type="page"/>
      </w:r>
    </w:p>
    <w:p w14:paraId="4439FABF" w14:textId="77777777" w:rsidR="00686D9E" w:rsidRPr="002B2BF7" w:rsidRDefault="00686D9E" w:rsidP="00686D9E">
      <w:pPr>
        <w:rPr>
          <w:lang w:val="ru-RU"/>
        </w:rPr>
      </w:pPr>
      <w:r w:rsidRPr="002B2BF7">
        <w:rPr>
          <w:i/>
          <w:iCs/>
          <w:lang w:val="ru-RU"/>
        </w:rPr>
        <w:lastRenderedPageBreak/>
        <w:t>b)</w:t>
      </w:r>
      <w:r w:rsidRPr="002B2BF7">
        <w:rPr>
          <w:lang w:val="ru-RU"/>
        </w:rPr>
        <w:tab/>
        <w:t>необходимость обмена информацией и опытом между регуляторными органами в области развития и реформирования электросвязи, в особенности между действующими и недавно созданными регуляторными органами;</w:t>
      </w:r>
    </w:p>
    <w:p w14:paraId="7F55375E" w14:textId="77777777" w:rsidR="00686D9E" w:rsidRPr="002B2BF7" w:rsidRDefault="00686D9E" w:rsidP="00686D9E">
      <w:pPr>
        <w:rPr>
          <w:lang w:val="ru-RU"/>
        </w:rPr>
      </w:pPr>
      <w:r w:rsidRPr="002B2BF7">
        <w:rPr>
          <w:i/>
          <w:iCs/>
          <w:lang w:val="ru-RU"/>
        </w:rPr>
        <w:t>с)</w:t>
      </w:r>
      <w:r w:rsidRPr="002B2BF7">
        <w:rPr>
          <w:lang w:val="ru-RU"/>
        </w:rPr>
        <w:tab/>
        <w:t>важность и необходимость сотрудничества между этими объединениями на региональном и международном уровнях,</w:t>
      </w:r>
    </w:p>
    <w:p w14:paraId="033A0404" w14:textId="77777777" w:rsidR="00686D9E" w:rsidRPr="002B2BF7" w:rsidRDefault="00686D9E" w:rsidP="00686D9E">
      <w:pPr>
        <w:pStyle w:val="Call"/>
        <w:rPr>
          <w:lang w:val="ru-RU"/>
        </w:rPr>
      </w:pPr>
      <w:r w:rsidRPr="002B2BF7">
        <w:rPr>
          <w:lang w:val="ru-RU"/>
        </w:rPr>
        <w:t>напоминая далее</w:t>
      </w:r>
    </w:p>
    <w:p w14:paraId="63B8D276" w14:textId="77777777" w:rsidR="00686D9E" w:rsidRPr="002B2BF7" w:rsidRDefault="00686D9E" w:rsidP="00686D9E">
      <w:pPr>
        <w:rPr>
          <w:lang w:val="ru-RU"/>
        </w:rPr>
      </w:pPr>
      <w:r w:rsidRPr="002B2BF7">
        <w:rPr>
          <w:i/>
          <w:iCs/>
          <w:lang w:val="ru-RU"/>
        </w:rPr>
        <w:t>a)</w:t>
      </w:r>
      <w:r w:rsidRPr="002B2BF7">
        <w:rPr>
          <w:lang w:val="ru-RU"/>
        </w:rPr>
        <w:tab/>
        <w:t xml:space="preserve">о соответствующих программах, связанных с </w:t>
      </w:r>
      <w:proofErr w:type="spellStart"/>
      <w:r w:rsidRPr="002B2BF7">
        <w:rPr>
          <w:lang w:val="ru-RU"/>
        </w:rPr>
        <w:t>Кигалийским</w:t>
      </w:r>
      <w:proofErr w:type="spellEnd"/>
      <w:r w:rsidRPr="002B2BF7">
        <w:rPr>
          <w:lang w:val="ru-RU"/>
        </w:rPr>
        <w:t xml:space="preserve"> планом действий, и в особенности симпозиумах, форумах, семинарах и семинарах-практикумах по проблемам регулирования электросвязи/ИКТ;</w:t>
      </w:r>
    </w:p>
    <w:p w14:paraId="446EDDDF" w14:textId="77777777" w:rsidR="00686D9E" w:rsidRPr="002B2BF7" w:rsidRDefault="00686D9E" w:rsidP="00686D9E">
      <w:pPr>
        <w:rPr>
          <w:lang w:val="ru-RU"/>
        </w:rPr>
      </w:pPr>
      <w:r w:rsidRPr="002B2BF7">
        <w:rPr>
          <w:i/>
          <w:iCs/>
          <w:lang w:val="ru-RU"/>
        </w:rPr>
        <w:t>b)</w:t>
      </w:r>
      <w:r w:rsidRPr="002B2BF7">
        <w:rPr>
          <w:lang w:val="ru-RU"/>
        </w:rPr>
        <w:tab/>
        <w:t>о рекомендациях прошедших ГСР по разработке глобальной программы взаимообмена для регуляторных органов;</w:t>
      </w:r>
    </w:p>
    <w:p w14:paraId="6C429F28" w14:textId="77777777" w:rsidR="00686D9E" w:rsidRPr="002B2BF7" w:rsidRDefault="00686D9E" w:rsidP="00686D9E">
      <w:pPr>
        <w:rPr>
          <w:lang w:val="ru-RU"/>
        </w:rPr>
      </w:pPr>
      <w:r w:rsidRPr="002B2BF7">
        <w:rPr>
          <w:i/>
          <w:iCs/>
          <w:lang w:val="ru-RU"/>
        </w:rPr>
        <w:t>c)</w:t>
      </w:r>
      <w:r w:rsidRPr="002B2BF7">
        <w:rPr>
          <w:lang w:val="ru-RU"/>
        </w:rPr>
        <w:tab/>
        <w:t xml:space="preserve">об успешном осуществлении и продолжении глобальной программы взаимообмена для регуляторных органов, </w:t>
      </w:r>
      <w:r w:rsidRPr="002B2BF7">
        <w:rPr>
          <w:color w:val="000000"/>
          <w:lang w:val="ru-RU"/>
        </w:rPr>
        <w:t>которая служит платформой для обмена мнениями по вопросам регулирования</w:t>
      </w:r>
      <w:r w:rsidRPr="002B2BF7">
        <w:rPr>
          <w:lang w:val="ru-RU"/>
        </w:rPr>
        <w:t>,</w:t>
      </w:r>
    </w:p>
    <w:p w14:paraId="52E0B7FE" w14:textId="77777777" w:rsidR="00686D9E" w:rsidRPr="002B2BF7" w:rsidRDefault="00686D9E" w:rsidP="00686D9E">
      <w:pPr>
        <w:pStyle w:val="Call"/>
        <w:rPr>
          <w:lang w:val="ru-RU"/>
        </w:rPr>
      </w:pPr>
      <w:r w:rsidRPr="002B2BF7">
        <w:rPr>
          <w:lang w:val="ru-RU"/>
        </w:rPr>
        <w:t>решает</w:t>
      </w:r>
      <w:r w:rsidRPr="002B2BF7">
        <w:rPr>
          <w:i w:val="0"/>
          <w:iCs/>
          <w:lang w:val="ru-RU"/>
        </w:rPr>
        <w:t>,</w:t>
      </w:r>
    </w:p>
    <w:p w14:paraId="11FF6BDC" w14:textId="77777777" w:rsidR="00686D9E" w:rsidRPr="002B2BF7" w:rsidRDefault="00686D9E" w:rsidP="00686D9E">
      <w:pPr>
        <w:rPr>
          <w:lang w:val="ru-RU"/>
        </w:rPr>
      </w:pPr>
      <w:r w:rsidRPr="002B2BF7">
        <w:rPr>
          <w:lang w:val="ru-RU"/>
        </w:rPr>
        <w:t>1</w:t>
      </w:r>
      <w:r w:rsidRPr="002B2BF7">
        <w:rPr>
          <w:lang w:val="ru-RU"/>
        </w:rPr>
        <w:tab/>
        <w:t>чтобы для регуляторных органов в области электросвязи была сохранена специальная платформа (G-REX) для совместного использования информации и опыта по темам, касающимся регуляторных вопросов, и обмена ими в электронной форме;</w:t>
      </w:r>
    </w:p>
    <w:p w14:paraId="0ED98F92" w14:textId="77777777" w:rsidR="00686D9E" w:rsidRPr="002B2BF7" w:rsidRDefault="00686D9E" w:rsidP="00686D9E">
      <w:pPr>
        <w:rPr>
          <w:lang w:val="ru-RU"/>
        </w:rPr>
      </w:pPr>
      <w:r w:rsidRPr="002B2BF7">
        <w:rPr>
          <w:lang w:val="ru-RU"/>
        </w:rPr>
        <w:t>2</w:t>
      </w:r>
      <w:r w:rsidRPr="002B2BF7">
        <w:rPr>
          <w:lang w:val="ru-RU"/>
        </w:rPr>
        <w:tab/>
        <w:t>что МСЭ и, в частности, МСЭ</w:t>
      </w:r>
      <w:r w:rsidRPr="002B2BF7">
        <w:rPr>
          <w:lang w:val="ru-RU"/>
        </w:rPr>
        <w:noBreakHyphen/>
        <w:t>D следует продолжать оказывать поддержку проведению реформы регулирования и помогать членам решать проблемы в области регулирования, содействуя обмену информацией и опытом среди членов;</w:t>
      </w:r>
    </w:p>
    <w:p w14:paraId="4B6593CD" w14:textId="77777777" w:rsidR="00686D9E" w:rsidRPr="002B2BF7" w:rsidRDefault="00686D9E" w:rsidP="00686D9E">
      <w:pPr>
        <w:rPr>
          <w:lang w:val="ru-RU"/>
        </w:rPr>
      </w:pPr>
      <w:r w:rsidRPr="002B2BF7">
        <w:rPr>
          <w:lang w:val="ru-RU"/>
        </w:rPr>
        <w:t>3</w:t>
      </w:r>
      <w:r w:rsidRPr="002B2BF7">
        <w:rPr>
          <w:lang w:val="ru-RU"/>
        </w:rPr>
        <w:tab/>
        <w:t>что Бюро развития электросвязи следует продолжать осуществлять координацию и содействовать проведению совместных видов деятельности, относящихся к политическим и регуляторным вопросам в области электросвязи/ИКТ, с региональными и субрегиональными организациями и учреждениями;</w:t>
      </w:r>
    </w:p>
    <w:p w14:paraId="12E40F6B" w14:textId="77777777" w:rsidR="00686D9E" w:rsidRPr="002B2BF7" w:rsidRDefault="00686D9E" w:rsidP="00686D9E">
      <w:pPr>
        <w:rPr>
          <w:lang w:val="ru-RU"/>
        </w:rPr>
      </w:pPr>
      <w:r w:rsidRPr="002B2BF7">
        <w:rPr>
          <w:lang w:val="ru-RU"/>
        </w:rPr>
        <w:t>4</w:t>
      </w:r>
      <w:r w:rsidRPr="002B2BF7">
        <w:rPr>
          <w:lang w:val="ru-RU"/>
        </w:rPr>
        <w:tab/>
        <w:t>что МСЭ</w:t>
      </w:r>
      <w:r w:rsidRPr="002B2BF7">
        <w:rPr>
          <w:lang w:val="ru-RU"/>
        </w:rPr>
        <w:noBreakHyphen/>
        <w:t>D следует продолжать и далее, по мере возможности, осуществление технического сотрудничества, обмен материалами между регуляторным органами, создание потенциала и предоставление консультаций экспертов при поддержке со стороны своих региональных отделений,</w:t>
      </w:r>
    </w:p>
    <w:p w14:paraId="52303D95" w14:textId="77777777" w:rsidR="00686D9E" w:rsidRPr="002B2BF7" w:rsidRDefault="00686D9E" w:rsidP="00686D9E">
      <w:pPr>
        <w:pStyle w:val="Call"/>
        <w:rPr>
          <w:lang w:val="ru-RU"/>
        </w:rPr>
      </w:pPr>
      <w:r w:rsidRPr="002B2BF7">
        <w:rPr>
          <w:lang w:val="ru-RU"/>
        </w:rPr>
        <w:t>поручает Директору Бюро развития электросвязи</w:t>
      </w:r>
    </w:p>
    <w:p w14:paraId="1FB7626F" w14:textId="77777777" w:rsidR="00686D9E" w:rsidRPr="002B2BF7" w:rsidRDefault="00686D9E" w:rsidP="00686D9E">
      <w:pPr>
        <w:rPr>
          <w:lang w:val="ru-RU"/>
        </w:rPr>
      </w:pPr>
      <w:r w:rsidRPr="002B2BF7">
        <w:rPr>
          <w:lang w:val="ru-RU"/>
        </w:rPr>
        <w:t>1</w:t>
      </w:r>
      <w:r w:rsidRPr="002B2BF7">
        <w:rPr>
          <w:lang w:val="ru-RU"/>
        </w:rPr>
        <w:tab/>
        <w:t>продолжать проводить ГСР по мере возможности поочередно в различных регионах и в максимально возможной степени отражать сбалансированную региональную представленность участников, выступающих и соответствующих заинтересованных сторон;</w:t>
      </w:r>
      <w:r w:rsidRPr="002B2BF7">
        <w:rPr>
          <w:lang w:val="ru-RU"/>
        </w:rPr>
        <w:br w:type="page"/>
      </w:r>
    </w:p>
    <w:p w14:paraId="594805FA" w14:textId="77777777" w:rsidR="00686D9E" w:rsidRPr="002B2BF7" w:rsidRDefault="00686D9E" w:rsidP="00686D9E">
      <w:pPr>
        <w:rPr>
          <w:lang w:val="ru-RU"/>
        </w:rPr>
      </w:pPr>
      <w:r w:rsidRPr="002B2BF7">
        <w:rPr>
          <w:lang w:val="ru-RU"/>
        </w:rPr>
        <w:lastRenderedPageBreak/>
        <w:t>2</w:t>
      </w:r>
      <w:r w:rsidRPr="002B2BF7">
        <w:rPr>
          <w:lang w:val="ru-RU"/>
        </w:rPr>
        <w:tab/>
        <w:t>проводить предварительные консультации с Государствами-Членами и соответствующими заинтересованными сторонами по темам ежегодного ГСР и тематическим приоритетам руководящих указаний на основе примеров передового опыта, ежегодно издаваемых ГСР, для обеспечения отражения в конечных результатах ГСР интересов всех заинтересованных сторон и полномасштабного участия всех стран;</w:t>
      </w:r>
    </w:p>
    <w:p w14:paraId="3B1A36DD" w14:textId="77777777" w:rsidR="00686D9E" w:rsidRPr="002B2BF7" w:rsidRDefault="00686D9E" w:rsidP="00686D9E">
      <w:pPr>
        <w:rPr>
          <w:lang w:val="ru-RU"/>
        </w:rPr>
      </w:pPr>
      <w:r w:rsidRPr="002B2BF7">
        <w:rPr>
          <w:lang w:val="ru-RU"/>
        </w:rPr>
        <w:t>3</w:t>
      </w:r>
      <w:r w:rsidRPr="002B2BF7">
        <w:rPr>
          <w:lang w:val="ru-RU"/>
        </w:rPr>
        <w:tab/>
        <w:t>содействовать проведению официальных собраний регуляторных органов и ассоциаций регуляторных органов во время ГСР и поощрять участие в них других заинтересованных сторон;</w:t>
      </w:r>
    </w:p>
    <w:p w14:paraId="77B79D77" w14:textId="77777777" w:rsidR="00686D9E" w:rsidRPr="002B2BF7" w:rsidRDefault="00686D9E" w:rsidP="00686D9E">
      <w:pPr>
        <w:rPr>
          <w:lang w:val="ru-RU"/>
        </w:rPr>
      </w:pPr>
      <w:r w:rsidRPr="002B2BF7">
        <w:rPr>
          <w:lang w:val="ru-RU"/>
        </w:rPr>
        <w:t>4</w:t>
      </w:r>
      <w:r w:rsidRPr="002B2BF7">
        <w:rPr>
          <w:lang w:val="ru-RU"/>
        </w:rPr>
        <w:tab/>
        <w:t>сохранять и далее специальную платформу для регуляторных органов и ассоциаций регуляторных органов;</w:t>
      </w:r>
    </w:p>
    <w:p w14:paraId="5A20CE9F" w14:textId="77777777" w:rsidR="00686D9E" w:rsidRPr="002B2BF7" w:rsidRDefault="00686D9E" w:rsidP="00686D9E">
      <w:pPr>
        <w:rPr>
          <w:lang w:val="ru-RU"/>
        </w:rPr>
      </w:pPr>
      <w:r w:rsidRPr="002B2BF7">
        <w:rPr>
          <w:lang w:val="ru-RU"/>
        </w:rPr>
        <w:t>5</w:t>
      </w:r>
      <w:r w:rsidRPr="002B2BF7">
        <w:rPr>
          <w:lang w:val="ru-RU"/>
        </w:rPr>
        <w:tab/>
        <w:t>организовывать и координировать мероприятия на международном, межрегиональном и региональном уровнях, направленные на поощрение совместного использования регуляторными органами и ассоциациями регуляторных органов информации по ключевым вопросам, а также содействовать их проведению;</w:t>
      </w:r>
    </w:p>
    <w:p w14:paraId="37A39549" w14:textId="77777777" w:rsidR="00686D9E" w:rsidRPr="002B2BF7" w:rsidRDefault="00686D9E" w:rsidP="00686D9E">
      <w:pPr>
        <w:rPr>
          <w:lang w:val="ru-RU"/>
        </w:rPr>
      </w:pPr>
      <w:r w:rsidRPr="002B2BF7">
        <w:rPr>
          <w:lang w:val="ru-RU"/>
        </w:rPr>
        <w:t>6</w:t>
      </w:r>
      <w:r w:rsidRPr="002B2BF7">
        <w:rPr>
          <w:lang w:val="ru-RU"/>
        </w:rPr>
        <w:tab/>
        <w:t>организовывать семинары, региональные семинары-практикумы и программы профессиональной подготовки, а также другие мероприятия в помощь регуляторным органам, предоставлять ресурсы и оказывать помощь в обобщении всех материалов, касающихся проводимой в рамках МСЭ-D работы по ключевым вопросам политики и регулирования, для того чтобы облегчить доступ к этим материалам и повысить эффективность передачи знаний и обмена информацией и опытом между регуляторными органами,</w:t>
      </w:r>
    </w:p>
    <w:p w14:paraId="19A2DE19" w14:textId="77777777" w:rsidR="00686D9E" w:rsidRPr="002B2BF7" w:rsidRDefault="00686D9E" w:rsidP="00686D9E">
      <w:pPr>
        <w:pStyle w:val="Call"/>
        <w:rPr>
          <w:b/>
          <w:bCs/>
          <w:lang w:val="ru-RU"/>
        </w:rPr>
      </w:pPr>
      <w:r w:rsidRPr="002B2BF7">
        <w:rPr>
          <w:lang w:val="ru-RU"/>
        </w:rPr>
        <w:t>предлагает исследовательским комиссиям Сектора развития электросвязи МСЭ</w:t>
      </w:r>
    </w:p>
    <w:p w14:paraId="182F30FD" w14:textId="77777777" w:rsidR="00686D9E" w:rsidRPr="002B2BF7" w:rsidRDefault="00686D9E" w:rsidP="00686D9E">
      <w:pPr>
        <w:rPr>
          <w:lang w:val="ru-RU"/>
        </w:rPr>
      </w:pPr>
      <w:r w:rsidRPr="002B2BF7">
        <w:rPr>
          <w:lang w:val="ru-RU"/>
        </w:rPr>
        <w:t>принимать, каждой в рамках своего мандата, руководящие указания и примеры передового опыта, сформулированные на ГСР и ежегодно публикуемые, а также учитывать их при проведении исследований по соответствующим Вопросам,</w:t>
      </w:r>
    </w:p>
    <w:p w14:paraId="65770D75" w14:textId="77777777" w:rsidR="00686D9E" w:rsidRPr="002B2BF7" w:rsidRDefault="00686D9E" w:rsidP="00686D9E">
      <w:pPr>
        <w:pStyle w:val="Call"/>
        <w:rPr>
          <w:lang w:val="ru-RU"/>
        </w:rPr>
      </w:pPr>
      <w:r w:rsidRPr="002B2BF7">
        <w:rPr>
          <w:lang w:val="ru-RU"/>
        </w:rPr>
        <w:t>призывает Государства-Члены</w:t>
      </w:r>
    </w:p>
    <w:p w14:paraId="234C4082" w14:textId="77777777" w:rsidR="00686D9E" w:rsidRPr="002B2BF7" w:rsidRDefault="00686D9E" w:rsidP="00686D9E">
      <w:pPr>
        <w:rPr>
          <w:szCs w:val="22"/>
          <w:lang w:val="ru-RU"/>
        </w:rPr>
      </w:pPr>
      <w:r w:rsidRPr="002B2BF7">
        <w:rPr>
          <w:lang w:val="ru-RU"/>
        </w:rPr>
        <w:t>1</w:t>
      </w:r>
      <w:r w:rsidRPr="002B2BF7">
        <w:rPr>
          <w:lang w:val="ru-RU"/>
        </w:rPr>
        <w:tab/>
        <w:t>оказывать любое возможное содействие и поддержку правительствам стран, находящихся в особо трудном положении, в проведении реформы регулирования на двусторонней, многосторонней основе или в рамках специальных мер, принимаемых Союзом</w:t>
      </w:r>
      <w:r w:rsidRPr="002B2BF7">
        <w:rPr>
          <w:szCs w:val="22"/>
          <w:lang w:val="ru-RU"/>
        </w:rPr>
        <w:t>;</w:t>
      </w:r>
    </w:p>
    <w:p w14:paraId="3F53907F" w14:textId="77777777" w:rsidR="00686D9E" w:rsidRPr="002B2BF7" w:rsidRDefault="00686D9E" w:rsidP="00686D9E">
      <w:pPr>
        <w:rPr>
          <w:i/>
          <w:lang w:val="ru-RU"/>
        </w:rPr>
      </w:pPr>
      <w:r w:rsidRPr="002B2BF7">
        <w:rPr>
          <w:lang w:val="ru-RU"/>
        </w:rPr>
        <w:t>2</w:t>
      </w:r>
      <w:r w:rsidRPr="002B2BF7">
        <w:rPr>
          <w:lang w:val="ru-RU"/>
        </w:rPr>
        <w:tab/>
        <w:t>обмениваться знаниями, навыками и опытом в области адаптации, разработки и ввода в действие новых законов и политики в рамках реформирования сектора электросвязи/ИКТ,</w:t>
      </w:r>
      <w:r w:rsidRPr="002B2BF7">
        <w:rPr>
          <w:lang w:val="ru-RU"/>
        </w:rPr>
        <w:br w:type="page"/>
      </w:r>
    </w:p>
    <w:p w14:paraId="03DB26BE" w14:textId="77777777" w:rsidR="00686D9E" w:rsidRPr="002B2BF7" w:rsidRDefault="00686D9E" w:rsidP="00686D9E">
      <w:pPr>
        <w:pStyle w:val="Call"/>
        <w:rPr>
          <w:lang w:val="ru-RU"/>
        </w:rPr>
      </w:pPr>
      <w:r w:rsidRPr="002B2BF7">
        <w:rPr>
          <w:lang w:val="ru-RU"/>
        </w:rPr>
        <w:lastRenderedPageBreak/>
        <w:t>просит Генерального секретаря</w:t>
      </w:r>
    </w:p>
    <w:p w14:paraId="0969E8E5" w14:textId="77777777" w:rsidR="00686D9E" w:rsidRPr="002B2BF7" w:rsidRDefault="00686D9E" w:rsidP="00686D9E">
      <w:pPr>
        <w:rPr>
          <w:lang w:val="ru-RU"/>
        </w:rPr>
      </w:pPr>
      <w:r w:rsidRPr="002B2BF7">
        <w:rPr>
          <w:lang w:val="ru-RU"/>
        </w:rPr>
        <w:t>передать настоящую Резолюцию предстоящей Полномочной конференции в целях обеспечения уделения должного внимания этим направлениям деятельности, особенно в рамках осуществления решений ВВУИО и в отношении роли регуляторных органов в реализации Стратегического плана Союза.</w:t>
      </w:r>
    </w:p>
    <w:p w14:paraId="3F185090" w14:textId="77777777" w:rsidR="00686D9E" w:rsidRPr="002B2BF7" w:rsidRDefault="00686D9E" w:rsidP="00686D9E">
      <w:pPr>
        <w:pStyle w:val="Reasons"/>
        <w:rPr>
          <w:lang w:val="ru-RU"/>
        </w:rPr>
      </w:pPr>
    </w:p>
    <w:p w14:paraId="22D78712" w14:textId="77777777" w:rsidR="00686D9E" w:rsidRPr="002B2BF7" w:rsidRDefault="00686D9E" w:rsidP="00686D9E">
      <w:pPr>
        <w:pStyle w:val="Reasons"/>
        <w:rPr>
          <w:lang w:val="ru-RU"/>
        </w:rPr>
      </w:pPr>
    </w:p>
    <w:p w14:paraId="41658073" w14:textId="77777777" w:rsidR="00686D9E" w:rsidRPr="002B2BF7" w:rsidRDefault="00686D9E" w:rsidP="00686D9E">
      <w:pPr>
        <w:pStyle w:val="Reasons"/>
        <w:rPr>
          <w:lang w:val="ru-RU"/>
        </w:rPr>
      </w:pPr>
    </w:p>
    <w:p w14:paraId="6DFD9D7B" w14:textId="77777777" w:rsidR="00686D9E" w:rsidRPr="002B2BF7" w:rsidRDefault="00686D9E" w:rsidP="00686D9E">
      <w:pPr>
        <w:pStyle w:val="Reasons"/>
        <w:rPr>
          <w:lang w:val="ru-RU"/>
        </w:rPr>
      </w:pPr>
    </w:p>
    <w:p w14:paraId="358F727E" w14:textId="77777777" w:rsidR="00686D9E" w:rsidRPr="002B2BF7" w:rsidRDefault="00686D9E" w:rsidP="00686D9E">
      <w:pPr>
        <w:pStyle w:val="Reasons"/>
        <w:rPr>
          <w:lang w:val="ru-RU"/>
        </w:rPr>
      </w:pPr>
    </w:p>
    <w:p w14:paraId="5B281A86" w14:textId="77777777" w:rsidR="00686D9E" w:rsidRPr="002B2BF7" w:rsidRDefault="00686D9E" w:rsidP="00686D9E">
      <w:pPr>
        <w:pStyle w:val="Reasons"/>
        <w:rPr>
          <w:lang w:val="ru-RU"/>
        </w:rPr>
      </w:pPr>
    </w:p>
    <w:p w14:paraId="2C8E5CD9" w14:textId="77777777" w:rsidR="00686D9E" w:rsidRPr="002B2BF7" w:rsidRDefault="00686D9E" w:rsidP="00686D9E">
      <w:pPr>
        <w:pStyle w:val="Reasons"/>
        <w:rPr>
          <w:lang w:val="ru-RU"/>
        </w:rPr>
      </w:pPr>
    </w:p>
    <w:p w14:paraId="6C8CC653" w14:textId="77777777" w:rsidR="00686D9E" w:rsidRPr="002B2BF7" w:rsidRDefault="00686D9E" w:rsidP="00686D9E">
      <w:pPr>
        <w:pStyle w:val="Reasons"/>
        <w:rPr>
          <w:lang w:val="ru-RU"/>
        </w:rPr>
      </w:pPr>
    </w:p>
    <w:p w14:paraId="6FA141A8" w14:textId="77777777" w:rsidR="00686D9E" w:rsidRPr="002B2BF7" w:rsidRDefault="00686D9E" w:rsidP="00686D9E">
      <w:pPr>
        <w:pStyle w:val="Reasons"/>
        <w:rPr>
          <w:lang w:val="ru-RU"/>
        </w:rPr>
      </w:pPr>
    </w:p>
    <w:p w14:paraId="1860AC44" w14:textId="77777777" w:rsidR="00686D9E" w:rsidRPr="002B2BF7" w:rsidRDefault="00686D9E" w:rsidP="00686D9E">
      <w:pPr>
        <w:pStyle w:val="Reasons"/>
        <w:rPr>
          <w:lang w:val="ru-RU"/>
        </w:rPr>
      </w:pPr>
    </w:p>
    <w:p w14:paraId="4FBD6546" w14:textId="77777777" w:rsidR="00686D9E" w:rsidRPr="002B2BF7" w:rsidRDefault="00686D9E" w:rsidP="00686D9E">
      <w:pPr>
        <w:pStyle w:val="Reasons"/>
        <w:rPr>
          <w:lang w:val="ru-RU"/>
        </w:rPr>
      </w:pPr>
    </w:p>
    <w:p w14:paraId="2FE30D97" w14:textId="77777777" w:rsidR="00686D9E" w:rsidRPr="002B2BF7" w:rsidRDefault="00686D9E" w:rsidP="00686D9E">
      <w:pPr>
        <w:pStyle w:val="Reasons"/>
        <w:rPr>
          <w:lang w:val="ru-RU"/>
        </w:rPr>
      </w:pPr>
    </w:p>
    <w:p w14:paraId="348D278F" w14:textId="77777777" w:rsidR="00686D9E" w:rsidRPr="002B2BF7" w:rsidRDefault="00686D9E" w:rsidP="00686D9E">
      <w:pPr>
        <w:pStyle w:val="Reasons"/>
        <w:rPr>
          <w:lang w:val="ru-RU"/>
        </w:rPr>
      </w:pPr>
    </w:p>
    <w:p w14:paraId="26335A4A" w14:textId="77777777" w:rsidR="00686D9E" w:rsidRPr="002B2BF7" w:rsidRDefault="00686D9E" w:rsidP="00686D9E">
      <w:pPr>
        <w:pStyle w:val="Reasons"/>
        <w:rPr>
          <w:lang w:val="ru-RU"/>
        </w:rPr>
      </w:pPr>
    </w:p>
    <w:p w14:paraId="1B1B8B59" w14:textId="77777777" w:rsidR="00686D9E" w:rsidRPr="002B2BF7" w:rsidRDefault="00686D9E" w:rsidP="00686D9E">
      <w:pPr>
        <w:pStyle w:val="Reasons"/>
        <w:rPr>
          <w:lang w:val="ru-RU"/>
        </w:rPr>
      </w:pPr>
    </w:p>
    <w:p w14:paraId="0ABD8D3B" w14:textId="77777777" w:rsidR="00686D9E" w:rsidRPr="002B2BF7" w:rsidRDefault="00686D9E" w:rsidP="00686D9E">
      <w:pPr>
        <w:pStyle w:val="Reasons"/>
        <w:rPr>
          <w:lang w:val="ru-RU"/>
        </w:rPr>
      </w:pPr>
    </w:p>
    <w:p w14:paraId="24DFD73E" w14:textId="77777777" w:rsidR="00686D9E" w:rsidRPr="002B2BF7" w:rsidRDefault="00686D9E" w:rsidP="00686D9E">
      <w:pPr>
        <w:pStyle w:val="Reasons"/>
        <w:rPr>
          <w:lang w:val="ru-RU"/>
        </w:rPr>
      </w:pPr>
    </w:p>
    <w:p w14:paraId="3A5131F3" w14:textId="77777777" w:rsidR="00686D9E" w:rsidRPr="002B2BF7" w:rsidRDefault="00686D9E" w:rsidP="00686D9E">
      <w:pPr>
        <w:pStyle w:val="Reasons"/>
        <w:rPr>
          <w:lang w:val="ru-RU"/>
        </w:rPr>
      </w:pPr>
    </w:p>
    <w:p w14:paraId="57F61B9B" w14:textId="77777777" w:rsidR="00686D9E" w:rsidRPr="002B2BF7" w:rsidRDefault="00686D9E" w:rsidP="00686D9E">
      <w:pPr>
        <w:pStyle w:val="Reasons"/>
        <w:rPr>
          <w:lang w:val="ru-RU"/>
        </w:rPr>
      </w:pPr>
    </w:p>
    <w:p w14:paraId="178DEB78" w14:textId="77777777" w:rsidR="00686D9E" w:rsidRPr="002B2BF7" w:rsidRDefault="00686D9E" w:rsidP="00686D9E">
      <w:pPr>
        <w:pStyle w:val="Reasons"/>
        <w:rPr>
          <w:lang w:val="ru-RU"/>
        </w:rPr>
      </w:pPr>
    </w:p>
    <w:p w14:paraId="3FBB6BCD" w14:textId="77777777" w:rsidR="00E45F09" w:rsidRPr="00686D9E" w:rsidRDefault="00E45F09" w:rsidP="00686D9E">
      <w:pPr>
        <w:rPr>
          <w:lang w:val="ru-RU"/>
        </w:rPr>
      </w:pPr>
    </w:p>
    <w:sectPr w:rsidR="00E45F09" w:rsidRPr="00686D9E" w:rsidSect="003E584B">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7AEC4" w14:textId="77777777" w:rsidR="003E584B" w:rsidRDefault="003E584B" w:rsidP="003E584B">
      <w:pPr>
        <w:spacing w:before="0"/>
      </w:pPr>
      <w:r>
        <w:separator/>
      </w:r>
    </w:p>
  </w:endnote>
  <w:endnote w:type="continuationSeparator" w:id="0">
    <w:p w14:paraId="55BD7F9B" w14:textId="77777777" w:rsidR="003E584B" w:rsidRDefault="003E584B" w:rsidP="003E58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2D65" w14:textId="77777777" w:rsidR="003E584B" w:rsidRDefault="003E5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6E26" w14:textId="77777777" w:rsidR="003E584B" w:rsidRDefault="003E5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AAEB" w14:textId="77777777" w:rsidR="003E584B" w:rsidRDefault="003E5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158AD" w14:textId="77777777" w:rsidR="003E584B" w:rsidRDefault="003E584B" w:rsidP="003E584B">
      <w:pPr>
        <w:spacing w:before="0"/>
      </w:pPr>
      <w:r>
        <w:separator/>
      </w:r>
    </w:p>
  </w:footnote>
  <w:footnote w:type="continuationSeparator" w:id="0">
    <w:p w14:paraId="72557AB2" w14:textId="77777777" w:rsidR="003E584B" w:rsidRDefault="003E584B" w:rsidP="003E584B">
      <w:pPr>
        <w:spacing w:before="0"/>
      </w:pPr>
      <w:r>
        <w:continuationSeparator/>
      </w:r>
    </w:p>
  </w:footnote>
  <w:footnote w:id="1">
    <w:p w14:paraId="3A8F0C1F" w14:textId="77777777" w:rsidR="00686D9E" w:rsidRPr="00FE2866" w:rsidRDefault="00686D9E" w:rsidP="00686D9E">
      <w:pPr>
        <w:pStyle w:val="FootnoteText"/>
        <w:tabs>
          <w:tab w:val="left" w:pos="568"/>
        </w:tabs>
        <w:spacing w:after="120"/>
        <w:rPr>
          <w:lang w:val="ru-RU"/>
        </w:rPr>
      </w:pPr>
      <w:r>
        <w:rPr>
          <w:rStyle w:val="FootnoteReference"/>
        </w:rPr>
        <w:footnoteRef/>
      </w:r>
      <w:r>
        <w:rPr>
          <w:rStyle w:val="FootnoteReference"/>
          <w:lang w:val="ru-RU"/>
        </w:rPr>
        <w:tab/>
      </w:r>
      <w:r w:rsidRPr="00FE2866">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157714"/>
      <w:docPartObj>
        <w:docPartGallery w:val="Page Numbers (Top of Page)"/>
        <w:docPartUnique/>
      </w:docPartObj>
    </w:sdtPr>
    <w:sdtEndPr>
      <w:rPr>
        <w:noProof/>
        <w:szCs w:val="22"/>
      </w:rPr>
    </w:sdtEndPr>
    <w:sdtContent>
      <w:p w14:paraId="4EAB3C34" w14:textId="4B3F050A" w:rsidR="003E584B" w:rsidRPr="003E584B" w:rsidRDefault="003E584B" w:rsidP="003E584B">
        <w:pPr>
          <w:pStyle w:val="Header"/>
          <w:tabs>
            <w:tab w:val="clear" w:pos="4513"/>
            <w:tab w:val="left" w:pos="851"/>
          </w:tabs>
          <w:jc w:val="left"/>
          <w:rPr>
            <w:szCs w:val="22"/>
            <w:lang w:val="ru-RU"/>
          </w:rPr>
        </w:pPr>
        <w:r w:rsidRPr="00BF1EE0">
          <w:rPr>
            <w:szCs w:val="22"/>
          </w:rPr>
          <w:fldChar w:fldCharType="begin"/>
        </w:r>
        <w:r w:rsidRPr="00E3202A">
          <w:rPr>
            <w:szCs w:val="22"/>
            <w:lang w:val="ru-RU"/>
          </w:rPr>
          <w:instrText xml:space="preserve"> </w:instrText>
        </w:r>
        <w:r w:rsidRPr="00BF1EE0">
          <w:rPr>
            <w:szCs w:val="22"/>
          </w:rPr>
          <w:instrText>PAGE</w:instrText>
        </w:r>
        <w:r w:rsidRPr="00E3202A">
          <w:rPr>
            <w:szCs w:val="22"/>
            <w:lang w:val="ru-RU"/>
          </w:rPr>
          <w:instrText xml:space="preserve">   \* </w:instrText>
        </w:r>
        <w:r w:rsidRPr="00BF1EE0">
          <w:rPr>
            <w:szCs w:val="22"/>
          </w:rPr>
          <w:instrText>MERGEFORMAT</w:instrText>
        </w:r>
        <w:r w:rsidRPr="00E3202A">
          <w:rPr>
            <w:szCs w:val="22"/>
            <w:lang w:val="ru-RU"/>
          </w:rPr>
          <w:instrText xml:space="preserve"> </w:instrText>
        </w:r>
        <w:r w:rsidRPr="00BF1EE0">
          <w:rPr>
            <w:szCs w:val="22"/>
          </w:rPr>
          <w:fldChar w:fldCharType="separate"/>
        </w:r>
        <w:r w:rsidRPr="003E584B">
          <w:rPr>
            <w:szCs w:val="22"/>
            <w:lang w:val="ru-RU"/>
          </w:rPr>
          <w:t>144</w:t>
        </w:r>
        <w:r w:rsidRPr="00BF1EE0">
          <w:rPr>
            <w:noProof/>
            <w:szCs w:val="22"/>
          </w:rPr>
          <w:fldChar w:fldCharType="end"/>
        </w:r>
        <w:r w:rsidRPr="00E3202A">
          <w:rPr>
            <w:noProof/>
            <w:szCs w:val="22"/>
            <w:lang w:val="ru-RU"/>
          </w:rPr>
          <w:tab/>
        </w:r>
        <w:r w:rsidRPr="00E3202A">
          <w:rPr>
            <w:szCs w:val="22"/>
            <w:lang w:val="ru-RU"/>
          </w:rPr>
          <w:t xml:space="preserve">Заключительный отчет ВКРЭ-22 – Часть </w:t>
        </w:r>
        <w:r w:rsidRPr="00895A25">
          <w:rPr>
            <w:szCs w:val="22"/>
          </w:rPr>
          <w:t>IV</w:t>
        </w:r>
        <w:r w:rsidRPr="00E3202A">
          <w:rPr>
            <w:szCs w:val="22"/>
            <w:lang w:val="ru-RU"/>
          </w:rPr>
          <w:t xml:space="preserve"> – </w:t>
        </w:r>
        <w:r w:rsidRPr="00895A25">
          <w:rPr>
            <w:szCs w:val="22"/>
            <w:lang w:val="ru-RU"/>
          </w:rPr>
          <w:t>Резолюци</w:t>
        </w:r>
        <w:r>
          <w:rPr>
            <w:szCs w:val="22"/>
            <w:lang w:val="ru-RU"/>
          </w:rPr>
          <w:t xml:space="preserve">я </w:t>
        </w:r>
        <w:r w:rsidRPr="00F910FE">
          <w:rPr>
            <w:szCs w:val="22"/>
          </w:rPr>
          <w:fldChar w:fldCharType="begin"/>
        </w:r>
        <w:r w:rsidRPr="00F910FE">
          <w:rPr>
            <w:szCs w:val="22"/>
          </w:rPr>
          <w:instrText>styleref</w:instrText>
        </w:r>
        <w:r w:rsidRPr="00E3202A">
          <w:rPr>
            <w:szCs w:val="22"/>
            <w:lang w:val="ru-RU"/>
          </w:rPr>
          <w:instrText xml:space="preserve"> </w:instrText>
        </w:r>
        <w:r w:rsidRPr="00F910FE">
          <w:rPr>
            <w:szCs w:val="22"/>
          </w:rPr>
          <w:instrText>href</w:instrText>
        </w:r>
        <w:r w:rsidRPr="00F910FE">
          <w:rPr>
            <w:szCs w:val="22"/>
          </w:rPr>
          <w:fldChar w:fldCharType="separate"/>
        </w:r>
        <w:r w:rsidR="00686D9E">
          <w:rPr>
            <w:noProof/>
            <w:szCs w:val="22"/>
          </w:rPr>
          <w:t>48</w:t>
        </w:r>
        <w:r w:rsidRPr="00F910FE">
          <w:rPr>
            <w:szCs w:val="22"/>
            <w:lang w:val="ru-RU"/>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0513" w14:textId="682A04F2" w:rsidR="003E584B" w:rsidRPr="003E584B" w:rsidRDefault="003E584B" w:rsidP="003E584B">
    <w:pPr>
      <w:pStyle w:val="Header"/>
      <w:tabs>
        <w:tab w:val="clear" w:pos="4513"/>
        <w:tab w:val="clear" w:pos="9026"/>
        <w:tab w:val="right" w:pos="8789"/>
        <w:tab w:val="right" w:pos="9639"/>
      </w:tabs>
      <w:jc w:val="right"/>
      <w:rPr>
        <w:szCs w:val="22"/>
        <w:lang w:val="ru-RU"/>
      </w:rPr>
    </w:pPr>
    <w:r>
      <w:rPr>
        <w:szCs w:val="22"/>
      </w:rPr>
      <w:tab/>
    </w:r>
    <w:r w:rsidRPr="00E3202A">
      <w:rPr>
        <w:szCs w:val="22"/>
        <w:lang w:val="ru-RU"/>
      </w:rPr>
      <w:t xml:space="preserve">Заключительный отчет ВКРЭ-22 – Часть </w:t>
    </w:r>
    <w:r w:rsidRPr="00895A25">
      <w:rPr>
        <w:szCs w:val="22"/>
      </w:rPr>
      <w:t>IV</w:t>
    </w:r>
    <w:r w:rsidRPr="00895A25">
      <w:rPr>
        <w:szCs w:val="22"/>
        <w:lang w:val="ru-RU"/>
      </w:rPr>
      <w:t xml:space="preserve"> − Резолюци</w:t>
    </w:r>
    <w:r>
      <w:rPr>
        <w:szCs w:val="22"/>
        <w:lang w:val="ru-RU"/>
      </w:rPr>
      <w:t xml:space="preserve">я </w:t>
    </w:r>
    <w:r w:rsidRPr="00F910FE">
      <w:rPr>
        <w:szCs w:val="22"/>
      </w:rPr>
      <w:fldChar w:fldCharType="begin"/>
    </w:r>
    <w:r w:rsidRPr="00F910FE">
      <w:rPr>
        <w:szCs w:val="22"/>
      </w:rPr>
      <w:instrText>styleref</w:instrText>
    </w:r>
    <w:r w:rsidRPr="00E3202A">
      <w:rPr>
        <w:szCs w:val="22"/>
        <w:lang w:val="ru-RU"/>
      </w:rPr>
      <w:instrText xml:space="preserve"> </w:instrText>
    </w:r>
    <w:r w:rsidRPr="00F910FE">
      <w:rPr>
        <w:szCs w:val="22"/>
      </w:rPr>
      <w:instrText>href</w:instrText>
    </w:r>
    <w:r w:rsidRPr="00F910FE">
      <w:rPr>
        <w:szCs w:val="22"/>
      </w:rPr>
      <w:fldChar w:fldCharType="separate"/>
    </w:r>
    <w:r w:rsidR="00686D9E">
      <w:rPr>
        <w:noProof/>
        <w:szCs w:val="22"/>
      </w:rPr>
      <w:t>48</w:t>
    </w:r>
    <w:r w:rsidRPr="00F910FE">
      <w:rPr>
        <w:szCs w:val="22"/>
        <w:lang w:val="ru-RU"/>
      </w:rPr>
      <w:fldChar w:fldCharType="end"/>
    </w:r>
    <w:r w:rsidRPr="00E3202A">
      <w:rPr>
        <w:szCs w:val="22"/>
        <w:lang w:val="ru-RU"/>
      </w:rPr>
      <w:tab/>
    </w:r>
    <w:r w:rsidRPr="00763A31">
      <w:fldChar w:fldCharType="begin"/>
    </w:r>
    <w:r w:rsidRPr="00E3202A">
      <w:rPr>
        <w:lang w:val="ru-RU"/>
      </w:rPr>
      <w:instrText xml:space="preserve"> </w:instrText>
    </w:r>
    <w:r w:rsidRPr="00763A31">
      <w:instrText>PAGE</w:instrText>
    </w:r>
    <w:r w:rsidRPr="00E3202A">
      <w:rPr>
        <w:lang w:val="ru-RU"/>
      </w:rPr>
      <w:instrText xml:space="preserve">   \* </w:instrText>
    </w:r>
    <w:r w:rsidRPr="00763A31">
      <w:instrText>MERGEFORMAT</w:instrText>
    </w:r>
    <w:r w:rsidRPr="00E3202A">
      <w:rPr>
        <w:lang w:val="ru-RU"/>
      </w:rPr>
      <w:instrText xml:space="preserve"> </w:instrText>
    </w:r>
    <w:r w:rsidRPr="00763A31">
      <w:fldChar w:fldCharType="separate"/>
    </w:r>
    <w:r w:rsidRPr="003E584B">
      <w:rPr>
        <w:lang w:val="ru-RU"/>
      </w:rPr>
      <w:t>143</w:t>
    </w:r>
    <w:r w:rsidRPr="00763A3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7C37" w14:textId="77777777" w:rsidR="003E584B" w:rsidRDefault="003E58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84B"/>
    <w:rsid w:val="000D1BE4"/>
    <w:rsid w:val="000F689C"/>
    <w:rsid w:val="00150FA6"/>
    <w:rsid w:val="00155E4F"/>
    <w:rsid w:val="00373FF6"/>
    <w:rsid w:val="003E584B"/>
    <w:rsid w:val="00686D9E"/>
    <w:rsid w:val="00791A97"/>
    <w:rsid w:val="009D3EFE"/>
    <w:rsid w:val="00D90490"/>
    <w:rsid w:val="00DD3985"/>
    <w:rsid w:val="00E45F09"/>
    <w:rsid w:val="00FF5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2872"/>
  <w15:chartTrackingRefBased/>
  <w15:docId w15:val="{5D9E5091-FCB2-40A4-8374-0543ED67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84B"/>
    <w:pPr>
      <w:tabs>
        <w:tab w:val="left" w:pos="1134"/>
        <w:tab w:val="left" w:pos="1871"/>
        <w:tab w:val="left" w:pos="2268"/>
      </w:tabs>
      <w:overflowPunct w:val="0"/>
      <w:autoSpaceDE w:val="0"/>
      <w:autoSpaceDN w:val="0"/>
      <w:adjustRightInd w:val="0"/>
      <w:spacing w:before="120" w:after="0" w:line="240" w:lineRule="auto"/>
      <w:jc w:val="both"/>
      <w:textAlignment w:val="baseline"/>
    </w:pPr>
    <w:rPr>
      <w:rFonts w:ascii="Calibri" w:eastAsia="Times New Roman" w:hAnsi="Calibri" w:cs="Times New Roman"/>
      <w:kern w:val="0"/>
      <w:sz w:val="24"/>
      <w:szCs w:val="20"/>
      <w14:ligatures w14:val="none"/>
    </w:rPr>
  </w:style>
  <w:style w:type="paragraph" w:styleId="Heading2">
    <w:name w:val="heading 2"/>
    <w:basedOn w:val="Normal"/>
    <w:next w:val="Normal"/>
    <w:link w:val="Heading2Char"/>
    <w:uiPriority w:val="9"/>
    <w:semiHidden/>
    <w:unhideWhenUsed/>
    <w:qFormat/>
    <w:rsid w:val="003E584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3E584B"/>
    <w:pPr>
      <w:keepNext/>
      <w:keepLines/>
      <w:spacing w:before="160"/>
      <w:ind w:left="1134"/>
    </w:pPr>
    <w:rPr>
      <w:i/>
    </w:rPr>
  </w:style>
  <w:style w:type="paragraph" w:customStyle="1" w:styleId="Normalaftertitle">
    <w:name w:val="Normal after title"/>
    <w:basedOn w:val="Normal"/>
    <w:next w:val="Normal"/>
    <w:link w:val="NormalaftertitleChar"/>
    <w:rsid w:val="003E584B"/>
    <w:pPr>
      <w:spacing w:before="280"/>
    </w:pPr>
  </w:style>
  <w:style w:type="character" w:customStyle="1" w:styleId="NormalaftertitleChar">
    <w:name w:val="Normal after title Char"/>
    <w:basedOn w:val="DefaultParagraphFont"/>
    <w:link w:val="Normalaftertitle"/>
    <w:locked/>
    <w:rsid w:val="003E584B"/>
    <w:rPr>
      <w:rFonts w:ascii="Calibri" w:eastAsia="Times New Roman" w:hAnsi="Calibri" w:cs="Times New Roman"/>
      <w:kern w:val="0"/>
      <w:sz w:val="24"/>
      <w:szCs w:val="20"/>
      <w14:ligatures w14:val="none"/>
    </w:rPr>
  </w:style>
  <w:style w:type="paragraph" w:customStyle="1" w:styleId="Reasons">
    <w:name w:val="Reasons"/>
    <w:basedOn w:val="Normal"/>
    <w:qFormat/>
    <w:rsid w:val="003E584B"/>
    <w:pPr>
      <w:tabs>
        <w:tab w:val="clear" w:pos="2268"/>
        <w:tab w:val="left" w:pos="1588"/>
        <w:tab w:val="left" w:pos="1985"/>
      </w:tabs>
    </w:pPr>
  </w:style>
  <w:style w:type="paragraph" w:customStyle="1" w:styleId="ResNo">
    <w:name w:val="Res_No"/>
    <w:basedOn w:val="Heading2"/>
    <w:next w:val="Normal"/>
    <w:link w:val="ResNoChar"/>
    <w:rsid w:val="003E584B"/>
    <w:pPr>
      <w:spacing w:before="200"/>
      <w:ind w:left="1134" w:hanging="1134"/>
      <w:jc w:val="center"/>
      <w:outlineLvl w:val="0"/>
    </w:pPr>
    <w:rPr>
      <w:rFonts w:ascii="Calibri" w:eastAsia="Times New Roman" w:hAnsi="Calibri" w:cs="Times New Roman"/>
      <w:color w:val="auto"/>
      <w:sz w:val="28"/>
      <w:szCs w:val="20"/>
    </w:rPr>
  </w:style>
  <w:style w:type="paragraph" w:customStyle="1" w:styleId="Restitle">
    <w:name w:val="Res_title"/>
    <w:basedOn w:val="Heading2"/>
    <w:next w:val="Normal"/>
    <w:link w:val="RestitleChar"/>
    <w:rsid w:val="003E584B"/>
    <w:pPr>
      <w:tabs>
        <w:tab w:val="clear" w:pos="1134"/>
        <w:tab w:val="clear" w:pos="1871"/>
        <w:tab w:val="clear" w:pos="2268"/>
      </w:tabs>
      <w:spacing w:before="200"/>
      <w:jc w:val="center"/>
    </w:pPr>
    <w:rPr>
      <w:rFonts w:ascii="Calibri" w:eastAsia="Times New Roman" w:hAnsi="Calibri" w:cs="Times New Roman"/>
      <w:b/>
      <w:color w:val="auto"/>
      <w:sz w:val="28"/>
      <w:szCs w:val="20"/>
    </w:rPr>
  </w:style>
  <w:style w:type="character" w:customStyle="1" w:styleId="href">
    <w:name w:val="href"/>
    <w:basedOn w:val="DefaultParagraphFont"/>
    <w:rsid w:val="003E584B"/>
    <w:rPr>
      <w:color w:val="auto"/>
    </w:rPr>
  </w:style>
  <w:style w:type="character" w:customStyle="1" w:styleId="CallChar">
    <w:name w:val="Call Char"/>
    <w:basedOn w:val="DefaultParagraphFont"/>
    <w:link w:val="Call"/>
    <w:locked/>
    <w:rsid w:val="003E584B"/>
    <w:rPr>
      <w:rFonts w:ascii="Calibri" w:eastAsia="Times New Roman" w:hAnsi="Calibri" w:cs="Times New Roman"/>
      <w:i/>
      <w:kern w:val="0"/>
      <w:sz w:val="24"/>
      <w:szCs w:val="20"/>
      <w14:ligatures w14:val="none"/>
    </w:rPr>
  </w:style>
  <w:style w:type="character" w:customStyle="1" w:styleId="ResNoChar">
    <w:name w:val="Res_No Char"/>
    <w:basedOn w:val="DefaultParagraphFont"/>
    <w:link w:val="ResNo"/>
    <w:rsid w:val="003E584B"/>
    <w:rPr>
      <w:rFonts w:ascii="Calibri" w:eastAsia="Times New Roman" w:hAnsi="Calibri" w:cs="Times New Roman"/>
      <w:kern w:val="0"/>
      <w:sz w:val="28"/>
      <w:szCs w:val="20"/>
      <w14:ligatures w14:val="none"/>
    </w:rPr>
  </w:style>
  <w:style w:type="character" w:customStyle="1" w:styleId="RestitleChar">
    <w:name w:val="Res_title Char"/>
    <w:basedOn w:val="DefaultParagraphFont"/>
    <w:link w:val="Restitle"/>
    <w:rsid w:val="003E584B"/>
    <w:rPr>
      <w:rFonts w:ascii="Calibri" w:eastAsia="Times New Roman" w:hAnsi="Calibri" w:cs="Times New Roman"/>
      <w:b/>
      <w:kern w:val="0"/>
      <w:sz w:val="28"/>
      <w:szCs w:val="20"/>
      <w14:ligatures w14:val="none"/>
    </w:rPr>
  </w:style>
  <w:style w:type="character" w:customStyle="1" w:styleId="Heading2Char">
    <w:name w:val="Heading 2 Char"/>
    <w:basedOn w:val="DefaultParagraphFont"/>
    <w:link w:val="Heading2"/>
    <w:uiPriority w:val="9"/>
    <w:semiHidden/>
    <w:rsid w:val="003E584B"/>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3E584B"/>
    <w:pPr>
      <w:tabs>
        <w:tab w:val="clear" w:pos="1134"/>
        <w:tab w:val="clear" w:pos="1871"/>
        <w:tab w:val="clear" w:pos="2268"/>
        <w:tab w:val="center" w:pos="4513"/>
        <w:tab w:val="right" w:pos="9026"/>
      </w:tabs>
      <w:spacing w:before="0"/>
    </w:pPr>
    <w:rPr>
      <w:sz w:val="18"/>
    </w:rPr>
  </w:style>
  <w:style w:type="character" w:customStyle="1" w:styleId="HeaderChar">
    <w:name w:val="Header Char"/>
    <w:basedOn w:val="DefaultParagraphFont"/>
    <w:link w:val="Header"/>
    <w:uiPriority w:val="99"/>
    <w:rsid w:val="003E584B"/>
    <w:rPr>
      <w:rFonts w:ascii="Calibri" w:eastAsia="Times New Roman" w:hAnsi="Calibri" w:cs="Times New Roman"/>
      <w:kern w:val="0"/>
      <w:sz w:val="18"/>
      <w:szCs w:val="20"/>
      <w14:ligatures w14:val="none"/>
    </w:rPr>
  </w:style>
  <w:style w:type="paragraph" w:styleId="Footer">
    <w:name w:val="footer"/>
    <w:basedOn w:val="Normal"/>
    <w:link w:val="FooterChar"/>
    <w:uiPriority w:val="99"/>
    <w:unhideWhenUsed/>
    <w:rsid w:val="003E584B"/>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3E584B"/>
    <w:rPr>
      <w:rFonts w:ascii="Calibri" w:eastAsia="Times New Roman" w:hAnsi="Calibri" w:cs="Times New Roman"/>
      <w:kern w:val="0"/>
      <w:sz w:val="24"/>
      <w:szCs w:val="20"/>
      <w14:ligatures w14:val="none"/>
    </w:rPr>
  </w:style>
  <w:style w:type="paragraph" w:customStyle="1" w:styleId="Normalcenteraligned">
    <w:name w:val="Normal center aligned"/>
    <w:basedOn w:val="Normal"/>
    <w:rsid w:val="000D1BE4"/>
    <w:pPr>
      <w:jc w:val="center"/>
    </w:pPr>
    <w:rPr>
      <w:rFonts w:eastAsia="SimSun"/>
    </w:rPr>
  </w:style>
  <w:style w:type="character" w:styleId="FootnoteReference">
    <w:name w:val="footnote reference"/>
    <w:basedOn w:val="DefaultParagraphFont"/>
    <w:rsid w:val="00791A97"/>
    <w:rPr>
      <w:rFonts w:asciiTheme="minorHAnsi" w:hAnsiTheme="minorHAnsi"/>
      <w:position w:val="6"/>
      <w:sz w:val="18"/>
    </w:rPr>
  </w:style>
  <w:style w:type="paragraph" w:styleId="FootnoteText">
    <w:name w:val="footnote text"/>
    <w:basedOn w:val="Normal"/>
    <w:link w:val="FootnoteTextChar"/>
    <w:rsid w:val="00791A97"/>
    <w:pPr>
      <w:keepLines/>
      <w:tabs>
        <w:tab w:val="left" w:pos="255"/>
      </w:tabs>
    </w:pPr>
    <w:rPr>
      <w:sz w:val="22"/>
    </w:rPr>
  </w:style>
  <w:style w:type="character" w:customStyle="1" w:styleId="FootnoteTextChar">
    <w:name w:val="Footnote Text Char"/>
    <w:basedOn w:val="DefaultParagraphFont"/>
    <w:link w:val="FootnoteText"/>
    <w:rsid w:val="00791A97"/>
    <w:rPr>
      <w:rFonts w:ascii="Calibri" w:eastAsia="Times New Roman" w:hAnsi="Calibri" w:cs="Times New Roman"/>
      <w:kern w:val="0"/>
      <w:szCs w:val="20"/>
      <w14:ligatures w14:val="none"/>
    </w:rPr>
  </w:style>
  <w:style w:type="paragraph" w:customStyle="1" w:styleId="enumlev1">
    <w:name w:val="enumlev1"/>
    <w:basedOn w:val="Normal"/>
    <w:link w:val="enumlev1Char"/>
    <w:rsid w:val="00373FF6"/>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373FF6"/>
    <w:rPr>
      <w:rFonts w:ascii="Calibri" w:eastAsia="Times New Roman" w:hAnsi="Calibri"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0A771-F19C-48C8-A8DF-69AD9E90C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1200</Words>
  <Characters>6842</Characters>
  <Application>Microsoft Office Word</Application>
  <DocSecurity>0</DocSecurity>
  <Lines>57</Lines>
  <Paragraphs>16</Paragraphs>
  <ScaleCrop>false</ScaleCrop>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Berdyeva, Elena</dc:creator>
  <cp:keywords/>
  <dc:description/>
  <cp:lastModifiedBy>Berdyeva, Elena</cp:lastModifiedBy>
  <cp:revision>9</cp:revision>
  <dcterms:created xsi:type="dcterms:W3CDTF">2023-10-16T12:49:00Z</dcterms:created>
  <dcterms:modified xsi:type="dcterms:W3CDTF">2023-10-16T13:09:00Z</dcterms:modified>
</cp:coreProperties>
</file>