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2D8DB" w14:textId="77777777" w:rsidR="00033661" w:rsidRDefault="00404CD4" w:rsidP="00A532C9">
      <w:pPr>
        <w:pStyle w:val="ResNo"/>
        <w:rPr>
          <w:lang w:val="es-ES_tradnl"/>
        </w:rPr>
      </w:pPr>
      <w:bookmarkStart w:id="0" w:name="_Toc116917007"/>
      <w:bookmarkStart w:id="1" w:name="_Toc116918576"/>
      <w:bookmarkStart w:id="2" w:name="_Toc116919067"/>
      <w:bookmarkStart w:id="3" w:name="_Toc116919554"/>
      <w:r w:rsidRPr="00E17456">
        <w:rPr>
          <w:lang w:val="es-ES_tradnl"/>
        </w:rPr>
        <w:t>RESOLUCIÓN 47 (Rev. Kigali, 2022)</w:t>
      </w:r>
      <w:bookmarkStart w:id="4" w:name="_Toc116917008"/>
      <w:bookmarkStart w:id="5" w:name="_Toc116918577"/>
      <w:bookmarkStart w:id="6" w:name="_Toc116919068"/>
      <w:bookmarkStart w:id="7" w:name="_Toc116919555"/>
      <w:bookmarkEnd w:id="0"/>
      <w:bookmarkEnd w:id="1"/>
      <w:bookmarkEnd w:id="2"/>
      <w:bookmarkEnd w:id="3"/>
      <w:r w:rsidR="00A532C9">
        <w:rPr>
          <w:lang w:val="es-ES_tradnl"/>
        </w:rPr>
        <w:t xml:space="preserve"> </w:t>
      </w:r>
    </w:p>
    <w:p w14:paraId="78B4A8FB" w14:textId="4696BDF0" w:rsidR="00404CD4" w:rsidRPr="00E17456" w:rsidRDefault="00404CD4" w:rsidP="00033661">
      <w:pPr>
        <w:pStyle w:val="Restitle"/>
        <w:rPr>
          <w:rFonts w:eastAsia="MS Gothic"/>
          <w:lang w:val="es-ES_tradnl"/>
        </w:rPr>
      </w:pPr>
      <w:r w:rsidRPr="00E17456">
        <w:rPr>
          <w:lang w:val="es-ES_tradnl"/>
        </w:rPr>
        <w:t>Perfeccionamiento del conocimiento y aplicación efectiva de las Recomendaciones de la UIT en los países en desarrollo</w:t>
      </w:r>
      <w:r w:rsidRPr="00E17456">
        <w:rPr>
          <w:rFonts w:eastAsia="MS Gothic"/>
          <w:lang w:val="es-ES_tradnl"/>
        </w:rPr>
        <w:t xml:space="preserve">, </w:t>
      </w:r>
      <w:r w:rsidRPr="00E17456">
        <w:rPr>
          <w:lang w:val="es-ES_tradnl"/>
        </w:rPr>
        <w:t xml:space="preserve">incluidas las pruebas de conformidad e interoperabilidad de los sistemas fabricados de conformidad </w:t>
      </w:r>
      <w:r w:rsidR="00033661">
        <w:rPr>
          <w:lang w:val="es-ES_tradnl"/>
        </w:rPr>
        <w:br/>
      </w:r>
      <w:r w:rsidRPr="00E17456">
        <w:rPr>
          <w:lang w:val="es-ES_tradnl"/>
        </w:rPr>
        <w:t>con las Recomendaciones de la UIT</w:t>
      </w:r>
      <w:bookmarkEnd w:id="4"/>
      <w:bookmarkEnd w:id="5"/>
      <w:bookmarkEnd w:id="6"/>
      <w:bookmarkEnd w:id="7"/>
    </w:p>
    <w:p w14:paraId="45C3B01A" w14:textId="77777777" w:rsidR="00404CD4" w:rsidRPr="00E17456" w:rsidRDefault="00404CD4" w:rsidP="00404CD4">
      <w:pPr>
        <w:pStyle w:val="Normalaftertitle"/>
        <w:rPr>
          <w:lang w:val="es-ES_tradnl"/>
        </w:rPr>
      </w:pPr>
      <w:r w:rsidRPr="00E17456">
        <w:rPr>
          <w:lang w:val="es-ES_tradnl"/>
        </w:rPr>
        <w:t>La Conferencia Mundial de Desarrollo de las Telecomunicaciones (</w:t>
      </w:r>
      <w:r w:rsidRPr="00E17456">
        <w:rPr>
          <w:rFonts w:eastAsia="MS Gothic"/>
          <w:lang w:val="es-ES_tradnl"/>
        </w:rPr>
        <w:t>Kigali, 2022</w:t>
      </w:r>
      <w:r w:rsidRPr="00E17456">
        <w:rPr>
          <w:lang w:val="es-ES_tradnl"/>
        </w:rPr>
        <w:t>),</w:t>
      </w:r>
    </w:p>
    <w:p w14:paraId="7F47A64A" w14:textId="77777777" w:rsidR="00404CD4" w:rsidRPr="00E17456" w:rsidRDefault="00404CD4" w:rsidP="00404CD4">
      <w:pPr>
        <w:pStyle w:val="Call"/>
        <w:rPr>
          <w:lang w:val="es-ES_tradnl"/>
        </w:rPr>
      </w:pPr>
      <w:r w:rsidRPr="00E17456">
        <w:rPr>
          <w:lang w:val="es-ES_tradnl"/>
        </w:rPr>
        <w:t>recordando</w:t>
      </w:r>
    </w:p>
    <w:p w14:paraId="7AC364B5" w14:textId="77777777" w:rsidR="00404CD4" w:rsidRPr="00E17456" w:rsidRDefault="00404CD4" w:rsidP="00404CD4">
      <w:pPr>
        <w:rPr>
          <w:lang w:val="es-ES_tradnl"/>
        </w:rPr>
      </w:pPr>
      <w:r w:rsidRPr="00E17456">
        <w:rPr>
          <w:i/>
          <w:iCs/>
          <w:lang w:val="es-ES_tradnl"/>
        </w:rPr>
        <w:t>a)</w:t>
      </w:r>
      <w:r w:rsidRPr="00E17456">
        <w:rPr>
          <w:lang w:val="es-ES_tradnl"/>
        </w:rPr>
        <w:tab/>
        <w:t>la Resolución 177 (Rev. Dubái, 2018), Conformidad e interoperabilidad (C+I), de la Conferencia de Plenipotenciarios;</w:t>
      </w:r>
    </w:p>
    <w:p w14:paraId="34FB6F76" w14:textId="77777777" w:rsidR="00404CD4" w:rsidRPr="00E17456" w:rsidRDefault="00404CD4" w:rsidP="00404CD4">
      <w:pPr>
        <w:rPr>
          <w:lang w:val="es-ES_tradnl"/>
        </w:rPr>
      </w:pPr>
      <w:r w:rsidRPr="00E17456">
        <w:rPr>
          <w:i/>
          <w:iCs/>
          <w:lang w:val="es-ES_tradnl"/>
        </w:rPr>
        <w:t>b)</w:t>
      </w:r>
      <w:r w:rsidRPr="00E17456">
        <w:rPr>
          <w:lang w:val="es-ES_tradnl"/>
        </w:rPr>
        <w:tab/>
        <w:t>la Resolución 139 (Rev. Dubái, 2018), Utilización de las telecomunicaciones/tecnologías de la información y la comunicación (TIC) para reducir la brecha digital y crear una sociedad de la información integradora, de la Conferencia de Plenipotenciarios;</w:t>
      </w:r>
    </w:p>
    <w:p w14:paraId="2CEFD783" w14:textId="77777777" w:rsidR="00404CD4" w:rsidRPr="00E17456" w:rsidRDefault="00404CD4" w:rsidP="00404CD4">
      <w:pPr>
        <w:rPr>
          <w:lang w:val="es-ES_tradnl"/>
        </w:rPr>
      </w:pPr>
      <w:r w:rsidRPr="00E17456">
        <w:rPr>
          <w:i/>
          <w:iCs/>
          <w:lang w:val="es-ES_tradnl"/>
        </w:rPr>
        <w:t>c)</w:t>
      </w:r>
      <w:r w:rsidRPr="00E17456">
        <w:rPr>
          <w:i/>
          <w:iCs/>
          <w:lang w:val="es-ES_tradnl"/>
        </w:rPr>
        <w:tab/>
      </w:r>
      <w:r w:rsidRPr="00E17456">
        <w:rPr>
          <w:lang w:val="es-ES_tradnl"/>
        </w:rPr>
        <w:t>la Resolución 123 (Rev. Dubái, 2018), Reducción de la disparidad entre los países en desarrollo</w:t>
      </w:r>
      <w:r>
        <w:rPr>
          <w:rStyle w:val="FootnoteReference"/>
          <w:lang w:val="es-ES_tradnl"/>
        </w:rPr>
        <w:footnoteReference w:customMarkFollows="1" w:id="1"/>
        <w:t>1</w:t>
      </w:r>
      <w:r w:rsidRPr="00E17456">
        <w:rPr>
          <w:lang w:val="es-ES_tradnl"/>
        </w:rPr>
        <w:t xml:space="preserve"> y los desarrollados en materia de normalización, de la Conferencia de Plenipotenciarios;</w:t>
      </w:r>
    </w:p>
    <w:p w14:paraId="082B87AC" w14:textId="77777777" w:rsidR="00404CD4" w:rsidRPr="00E17456" w:rsidRDefault="00404CD4" w:rsidP="00404CD4">
      <w:pPr>
        <w:rPr>
          <w:lang w:val="es-ES_tradnl"/>
        </w:rPr>
      </w:pPr>
      <w:r w:rsidRPr="00E17456">
        <w:rPr>
          <w:i/>
          <w:iCs/>
          <w:lang w:val="es-ES_tradnl"/>
        </w:rPr>
        <w:t>d)</w:t>
      </w:r>
      <w:r w:rsidRPr="00E17456">
        <w:rPr>
          <w:i/>
          <w:iCs/>
          <w:lang w:val="es-ES_tradnl"/>
        </w:rPr>
        <w:tab/>
      </w:r>
      <w:r w:rsidRPr="00E17456">
        <w:rPr>
          <w:lang w:val="es-ES_tradnl"/>
        </w:rPr>
        <w:t>la Resolución 15 (Rev. Kigali, 2022), Investigación aplicada y transferencia de tecnología, de la presente Conferencia;</w:t>
      </w:r>
    </w:p>
    <w:p w14:paraId="0900851D" w14:textId="77777777" w:rsidR="00404CD4" w:rsidRPr="00E17456" w:rsidRDefault="00404CD4" w:rsidP="00404CD4">
      <w:pPr>
        <w:rPr>
          <w:lang w:val="es-ES_tradnl"/>
        </w:rPr>
      </w:pPr>
      <w:r w:rsidRPr="00E17456">
        <w:rPr>
          <w:i/>
          <w:iCs/>
          <w:lang w:val="es-ES_tradnl"/>
        </w:rPr>
        <w:t>e)</w:t>
      </w:r>
      <w:r w:rsidRPr="00E17456">
        <w:rPr>
          <w:i/>
          <w:iCs/>
          <w:lang w:val="es-ES_tradnl"/>
        </w:rPr>
        <w:tab/>
      </w:r>
      <w:r w:rsidRPr="00E17456">
        <w:rPr>
          <w:lang w:val="es-ES_tradnl"/>
        </w:rPr>
        <w:t>la Resolución 37 (Rev. Kigali, 2022), Reducción de la brecha digital, de la presente Conferencia;</w:t>
      </w:r>
    </w:p>
    <w:p w14:paraId="73FF62C7" w14:textId="77777777" w:rsidR="00404CD4" w:rsidRPr="00E17456" w:rsidRDefault="00404CD4" w:rsidP="00404CD4">
      <w:pPr>
        <w:rPr>
          <w:iCs/>
          <w:lang w:val="es-ES_tradnl"/>
        </w:rPr>
      </w:pPr>
      <w:r w:rsidRPr="00E17456">
        <w:rPr>
          <w:i/>
          <w:iCs/>
          <w:lang w:val="es-ES_tradnl"/>
        </w:rPr>
        <w:t>f)</w:t>
      </w:r>
      <w:r w:rsidRPr="00E17456">
        <w:rPr>
          <w:i/>
          <w:iCs/>
          <w:lang w:val="es-ES_tradnl"/>
        </w:rPr>
        <w:tab/>
      </w:r>
      <w:r w:rsidRPr="00E17456">
        <w:rPr>
          <w:lang w:val="es-ES_tradnl"/>
        </w:rPr>
        <w:t>la Resolución 40 (Rev. Kigali, 2022), Grupo sobre Iniciativas de Capacitación (GIC), de la presente Conferencia,</w:t>
      </w:r>
    </w:p>
    <w:p w14:paraId="277D63CE" w14:textId="77777777" w:rsidR="00404CD4" w:rsidRPr="00E17456" w:rsidRDefault="00404CD4" w:rsidP="00404CD4">
      <w:pPr>
        <w:pStyle w:val="Call"/>
        <w:rPr>
          <w:lang w:val="es-ES_tradnl"/>
        </w:rPr>
      </w:pPr>
      <w:r w:rsidRPr="00E17456">
        <w:rPr>
          <w:lang w:val="es-ES_tradnl"/>
        </w:rPr>
        <w:t>considerando</w:t>
      </w:r>
    </w:p>
    <w:p w14:paraId="106AA4E3" w14:textId="77777777" w:rsidR="00404CD4" w:rsidRPr="00E17456" w:rsidRDefault="00404CD4" w:rsidP="00404CD4">
      <w:pPr>
        <w:rPr>
          <w:lang w:val="es-ES_tradnl"/>
        </w:rPr>
      </w:pPr>
      <w:r w:rsidRPr="00E17456">
        <w:rPr>
          <w:i/>
          <w:iCs/>
          <w:lang w:val="es-ES_tradnl"/>
        </w:rPr>
        <w:t>a)</w:t>
      </w:r>
      <w:r w:rsidRPr="00E17456">
        <w:rPr>
          <w:lang w:val="es-ES_tradnl"/>
        </w:rPr>
        <w:tab/>
        <w:t>que en la Resolución 177 (Rev. Dubái, 2018) sobre conformidad e interoperabilidad (C+I) se resuelve prestar asistencia a los países en desarrollo en el establecimiento de centros regionales o subregionales de C+I aptos para realizar pruebas de conformidad e interoperabilidad, según proceda, y en función de sus necesidades;</w:t>
      </w:r>
    </w:p>
    <w:p w14:paraId="66446424" w14:textId="77777777" w:rsidR="00404CD4" w:rsidRPr="00E17456" w:rsidRDefault="00404CD4" w:rsidP="00404CD4">
      <w:pPr>
        <w:rPr>
          <w:i/>
          <w:iCs/>
          <w:lang w:val="es-ES_tradnl"/>
        </w:rPr>
      </w:pPr>
      <w:r w:rsidRPr="00E17456">
        <w:rPr>
          <w:i/>
          <w:iCs/>
          <w:lang w:val="es-ES_tradnl"/>
        </w:rPr>
        <w:br w:type="page"/>
      </w:r>
    </w:p>
    <w:p w14:paraId="68C2A473" w14:textId="77777777" w:rsidR="00404CD4" w:rsidRPr="00E17456" w:rsidRDefault="00404CD4" w:rsidP="00404CD4">
      <w:pPr>
        <w:rPr>
          <w:lang w:val="es-ES_tradnl"/>
        </w:rPr>
      </w:pPr>
      <w:r w:rsidRPr="00E17456">
        <w:rPr>
          <w:i/>
          <w:iCs/>
          <w:lang w:val="es-ES_tradnl"/>
        </w:rPr>
        <w:lastRenderedPageBreak/>
        <w:t>b)</w:t>
      </w:r>
      <w:r w:rsidRPr="00E17456">
        <w:rPr>
          <w:i/>
          <w:iCs/>
          <w:lang w:val="es-ES_tradnl"/>
        </w:rPr>
        <w:tab/>
      </w:r>
      <w:r w:rsidRPr="00E17456">
        <w:rPr>
          <w:lang w:val="es-ES_tradnl"/>
        </w:rPr>
        <w:t>los esfuerzos empleados por las regiones (p. ej. Maghreb, CEDEAO, CTU, Sudamérica y EAC), con la colaboración de la Oficina de Desarrollo de las Telecomunicaciones (BDT), para impulsar la colaboración y creación de sociedades con miras a promover el uso eficiente de infraestructuras destinadas a comprobación de la conformidad, como la armonización de normas y servicios de pruebas en laboratorios;</w:t>
      </w:r>
    </w:p>
    <w:p w14:paraId="0E2BB4C9" w14:textId="77777777" w:rsidR="00404CD4" w:rsidRPr="00E17456" w:rsidRDefault="00404CD4" w:rsidP="00404CD4">
      <w:pPr>
        <w:rPr>
          <w:lang w:val="es-ES_tradnl"/>
        </w:rPr>
      </w:pPr>
      <w:r w:rsidRPr="00E17456">
        <w:rPr>
          <w:i/>
          <w:iCs/>
          <w:lang w:val="es-ES_tradnl"/>
        </w:rPr>
        <w:t>c)</w:t>
      </w:r>
      <w:r w:rsidRPr="00E17456">
        <w:rPr>
          <w:i/>
          <w:iCs/>
          <w:lang w:val="es-ES_tradnl"/>
        </w:rPr>
        <w:tab/>
      </w:r>
      <w:r w:rsidRPr="00E17456">
        <w:rPr>
          <w:lang w:val="es-ES_tradnl"/>
        </w:rPr>
        <w:t>que el fortalecimiento de las capacidades de los Estados Miembros en materia de evaluación y pruebas de conformidad, así como la disponibilidad de instalaciones nacionales y regionales para pruebas de evaluación de la conformidad puede ayudar a luchar contra la falsificación de equipos y dispositivos de las telecomunicaciones/TIC,</w:t>
      </w:r>
    </w:p>
    <w:p w14:paraId="3DC330CD" w14:textId="77777777" w:rsidR="00404CD4" w:rsidRPr="00E17456" w:rsidRDefault="00404CD4" w:rsidP="00404CD4">
      <w:pPr>
        <w:pStyle w:val="Call"/>
        <w:rPr>
          <w:lang w:val="es-ES_tradnl"/>
        </w:rPr>
      </w:pPr>
      <w:proofErr w:type="gramStart"/>
      <w:r w:rsidRPr="00E17456">
        <w:rPr>
          <w:lang w:val="es-ES_tradnl"/>
        </w:rPr>
        <w:t>considerando</w:t>
      </w:r>
      <w:proofErr w:type="gramEnd"/>
      <w:r w:rsidRPr="00E17456">
        <w:rPr>
          <w:lang w:val="es-ES_tradnl"/>
        </w:rPr>
        <w:t xml:space="preserve"> además</w:t>
      </w:r>
    </w:p>
    <w:p w14:paraId="043401A4" w14:textId="77777777" w:rsidR="00404CD4" w:rsidRPr="00E17456" w:rsidRDefault="00404CD4" w:rsidP="00404CD4">
      <w:pPr>
        <w:rPr>
          <w:lang w:val="es-ES_tradnl"/>
        </w:rPr>
      </w:pPr>
      <w:r w:rsidRPr="00E17456">
        <w:rPr>
          <w:i/>
          <w:iCs/>
          <w:lang w:val="es-ES_tradnl"/>
        </w:rPr>
        <w:t>a)</w:t>
      </w:r>
      <w:r w:rsidRPr="00E17456">
        <w:rPr>
          <w:lang w:val="es-ES_tradnl"/>
        </w:rPr>
        <w:tab/>
        <w:t>el Plan de Acción del programa de C+I</w:t>
      </w:r>
      <w:r w:rsidRPr="00E17456">
        <w:rPr>
          <w:bCs/>
          <w:szCs w:val="24"/>
          <w:lang w:val="es-ES_tradnl"/>
        </w:rPr>
        <w:t xml:space="preserve"> </w:t>
      </w:r>
      <w:r w:rsidRPr="00E17456">
        <w:rPr>
          <w:lang w:val="es-ES_tradnl"/>
        </w:rPr>
        <w:t xml:space="preserve">de la UIT, actualizado en la reunión de 2013 del Consejo de la UIT y articulado en torno a los pilares siguientes: 1) evaluación de la conformidad; 2) eventos de </w:t>
      </w:r>
      <w:r w:rsidRPr="00E17456">
        <w:rPr>
          <w:bCs/>
          <w:szCs w:val="24"/>
          <w:lang w:val="es-ES_tradnl"/>
        </w:rPr>
        <w:t>interoperabilidad</w:t>
      </w:r>
      <w:r w:rsidRPr="00E17456">
        <w:rPr>
          <w:lang w:val="es-ES_tradnl"/>
        </w:rPr>
        <w:t>; 3) creación de capacidad; y 4) creación de centros de prueba y programas de C+I en países en desarrollo;</w:t>
      </w:r>
    </w:p>
    <w:p w14:paraId="5A2FA9E6" w14:textId="77777777" w:rsidR="00404CD4" w:rsidRPr="00E17456" w:rsidRDefault="00404CD4" w:rsidP="00404CD4">
      <w:pPr>
        <w:rPr>
          <w:lang w:val="es-ES_tradnl"/>
        </w:rPr>
      </w:pPr>
      <w:r w:rsidRPr="00E17456">
        <w:rPr>
          <w:i/>
          <w:iCs/>
          <w:lang w:val="es-ES_tradnl"/>
        </w:rPr>
        <w:t>b)</w:t>
      </w:r>
      <w:r w:rsidRPr="00E17456">
        <w:rPr>
          <w:lang w:val="es-ES_tradnl"/>
        </w:rPr>
        <w:tab/>
        <w:t>que la UIT debería asumir una función rectora en la aplicación del programa de C+I</w:t>
      </w:r>
      <w:r w:rsidRPr="00E17456">
        <w:rPr>
          <w:bCs/>
          <w:szCs w:val="24"/>
          <w:lang w:val="es-ES_tradnl"/>
        </w:rPr>
        <w:t xml:space="preserve"> </w:t>
      </w:r>
      <w:r w:rsidRPr="00E17456">
        <w:rPr>
          <w:lang w:val="es-ES_tradnl"/>
        </w:rPr>
        <w:t>de la UIT, otorgando al Sector de Normalización de las Telecomunicaciones de la UIT (UIT-T) la responsabilidad principal respecto de los Pilares 1 y 2, y al Sector de Desarrollo de las Telecomunicaciones de la UIT (UIT-D) respecto de los Pilares 3 y 4;</w:t>
      </w:r>
    </w:p>
    <w:p w14:paraId="7195B4AB" w14:textId="77777777" w:rsidR="00404CD4" w:rsidRPr="00E17456" w:rsidRDefault="00404CD4" w:rsidP="00404CD4">
      <w:pPr>
        <w:rPr>
          <w:lang w:val="es-ES_tradnl"/>
        </w:rPr>
      </w:pPr>
      <w:r w:rsidRPr="00E17456">
        <w:rPr>
          <w:i/>
          <w:iCs/>
          <w:lang w:val="es-ES_tradnl"/>
        </w:rPr>
        <w:t>c)</w:t>
      </w:r>
      <w:r w:rsidRPr="00E17456">
        <w:rPr>
          <w:lang w:val="es-ES_tradnl"/>
        </w:rPr>
        <w:tab/>
        <w:t>que la C+I de los equipos y sistemas de telecomunicaciones/TIC, gracias a la puesta en práctica de programas, políticas y decisiones pertinentes, pueden aumentar las oportunidades de mercado, la fiabilidad y fomentar la integración y el comercio mundiales,</w:t>
      </w:r>
    </w:p>
    <w:p w14:paraId="1740F557" w14:textId="77777777" w:rsidR="00404CD4" w:rsidRPr="00E17456" w:rsidRDefault="00404CD4" w:rsidP="00404CD4">
      <w:pPr>
        <w:pStyle w:val="Call"/>
        <w:rPr>
          <w:lang w:val="es-ES_tradnl"/>
        </w:rPr>
      </w:pPr>
      <w:r w:rsidRPr="00E17456">
        <w:rPr>
          <w:lang w:val="es-ES_tradnl"/>
        </w:rPr>
        <w:t>reconociendo</w:t>
      </w:r>
    </w:p>
    <w:p w14:paraId="3210CFC4" w14:textId="77777777" w:rsidR="00404CD4" w:rsidRPr="00E17456" w:rsidRDefault="00404CD4" w:rsidP="00404CD4">
      <w:pPr>
        <w:rPr>
          <w:lang w:val="es-ES_tradnl"/>
        </w:rPr>
      </w:pPr>
      <w:r w:rsidRPr="00E17456">
        <w:rPr>
          <w:i/>
          <w:iCs/>
          <w:lang w:val="es-ES_tradnl"/>
        </w:rPr>
        <w:t>a)</w:t>
      </w:r>
      <w:r w:rsidRPr="00E17456">
        <w:rPr>
          <w:lang w:val="es-ES_tradnl"/>
        </w:rPr>
        <w:tab/>
        <w:t>que las disposiciones de las Recomendaciones de la UIT pueden orientar a los Estados Miembros a la hora de elaborar las normas nacionales, en los países en desarrollo;</w:t>
      </w:r>
    </w:p>
    <w:p w14:paraId="49FF5EC8" w14:textId="77777777" w:rsidR="00404CD4" w:rsidRPr="00E17456" w:rsidRDefault="00404CD4" w:rsidP="00404CD4">
      <w:pPr>
        <w:rPr>
          <w:i/>
          <w:iCs/>
          <w:lang w:val="es-ES_tradnl"/>
        </w:rPr>
      </w:pPr>
      <w:r w:rsidRPr="00E17456">
        <w:rPr>
          <w:i/>
          <w:iCs/>
          <w:lang w:val="es-ES_tradnl"/>
        </w:rPr>
        <w:t>b)</w:t>
      </w:r>
      <w:r w:rsidRPr="00E17456">
        <w:rPr>
          <w:lang w:val="es-ES_tradnl"/>
        </w:rPr>
        <w:tab/>
        <w:t>la importancia de reducir la brecha de normalización en el marco de la aplicación de las Recomendaciones de la UIT relativas a la C+I;</w:t>
      </w:r>
    </w:p>
    <w:p w14:paraId="64E3EA8F" w14:textId="77777777" w:rsidR="00404CD4" w:rsidRPr="00E17456" w:rsidRDefault="00404CD4" w:rsidP="00404CD4">
      <w:pPr>
        <w:rPr>
          <w:i/>
          <w:iCs/>
          <w:lang w:val="es-ES_tradnl"/>
        </w:rPr>
      </w:pPr>
      <w:r w:rsidRPr="00E17456">
        <w:rPr>
          <w:i/>
          <w:iCs/>
          <w:lang w:val="es-ES_tradnl"/>
        </w:rPr>
        <w:br w:type="page"/>
      </w:r>
    </w:p>
    <w:p w14:paraId="16AA49DE" w14:textId="77777777" w:rsidR="00404CD4" w:rsidRPr="00E17456" w:rsidRDefault="00404CD4" w:rsidP="00404CD4">
      <w:pPr>
        <w:rPr>
          <w:lang w:val="es-ES_tradnl"/>
        </w:rPr>
      </w:pPr>
      <w:r w:rsidRPr="00E17456">
        <w:rPr>
          <w:i/>
          <w:iCs/>
          <w:lang w:val="es-ES_tradnl"/>
        </w:rPr>
        <w:lastRenderedPageBreak/>
        <w:t>c)</w:t>
      </w:r>
      <w:r w:rsidRPr="00E17456">
        <w:rPr>
          <w:i/>
          <w:iCs/>
          <w:lang w:val="es-ES_tradnl"/>
        </w:rPr>
        <w:tab/>
      </w:r>
      <w:r w:rsidRPr="00E17456">
        <w:rPr>
          <w:lang w:val="es-ES_tradnl"/>
        </w:rPr>
        <w:t>que en la Resolución 44 (Rev. Ginebra, 2022) de la Asamblea Mundial de Normalización de las Telecomunicaciones (AMNT) se encarga al Director de la Oficina de Normalización de las Telecomunicaciones (TSB), en colaboración con los Directores de la Oficina de Radiocomunicaciones (BR) y de la BDT, que respalde y preste asistencia, cuando se le solicite, a los países en desarrollo en la elaboración y redacción de un conjunto de directrices sobre la aplicación de las Recomendaciones del UIT-T a escala nacional, con el fin de mejorar su participación en las Comisiones de Estudio del UIT-T, con la asistencia de las Oficinas Regionales de la UIT, para reducir la brecha de normalización, y que preste asistencia a los países en desarrollo en sus estudios, especialmente los relativos a sus cuestiones prioritarias, y en la preparación y aplicación de Recomendaciones del UIT-T;</w:t>
      </w:r>
    </w:p>
    <w:p w14:paraId="1DE07BED" w14:textId="77777777" w:rsidR="00404CD4" w:rsidRPr="00E17456" w:rsidRDefault="00404CD4" w:rsidP="00404CD4">
      <w:pPr>
        <w:rPr>
          <w:lang w:val="es-ES_tradnl"/>
        </w:rPr>
      </w:pPr>
      <w:r w:rsidRPr="00E17456">
        <w:rPr>
          <w:i/>
          <w:iCs/>
          <w:lang w:val="es-ES_tradnl"/>
        </w:rPr>
        <w:t>d)</w:t>
      </w:r>
      <w:r w:rsidRPr="00E17456">
        <w:rPr>
          <w:i/>
          <w:iCs/>
          <w:lang w:val="es-ES_tradnl"/>
        </w:rPr>
        <w:tab/>
      </w:r>
      <w:r w:rsidRPr="00E17456">
        <w:rPr>
          <w:lang w:val="es-ES_tradnl"/>
        </w:rPr>
        <w:t>que sistemas y pruebas de conformidad que abarcan temas tales como seguridad, interoperabilidad, ocupación espectral, calidad y normativas técnicas nacionales de equipos TIC constituyen pruebas importantes desde el punto de vista de la infraestructura TIC y del consumidor;</w:t>
      </w:r>
    </w:p>
    <w:p w14:paraId="47FF085E" w14:textId="77777777" w:rsidR="00404CD4" w:rsidRPr="00E17456" w:rsidRDefault="00404CD4" w:rsidP="00404CD4">
      <w:pPr>
        <w:rPr>
          <w:lang w:val="es-ES_tradnl"/>
        </w:rPr>
      </w:pPr>
      <w:r w:rsidRPr="00E17456">
        <w:rPr>
          <w:i/>
          <w:iCs/>
          <w:lang w:val="es-ES_tradnl"/>
        </w:rPr>
        <w:t>e)</w:t>
      </w:r>
      <w:r w:rsidRPr="00E17456">
        <w:rPr>
          <w:lang w:val="es-ES_tradnl"/>
        </w:rPr>
        <w:tab/>
        <w:t>la importancia de ayudar a los países en desarrollo a identificar la capacitación humana e institucional y las oportunidades de formación sobre pruebas de C+I y a establecer centros regionales o subregionales de C+I apropiados para la realización de pruebas de C+I, según corresponde, alentando la cooperación con organizaciones nacionales y regionales gubernamentales y no gubernamentales y con organismos de acreditación y certificación internacional;</w:t>
      </w:r>
    </w:p>
    <w:p w14:paraId="1DF0CCC0" w14:textId="77777777" w:rsidR="00404CD4" w:rsidRPr="00E17456" w:rsidRDefault="00404CD4" w:rsidP="00404CD4">
      <w:pPr>
        <w:rPr>
          <w:lang w:val="es-ES_tradnl"/>
        </w:rPr>
      </w:pPr>
      <w:r w:rsidRPr="00E17456">
        <w:rPr>
          <w:i/>
          <w:iCs/>
          <w:lang w:val="es-ES_tradnl"/>
        </w:rPr>
        <w:t>f)</w:t>
      </w:r>
      <w:r w:rsidRPr="00E17456">
        <w:rPr>
          <w:lang w:val="es-ES_tradnl"/>
        </w:rPr>
        <w:tab/>
        <w:t xml:space="preserve">que conviene que los países en desarrollo dispongan de aplicaciones de infraestructura compatibles con Recomendaciones de la UIT a fin de mantener un entorno competitivo, reducir costes, aumentar las posibilidades de </w:t>
      </w:r>
      <w:r w:rsidRPr="00E17456">
        <w:rPr>
          <w:bCs/>
          <w:szCs w:val="24"/>
          <w:lang w:val="es-ES_tradnl"/>
        </w:rPr>
        <w:t xml:space="preserve">interoperabilidad </w:t>
      </w:r>
      <w:r w:rsidRPr="00E17456">
        <w:rPr>
          <w:lang w:val="es-ES_tradnl"/>
        </w:rPr>
        <w:t>y garantizar una calidad de servicio y una calidad percibida satisfactorias;</w:t>
      </w:r>
    </w:p>
    <w:p w14:paraId="39EBA9FB" w14:textId="77777777" w:rsidR="00404CD4" w:rsidRPr="00E17456" w:rsidRDefault="00404CD4" w:rsidP="00404CD4">
      <w:pPr>
        <w:rPr>
          <w:lang w:val="es-ES_tradnl"/>
        </w:rPr>
      </w:pPr>
      <w:r w:rsidRPr="00E17456">
        <w:rPr>
          <w:i/>
          <w:iCs/>
          <w:lang w:val="es-ES_tradnl"/>
        </w:rPr>
        <w:t>g)</w:t>
      </w:r>
      <w:r w:rsidRPr="00E17456">
        <w:rPr>
          <w:lang w:val="es-ES_tradnl"/>
        </w:rPr>
        <w:tab/>
        <w:t>que la interoperabilidad de las redes internacionales de telecomunicaciones fue el motivo principal de la creación de la Unión Telegráfica Internacional en 1865, y que sigue siendo una de las principales metas del Plan Estratégico de la UIT;</w:t>
      </w:r>
    </w:p>
    <w:p w14:paraId="20E4DFEC" w14:textId="77777777" w:rsidR="00404CD4" w:rsidRPr="00E17456" w:rsidRDefault="00404CD4" w:rsidP="00404CD4">
      <w:pPr>
        <w:rPr>
          <w:lang w:val="es-ES_tradnl"/>
        </w:rPr>
      </w:pPr>
      <w:r w:rsidRPr="00E17456">
        <w:rPr>
          <w:i/>
          <w:iCs/>
          <w:lang w:val="es-ES_tradnl"/>
        </w:rPr>
        <w:t>h)</w:t>
      </w:r>
      <w:r w:rsidRPr="00E17456">
        <w:rPr>
          <w:lang w:val="es-ES_tradnl"/>
        </w:rPr>
        <w:tab/>
        <w:t>que podría ser necesario someter las tecnologías incipientes a pruebas de C+I;</w:t>
      </w:r>
    </w:p>
    <w:p w14:paraId="076F1D21" w14:textId="77777777" w:rsidR="00404CD4" w:rsidRPr="00E17456" w:rsidRDefault="00404CD4" w:rsidP="00404CD4">
      <w:pPr>
        <w:overflowPunct/>
        <w:textAlignment w:val="auto"/>
        <w:rPr>
          <w:lang w:val="es-ES_tradnl"/>
        </w:rPr>
      </w:pPr>
      <w:r w:rsidRPr="00E17456">
        <w:rPr>
          <w:i/>
          <w:iCs/>
          <w:lang w:val="es-ES_tradnl"/>
        </w:rPr>
        <w:t>i)</w:t>
      </w:r>
      <w:r w:rsidRPr="00E17456">
        <w:rPr>
          <w:lang w:val="es-ES_tradnl"/>
        </w:rPr>
        <w:tab/>
        <w:t>que la evaluación de la conformidad es la forma aceptada para demostrar que un producto cumple una norma internacional y/o determinadas prescripciones, y los procedimientos de evaluación de la conformidad siguen siendo importantes en el contexto de los compromisos de normalización internacional adquiridos por los miembros de la Organización Mundial del Comercio en el marco del Acuerdo sobre Obstáculos Técnicos del Comercio,</w:t>
      </w:r>
    </w:p>
    <w:p w14:paraId="4CBD3DE6" w14:textId="77777777" w:rsidR="00404CD4" w:rsidRPr="00E17456" w:rsidRDefault="00404CD4" w:rsidP="00404CD4">
      <w:pPr>
        <w:rPr>
          <w:lang w:val="es-ES_tradnl"/>
        </w:rPr>
      </w:pPr>
      <w:r w:rsidRPr="00E17456">
        <w:rPr>
          <w:lang w:val="es-ES_tradnl"/>
        </w:rPr>
        <w:br w:type="page"/>
      </w:r>
    </w:p>
    <w:p w14:paraId="12FC8244" w14:textId="77777777" w:rsidR="00404CD4" w:rsidRPr="00E17456" w:rsidRDefault="00404CD4" w:rsidP="00404CD4">
      <w:pPr>
        <w:pStyle w:val="Call"/>
        <w:rPr>
          <w:lang w:val="es-ES_tradnl"/>
        </w:rPr>
      </w:pPr>
      <w:proofErr w:type="gramStart"/>
      <w:r w:rsidRPr="00E17456">
        <w:rPr>
          <w:lang w:val="es-ES_tradnl"/>
        </w:rPr>
        <w:lastRenderedPageBreak/>
        <w:t>reconociendo</w:t>
      </w:r>
      <w:proofErr w:type="gramEnd"/>
      <w:r w:rsidRPr="00E17456">
        <w:rPr>
          <w:lang w:val="es-ES_tradnl"/>
        </w:rPr>
        <w:t xml:space="preserve"> además</w:t>
      </w:r>
    </w:p>
    <w:p w14:paraId="7C1E18C8" w14:textId="77777777" w:rsidR="00404CD4" w:rsidRPr="00E17456" w:rsidRDefault="00404CD4" w:rsidP="00404CD4">
      <w:pPr>
        <w:rPr>
          <w:lang w:val="es-ES_tradnl"/>
        </w:rPr>
      </w:pPr>
      <w:r w:rsidRPr="00E17456">
        <w:rPr>
          <w:lang w:val="es-ES_tradnl"/>
        </w:rPr>
        <w:t>que el programa de C+I</w:t>
      </w:r>
      <w:r w:rsidRPr="00E17456" w:rsidDel="00055A28">
        <w:rPr>
          <w:lang w:val="es-ES_tradnl"/>
        </w:rPr>
        <w:t xml:space="preserve"> </w:t>
      </w:r>
      <w:r w:rsidRPr="00E17456">
        <w:rPr>
          <w:lang w:val="es-ES_tradnl"/>
        </w:rPr>
        <w:t xml:space="preserve">de la UIT fue creado en respuesta a una solicitud de los Miembros de la Unión, en particular de los países en desarrollo, para reforzar la conformidad e </w:t>
      </w:r>
      <w:r w:rsidRPr="00E17456">
        <w:rPr>
          <w:bCs/>
          <w:szCs w:val="24"/>
          <w:lang w:val="es-ES_tradnl"/>
        </w:rPr>
        <w:t xml:space="preserve">interoperabilidad </w:t>
      </w:r>
      <w:r w:rsidRPr="00E17456">
        <w:rPr>
          <w:lang w:val="es-ES_tradnl"/>
        </w:rPr>
        <w:t>de los productos y redes de TIC implantados con arreglo a las Recomendaciones de la UIT, o a parte de las mismas, obtener informaciones que permitieran mejorar la calidad de las Recomendaciones de la UIT, y reducir la brecha digital y la disparidad en materia de normalización facilitando a los países en desarrollo la creación de capacidades en materia de recursos humanos e infraestructuras,</w:t>
      </w:r>
    </w:p>
    <w:p w14:paraId="29A9A5B2" w14:textId="77777777" w:rsidR="00404CD4" w:rsidRPr="00E17456" w:rsidRDefault="00404CD4" w:rsidP="00404CD4">
      <w:pPr>
        <w:pStyle w:val="Call"/>
        <w:rPr>
          <w:lang w:val="es-ES_tradnl"/>
        </w:rPr>
      </w:pPr>
      <w:r w:rsidRPr="00E17456">
        <w:rPr>
          <w:lang w:val="es-ES_tradnl"/>
        </w:rPr>
        <w:t>teniendo en cuenta</w:t>
      </w:r>
    </w:p>
    <w:p w14:paraId="6C466D03" w14:textId="77777777" w:rsidR="00404CD4" w:rsidRPr="00E17456" w:rsidRDefault="00404CD4" w:rsidP="00404CD4">
      <w:pPr>
        <w:rPr>
          <w:lang w:val="es-ES_tradnl"/>
        </w:rPr>
      </w:pPr>
      <w:r w:rsidRPr="00E17456">
        <w:rPr>
          <w:lang w:val="es-ES_tradnl"/>
        </w:rPr>
        <w:t>que la capacitación y la formación técnica en materia de realización de pruebas y certificación son cruciales para que los países puedan aumentar la conectividad mundial y promover la implantación de redes de telecomunicaciones avanzadas,</w:t>
      </w:r>
    </w:p>
    <w:p w14:paraId="64D0F3A4" w14:textId="77777777" w:rsidR="00404CD4" w:rsidRPr="00E17456" w:rsidRDefault="00404CD4" w:rsidP="00404CD4">
      <w:pPr>
        <w:pStyle w:val="Call"/>
        <w:rPr>
          <w:lang w:val="es-ES_tradnl"/>
        </w:rPr>
      </w:pPr>
      <w:r w:rsidRPr="00E17456">
        <w:rPr>
          <w:lang w:val="es-ES_tradnl"/>
        </w:rPr>
        <w:t>observando</w:t>
      </w:r>
    </w:p>
    <w:p w14:paraId="3F1FB59E" w14:textId="77777777" w:rsidR="00404CD4" w:rsidRPr="00E17456" w:rsidRDefault="00404CD4" w:rsidP="00404CD4">
      <w:pPr>
        <w:rPr>
          <w:lang w:val="es-ES_tradnl"/>
        </w:rPr>
      </w:pPr>
      <w:r w:rsidRPr="00E17456">
        <w:rPr>
          <w:i/>
          <w:iCs/>
          <w:lang w:val="es-ES_tradnl"/>
        </w:rPr>
        <w:t>a)</w:t>
      </w:r>
      <w:r w:rsidRPr="00E17456">
        <w:rPr>
          <w:lang w:val="es-ES_tradnl"/>
        </w:rPr>
        <w:tab/>
        <w:t>que algunos países, y en especial los países en desarrollo, no han adquirido aún la capacidad para probar equipos y ofrecer seguridad al respecto a los consumidores de sus países;</w:t>
      </w:r>
    </w:p>
    <w:p w14:paraId="3E873C79" w14:textId="77777777" w:rsidR="00404CD4" w:rsidRPr="00E17456" w:rsidRDefault="00404CD4" w:rsidP="00404CD4">
      <w:pPr>
        <w:rPr>
          <w:lang w:val="es-ES_tradnl"/>
        </w:rPr>
      </w:pPr>
      <w:r w:rsidRPr="00E17456">
        <w:rPr>
          <w:i/>
          <w:iCs/>
          <w:lang w:val="es-ES_tradnl"/>
        </w:rPr>
        <w:t>b)</w:t>
      </w:r>
      <w:r w:rsidRPr="00E17456">
        <w:rPr>
          <w:lang w:val="es-ES_tradnl"/>
        </w:rPr>
        <w:tab/>
        <w:t>que las actividades de la Cuestión 4 de la Comisión de Estudio 2 del UIT</w:t>
      </w:r>
      <w:r w:rsidRPr="00E17456">
        <w:rPr>
          <w:lang w:val="es-ES_tradnl"/>
        </w:rPr>
        <w:noBreakHyphen/>
        <w:t>D y de la Comisión de Estudio 11 del UIT-T, especialmente en el ámbito de las pruebas de C+I, han despertado en los países en desarrollo un interés creciente por la creación de capacidades relacionadas con la C+I;</w:t>
      </w:r>
    </w:p>
    <w:p w14:paraId="6527D222" w14:textId="77777777" w:rsidR="00404CD4" w:rsidRPr="00E17456" w:rsidRDefault="00404CD4" w:rsidP="00404CD4">
      <w:pPr>
        <w:rPr>
          <w:rFonts w:eastAsia="TimesNewRoman"/>
          <w:lang w:val="es-ES_tradnl" w:eastAsia="zh-CN"/>
        </w:rPr>
      </w:pPr>
      <w:r w:rsidRPr="00E17456">
        <w:rPr>
          <w:i/>
          <w:iCs/>
          <w:lang w:val="es-ES_tradnl"/>
        </w:rPr>
        <w:t>c)</w:t>
      </w:r>
      <w:r w:rsidRPr="00E17456">
        <w:rPr>
          <w:rFonts w:eastAsia="TimesNewRoman" w:cs="TimesNewRoman,Italic"/>
          <w:i/>
          <w:iCs/>
          <w:lang w:val="es-ES_tradnl" w:eastAsia="zh-CN"/>
        </w:rPr>
        <w:tab/>
      </w:r>
      <w:r w:rsidRPr="00E17456">
        <w:rPr>
          <w:rFonts w:eastAsia="TimesNewRoman"/>
          <w:lang w:val="es-ES_tradnl" w:eastAsia="zh-CN"/>
        </w:rPr>
        <w:t>que las pruebas de C+I pueden facilitar la interoperabilidad de ciertas tecnologías incipientes como la Internet de las cosas y las Telecomunicaciones Móviles Internacionales (IMT</w:t>
      </w:r>
      <w:r w:rsidRPr="00E17456">
        <w:rPr>
          <w:rFonts w:eastAsia="TimesNewRoman"/>
          <w:lang w:val="es-ES_tradnl" w:eastAsia="zh-CN"/>
        </w:rPr>
        <w:noBreakHyphen/>
        <w:t>2020);</w:t>
      </w:r>
    </w:p>
    <w:p w14:paraId="43B55CEF" w14:textId="77777777" w:rsidR="00404CD4" w:rsidRPr="00E17456" w:rsidRDefault="00404CD4" w:rsidP="00404CD4">
      <w:pPr>
        <w:rPr>
          <w:lang w:val="es-ES_tradnl"/>
        </w:rPr>
      </w:pPr>
      <w:r w:rsidRPr="00E17456">
        <w:rPr>
          <w:i/>
          <w:iCs/>
          <w:lang w:val="es-ES_tradnl"/>
        </w:rPr>
        <w:t>d)</w:t>
      </w:r>
      <w:r w:rsidRPr="00E17456">
        <w:rPr>
          <w:i/>
          <w:iCs/>
          <w:lang w:val="es-ES_tradnl"/>
        </w:rPr>
        <w:tab/>
      </w:r>
      <w:r w:rsidRPr="00E17456">
        <w:rPr>
          <w:lang w:val="es-ES_tradnl"/>
        </w:rPr>
        <w:t>que es conveniente que los países en desarrollo cuenten con aplicaciones de infraestructura compatibles con las Recomendaciones del UIT-T y/o normas de otras organizaciones internacionales y reconocidas a escala internacional, en lugar de las basadas en tecnologías y equipos patentados, a fin de mantener un entorno competitivo, reducir costes, aumentar las posibilidades de interoperabilidad y garantizar una calidad de servicio y una calidad percibida satisfactorias;</w:t>
      </w:r>
    </w:p>
    <w:p w14:paraId="1FBB1CF6" w14:textId="77777777" w:rsidR="00404CD4" w:rsidRPr="00E17456" w:rsidRDefault="00404CD4" w:rsidP="00404CD4">
      <w:pPr>
        <w:rPr>
          <w:lang w:val="es-ES_tradnl"/>
        </w:rPr>
      </w:pPr>
      <w:r w:rsidRPr="00E17456">
        <w:rPr>
          <w:i/>
          <w:iCs/>
          <w:lang w:val="es-ES_tradnl"/>
        </w:rPr>
        <w:t>e)</w:t>
      </w:r>
      <w:r w:rsidRPr="00E17456">
        <w:rPr>
          <w:lang w:val="es-ES_tradnl"/>
        </w:rPr>
        <w:tab/>
        <w:t xml:space="preserve">la necesidad de realizar pruebas de </w:t>
      </w:r>
      <w:r w:rsidRPr="00E17456">
        <w:rPr>
          <w:rFonts w:eastAsia="TimesNewRoman"/>
          <w:lang w:val="es-ES_tradnl" w:eastAsia="zh-CN"/>
        </w:rPr>
        <w:t xml:space="preserve">C+I </w:t>
      </w:r>
      <w:r w:rsidRPr="00E17456">
        <w:rPr>
          <w:lang w:val="es-ES_tradnl"/>
        </w:rPr>
        <w:t>para reducir la probabilidad de que se cometan errores durante el periodo de integración de la red que repercutirían en el calendario de implantación comercial;</w:t>
      </w:r>
    </w:p>
    <w:p w14:paraId="6852BE90" w14:textId="77777777" w:rsidR="00404CD4" w:rsidRPr="00E17456" w:rsidRDefault="00404CD4" w:rsidP="00404CD4">
      <w:pPr>
        <w:rPr>
          <w:rFonts w:eastAsia="TimesNewRoman"/>
          <w:lang w:val="es-ES_tradnl" w:eastAsia="zh-CN"/>
        </w:rPr>
      </w:pPr>
      <w:r w:rsidRPr="00E17456">
        <w:rPr>
          <w:i/>
          <w:iCs/>
          <w:lang w:val="es-ES_tradnl"/>
        </w:rPr>
        <w:t>f)</w:t>
      </w:r>
      <w:r w:rsidRPr="00E17456">
        <w:rPr>
          <w:i/>
          <w:iCs/>
          <w:lang w:val="es-ES_tradnl"/>
        </w:rPr>
        <w:tab/>
      </w:r>
      <w:r w:rsidRPr="00E17456">
        <w:rPr>
          <w:rFonts w:eastAsia="TimesNewRoman"/>
          <w:lang w:val="es-ES_tradnl" w:eastAsia="zh-CN"/>
        </w:rPr>
        <w:t>que cuando no se han realizado experimentos o pruebas de interoperabilidad, los usuarios han podido verse afectados por la falta de calidad de funcionamiento de la interconexión entre productos procedentes de distintos fabricantes;</w:t>
      </w:r>
      <w:r w:rsidRPr="00E17456">
        <w:rPr>
          <w:lang w:val="es-ES_tradnl"/>
        </w:rPr>
        <w:br w:type="page"/>
      </w:r>
    </w:p>
    <w:p w14:paraId="4965992A" w14:textId="77777777" w:rsidR="00404CD4" w:rsidRPr="00E17456" w:rsidRDefault="00404CD4" w:rsidP="00404CD4">
      <w:pPr>
        <w:rPr>
          <w:lang w:val="es-ES_tradnl"/>
        </w:rPr>
      </w:pPr>
      <w:r w:rsidRPr="00E17456">
        <w:rPr>
          <w:i/>
          <w:iCs/>
          <w:lang w:val="es-ES_tradnl"/>
        </w:rPr>
        <w:lastRenderedPageBreak/>
        <w:t>g)</w:t>
      </w:r>
      <w:r w:rsidRPr="00E17456">
        <w:rPr>
          <w:i/>
          <w:iCs/>
          <w:lang w:val="es-ES_tradnl"/>
        </w:rPr>
        <w:tab/>
      </w:r>
      <w:r w:rsidRPr="00E17456">
        <w:rPr>
          <w:lang w:val="es-ES_tradnl"/>
        </w:rPr>
        <w:t xml:space="preserve">que la UIT está llevando a cabo Iniciativas Regionales encaminadas a la capacitación de recursos humanos en materia de conformidad, </w:t>
      </w:r>
      <w:r w:rsidRPr="00E17456">
        <w:rPr>
          <w:bCs/>
          <w:szCs w:val="24"/>
          <w:lang w:val="es-ES_tradnl"/>
        </w:rPr>
        <w:t xml:space="preserve">interoperabilidad </w:t>
      </w:r>
      <w:r w:rsidRPr="00E17456">
        <w:rPr>
          <w:lang w:val="es-ES_tradnl"/>
        </w:rPr>
        <w:t>y realización de pruebas, que también organizará en cooperación con otras organizaciones regionales e internacionales pertinentes con objeto de aclarar cuestiones fundamentales y relacionadas con la acreditación;</w:t>
      </w:r>
    </w:p>
    <w:p w14:paraId="59B1CDF4" w14:textId="77777777" w:rsidR="00404CD4" w:rsidRPr="00E17456" w:rsidRDefault="00404CD4" w:rsidP="00404CD4">
      <w:pPr>
        <w:rPr>
          <w:rFonts w:eastAsia="TimesNewRoman"/>
          <w:lang w:val="es-ES_tradnl" w:eastAsia="zh-CN"/>
        </w:rPr>
      </w:pPr>
      <w:r w:rsidRPr="00E17456">
        <w:rPr>
          <w:i/>
          <w:iCs/>
          <w:lang w:val="es-ES_tradnl"/>
        </w:rPr>
        <w:t>h)</w:t>
      </w:r>
      <w:r w:rsidRPr="00E17456">
        <w:rPr>
          <w:rFonts w:cs="TimesNewRoman,Italic"/>
          <w:i/>
          <w:iCs/>
          <w:lang w:val="es-ES_tradnl" w:eastAsia="zh-CN"/>
        </w:rPr>
        <w:tab/>
      </w:r>
      <w:r w:rsidRPr="00E17456">
        <w:rPr>
          <w:rFonts w:eastAsia="TimesNewRoman"/>
          <w:lang w:val="es-ES_tradnl" w:eastAsia="zh-CN"/>
        </w:rPr>
        <w:t>que, además de las Recomendaciones del UIT-T, existen diversas especificaciones para las pruebas de C+I preparadas por otros organismos de normalización, foros y consorcios;</w:t>
      </w:r>
    </w:p>
    <w:p w14:paraId="1536E07C" w14:textId="77777777" w:rsidR="00404CD4" w:rsidRPr="00E17456" w:rsidRDefault="00404CD4" w:rsidP="00404CD4">
      <w:pPr>
        <w:rPr>
          <w:lang w:val="es-ES_tradnl"/>
        </w:rPr>
      </w:pPr>
      <w:r w:rsidRPr="00E17456">
        <w:rPr>
          <w:i/>
          <w:iCs/>
          <w:lang w:val="es-ES_tradnl"/>
        </w:rPr>
        <w:t>i)</w:t>
      </w:r>
      <w:r w:rsidRPr="00E17456">
        <w:rPr>
          <w:i/>
          <w:iCs/>
          <w:lang w:val="es-ES_tradnl"/>
        </w:rPr>
        <w:tab/>
      </w:r>
      <w:r w:rsidRPr="00E17456">
        <w:rPr>
          <w:lang w:val="es-ES_tradnl"/>
        </w:rPr>
        <w:t>que comprender las Recomendaciones de la UIT y normas internacionales afines, y aplicar apropiada y efectivamente nuevas tecnologías a la red es fundamental para la aplicación de la Resolución 76 (Rev. Ginebra, 2022) de la AMNT,</w:t>
      </w:r>
    </w:p>
    <w:p w14:paraId="754EBC87" w14:textId="77777777" w:rsidR="00404CD4" w:rsidRPr="00E17456" w:rsidRDefault="00404CD4" w:rsidP="00404CD4">
      <w:pPr>
        <w:pStyle w:val="Call"/>
        <w:rPr>
          <w:lang w:val="es-ES_tradnl"/>
        </w:rPr>
      </w:pPr>
      <w:r w:rsidRPr="00E17456">
        <w:rPr>
          <w:lang w:val="es-ES_tradnl"/>
        </w:rPr>
        <w:t>resuelve</w:t>
      </w:r>
    </w:p>
    <w:p w14:paraId="68A36BD2" w14:textId="77777777" w:rsidR="00404CD4" w:rsidRPr="00E17456" w:rsidRDefault="00404CD4" w:rsidP="00404CD4">
      <w:pPr>
        <w:rPr>
          <w:lang w:val="es-ES_tradnl"/>
        </w:rPr>
      </w:pPr>
      <w:r w:rsidRPr="00E17456">
        <w:rPr>
          <w:lang w:val="es-ES_tradnl"/>
        </w:rPr>
        <w:t>1</w:t>
      </w:r>
      <w:r w:rsidRPr="00E17456">
        <w:rPr>
          <w:lang w:val="es-ES_tradnl"/>
        </w:rPr>
        <w:tab/>
        <w:t>seguir emprendiendo actividades destinadas a perfeccionar el conocimiento y la aplicación efectiva de normas TIC, incluyéndose las Recomendaciones del Sector de Radiocomunicaciones de la UIT (UIT</w:t>
      </w:r>
      <w:r w:rsidRPr="00E17456">
        <w:rPr>
          <w:lang w:val="es-ES_tradnl"/>
        </w:rPr>
        <w:noBreakHyphen/>
        <w:t>R) y del UIT-T, en los países en desarrollo;</w:t>
      </w:r>
    </w:p>
    <w:p w14:paraId="606C3CF7" w14:textId="77777777" w:rsidR="00404CD4" w:rsidRPr="00E17456" w:rsidRDefault="00404CD4" w:rsidP="00404CD4">
      <w:pPr>
        <w:rPr>
          <w:lang w:val="es-ES_tradnl"/>
        </w:rPr>
      </w:pPr>
      <w:r w:rsidRPr="00E17456">
        <w:rPr>
          <w:lang w:val="es-ES_tradnl"/>
        </w:rPr>
        <w:t>2</w:t>
      </w:r>
      <w:r w:rsidRPr="00E17456">
        <w:rPr>
          <w:lang w:val="es-ES_tradnl"/>
        </w:rPr>
        <w:tab/>
        <w:t>incrementar los esfuerzos para adoptar prácticas idóneas y compartir experiencias sobre la aplicación de normas sobre las TIC, incluidas las Recomendaciones del UIT</w:t>
      </w:r>
      <w:r w:rsidRPr="00E17456">
        <w:rPr>
          <w:lang w:val="es-ES_tradnl"/>
        </w:rPr>
        <w:noBreakHyphen/>
        <w:t>T y del UIT-R, por ejemplo, aunque no únicamente, en materia de tecnología de transmisión por fibra óptica, tecnología de red de banda ancha, IMT, redes de la próxima generación y nuevas tecnologías y creación de confianza y seguridad en el uso de las TIC, mediante la organización de cursos y talleres de capacitación destinados en especial a los países en desarrollo, implicando en el proceso a instituciones académicas;</w:t>
      </w:r>
    </w:p>
    <w:p w14:paraId="336BBC3A" w14:textId="77777777" w:rsidR="00404CD4" w:rsidRPr="00E17456" w:rsidRDefault="00404CD4" w:rsidP="00404CD4">
      <w:pPr>
        <w:rPr>
          <w:lang w:val="es-ES_tradnl"/>
        </w:rPr>
      </w:pPr>
      <w:r w:rsidRPr="00E17456">
        <w:rPr>
          <w:lang w:val="es-ES_tradnl"/>
        </w:rPr>
        <w:t>3</w:t>
      </w:r>
      <w:r w:rsidRPr="00E17456">
        <w:rPr>
          <w:lang w:val="es-ES_tradnl"/>
        </w:rPr>
        <w:tab/>
        <w:t>evaluar los beneficios de utilizar equipos probados de conformidad con las Recomendaciones del UIT-T y el UIT-R, especialmente en los países en desarrollo, y a compartir la información y las recomendaciones necesarias según las prácticas idóneas,</w:t>
      </w:r>
    </w:p>
    <w:p w14:paraId="4720D782" w14:textId="77777777" w:rsidR="00404CD4" w:rsidRPr="00E17456" w:rsidRDefault="00404CD4" w:rsidP="00404CD4">
      <w:pPr>
        <w:pStyle w:val="Call"/>
        <w:rPr>
          <w:lang w:val="es-ES_tradnl"/>
        </w:rPr>
      </w:pPr>
      <w:r w:rsidRPr="00E17456">
        <w:rPr>
          <w:lang w:val="es-ES_tradnl"/>
        </w:rPr>
        <w:t xml:space="preserve">encarga al </w:t>
      </w:r>
      <w:proofErr w:type="gramStart"/>
      <w:r w:rsidRPr="00E17456">
        <w:rPr>
          <w:lang w:val="es-ES_tradnl"/>
        </w:rPr>
        <w:t>Director</w:t>
      </w:r>
      <w:proofErr w:type="gramEnd"/>
      <w:r w:rsidRPr="00E17456">
        <w:rPr>
          <w:lang w:val="es-ES_tradnl"/>
        </w:rPr>
        <w:t xml:space="preserve"> de la Oficina de Desarrollo de las Telecomunicaciones que,</w:t>
      </w:r>
      <w:r w:rsidRPr="00E17456" w:rsidDel="0052411C">
        <w:rPr>
          <w:lang w:val="es-ES_tradnl"/>
        </w:rPr>
        <w:t xml:space="preserve"> </w:t>
      </w:r>
      <w:r w:rsidRPr="00E17456">
        <w:rPr>
          <w:lang w:val="es-ES_tradnl"/>
        </w:rPr>
        <w:t>en estrecha colaboración de los Directores de la Oficina de Normalización de las Telecomunicaciones y de la Oficina de Radiocomunicaciones</w:t>
      </w:r>
    </w:p>
    <w:p w14:paraId="51F87948" w14:textId="77777777" w:rsidR="00404CD4" w:rsidRPr="00E17456" w:rsidRDefault="00404CD4" w:rsidP="00404CD4">
      <w:pPr>
        <w:rPr>
          <w:lang w:val="es-ES_tradnl" w:eastAsia="es-EC"/>
        </w:rPr>
      </w:pPr>
      <w:r w:rsidRPr="00E17456">
        <w:rPr>
          <w:lang w:val="es-ES_tradnl" w:eastAsia="es-EC"/>
        </w:rPr>
        <w:t>1</w:t>
      </w:r>
      <w:r w:rsidRPr="00E17456">
        <w:rPr>
          <w:lang w:val="es-ES_tradnl" w:eastAsia="es-EC"/>
        </w:rPr>
        <w:tab/>
        <w:t>que continúe fomentando la participación de los países en desarrollo en los cursos de formación y los talleres organizados por el UIT-D para la introducción de prácticas idóneas y compartir experiencias en la aplicación de las Recomendaciones UIT-R y UIT-T;</w:t>
      </w:r>
    </w:p>
    <w:p w14:paraId="44519DF1" w14:textId="77777777" w:rsidR="00404CD4" w:rsidRPr="00E17456" w:rsidRDefault="00404CD4" w:rsidP="00404CD4">
      <w:pPr>
        <w:rPr>
          <w:lang w:val="es-ES_tradnl" w:eastAsia="es-EC"/>
        </w:rPr>
      </w:pPr>
      <w:r w:rsidRPr="00E17456">
        <w:rPr>
          <w:lang w:val="es-ES_tradnl" w:eastAsia="es-EC"/>
        </w:rPr>
        <w:br w:type="page"/>
      </w:r>
    </w:p>
    <w:p w14:paraId="0A24F7C7" w14:textId="77777777" w:rsidR="00404CD4" w:rsidRPr="00E17456" w:rsidRDefault="00404CD4" w:rsidP="00404CD4">
      <w:pPr>
        <w:rPr>
          <w:lang w:val="es-ES_tradnl" w:eastAsia="es-EC"/>
        </w:rPr>
      </w:pPr>
      <w:r w:rsidRPr="00E17456">
        <w:rPr>
          <w:lang w:val="es-ES_tradnl" w:eastAsia="es-EC"/>
        </w:rPr>
        <w:lastRenderedPageBreak/>
        <w:t>2</w:t>
      </w:r>
      <w:r w:rsidRPr="00E17456">
        <w:rPr>
          <w:lang w:val="es-ES_tradnl" w:eastAsia="es-EC"/>
        </w:rPr>
        <w:tab/>
        <w:t>que ayude a los países en desarrollo a aprovechar las directrices establecidas y elaboradas por el UIT-T sobre cómo aplicar las Recomendaciones UIT-T;</w:t>
      </w:r>
    </w:p>
    <w:p w14:paraId="47423CDF" w14:textId="77777777" w:rsidR="00404CD4" w:rsidRPr="00E17456" w:rsidRDefault="00404CD4" w:rsidP="00404CD4">
      <w:pPr>
        <w:rPr>
          <w:lang w:val="es-ES_tradnl" w:eastAsia="es-EC"/>
        </w:rPr>
      </w:pPr>
      <w:r w:rsidRPr="00E17456">
        <w:rPr>
          <w:lang w:val="es-ES_tradnl" w:eastAsia="es-EC"/>
        </w:rPr>
        <w:t>3</w:t>
      </w:r>
      <w:r w:rsidRPr="00E17456">
        <w:rPr>
          <w:lang w:val="es-ES_tradnl" w:eastAsia="es-EC"/>
        </w:rPr>
        <w:tab/>
        <w:t>que proporcione asistencia en el desarrollo de directrices (manuales) metodológicas sobre la aplicación de las Recomendaciones de la UIT;</w:t>
      </w:r>
    </w:p>
    <w:p w14:paraId="53261DF6" w14:textId="77777777" w:rsidR="00404CD4" w:rsidRPr="00E17456" w:rsidRDefault="00404CD4" w:rsidP="00404CD4">
      <w:pPr>
        <w:rPr>
          <w:lang w:val="es-ES_tradnl" w:eastAsia="es-EC"/>
        </w:rPr>
      </w:pPr>
      <w:r w:rsidRPr="00E17456">
        <w:rPr>
          <w:lang w:val="es-ES_tradnl" w:eastAsia="es-EC"/>
        </w:rPr>
        <w:t>4</w:t>
      </w:r>
      <w:r w:rsidRPr="00E17456">
        <w:rPr>
          <w:lang w:val="es-ES_tradnl" w:eastAsia="es-EC"/>
        </w:rPr>
        <w:tab/>
        <w:t>que preste asistencia a los países en desarrollo en la capacitación, en colaboración con las otras Oficinas, para que puedan efectuar pruebas de conformidad e interoperabilidad de los equipos y sistemas, según sus necesidades, de conformidad con lo dispuesto en las Recomendaciones pertinentes incluida la constitución o reconocimiento, según el caso, de organismos de evaluación de la conformidad;</w:t>
      </w:r>
    </w:p>
    <w:p w14:paraId="7858563B" w14:textId="77777777" w:rsidR="00404CD4" w:rsidRPr="00E17456" w:rsidRDefault="00404CD4" w:rsidP="00404CD4">
      <w:pPr>
        <w:rPr>
          <w:lang w:val="es-ES_tradnl" w:eastAsia="es-EC"/>
        </w:rPr>
      </w:pPr>
      <w:r w:rsidRPr="00E17456">
        <w:rPr>
          <w:lang w:val="es-ES_tradnl" w:eastAsia="es-EC"/>
        </w:rPr>
        <w:t>5</w:t>
      </w:r>
      <w:r w:rsidRPr="00E17456">
        <w:rPr>
          <w:lang w:val="es-ES_tradnl" w:eastAsia="es-EC"/>
        </w:rPr>
        <w:tab/>
        <w:t xml:space="preserve">que preste asistencia al </w:t>
      </w:r>
      <w:proofErr w:type="gramStart"/>
      <w:r w:rsidRPr="00E17456">
        <w:rPr>
          <w:lang w:val="es-ES_tradnl" w:eastAsia="es-EC"/>
        </w:rPr>
        <w:t>Director</w:t>
      </w:r>
      <w:proofErr w:type="gramEnd"/>
      <w:r w:rsidRPr="00E17456">
        <w:rPr>
          <w:lang w:val="es-ES_tradnl" w:eastAsia="es-EC"/>
        </w:rPr>
        <w:t xml:space="preserve"> de la TSB, en colaboración con el Director de la BR, y según proceda, con los fabricantes de equipos y sistemas, así como con las organizaciones de normalización reconocidas a escala internacional y regional, para la realización de eventos dedicados a las pruebas de interoperabilidad y evaluaciones de conformidad, de preferencia en los países en desarrollo; que aliente a los países en desarrollo a asistir a esos eventos;</w:t>
      </w:r>
    </w:p>
    <w:p w14:paraId="6FF11CE7" w14:textId="77777777" w:rsidR="00404CD4" w:rsidRPr="00E17456" w:rsidRDefault="00404CD4" w:rsidP="00404CD4">
      <w:pPr>
        <w:rPr>
          <w:lang w:val="es-ES_tradnl" w:eastAsia="es-EC"/>
        </w:rPr>
      </w:pPr>
      <w:r w:rsidRPr="00E17456">
        <w:rPr>
          <w:lang w:val="es-ES_tradnl" w:eastAsia="es-EC"/>
        </w:rPr>
        <w:t>6</w:t>
      </w:r>
      <w:r w:rsidRPr="00E17456">
        <w:rPr>
          <w:lang w:val="es-ES_tradnl" w:eastAsia="es-EC"/>
        </w:rPr>
        <w:tab/>
        <w:t xml:space="preserve">que colabore con el </w:t>
      </w:r>
      <w:proofErr w:type="gramStart"/>
      <w:r w:rsidRPr="00E17456">
        <w:rPr>
          <w:lang w:val="es-ES_tradnl" w:eastAsia="es-EC"/>
        </w:rPr>
        <w:t>Director</w:t>
      </w:r>
      <w:proofErr w:type="gramEnd"/>
      <w:r w:rsidRPr="00E17456">
        <w:rPr>
          <w:lang w:val="es-ES_tradnl" w:eastAsia="es-EC"/>
        </w:rPr>
        <w:t xml:space="preserve"> de la TSB en la capacitación en los países en desarrollo, para que éstos puedan participar activamente e intervenir en dichos eventos, y que indique la opinión de los países en desarrollo sobre este asunto por medio de un cuestionario que remita el programa de la BDT pertinente a los Miembros de la UIT;</w:t>
      </w:r>
    </w:p>
    <w:p w14:paraId="0FEEB358" w14:textId="77777777" w:rsidR="00404CD4" w:rsidRPr="00E17456" w:rsidRDefault="00404CD4" w:rsidP="00404CD4">
      <w:pPr>
        <w:rPr>
          <w:lang w:val="es-ES_tradnl" w:eastAsia="es-EC"/>
        </w:rPr>
      </w:pPr>
      <w:r w:rsidRPr="00E17456">
        <w:rPr>
          <w:lang w:val="es-ES_tradnl" w:eastAsia="es-EC"/>
        </w:rPr>
        <w:t>7</w:t>
      </w:r>
      <w:r w:rsidRPr="00E17456">
        <w:rPr>
          <w:lang w:val="es-ES_tradnl" w:eastAsia="es-EC"/>
        </w:rPr>
        <w:tab/>
        <w:t>que promueva, con la colaboración de órganos regionales de C+I (por ejemplo: órganos regionales de normalización, órganos de acreditación, órganos de certificación, laboratorio de pruebas, entre otros) el establecimiento de colaboración técnica en materia de la evaluación de la conformidad;</w:t>
      </w:r>
    </w:p>
    <w:p w14:paraId="53630053" w14:textId="77777777" w:rsidR="00404CD4" w:rsidRPr="00E17456" w:rsidRDefault="00404CD4" w:rsidP="00404CD4">
      <w:pPr>
        <w:rPr>
          <w:lang w:val="es-ES_tradnl" w:eastAsia="es-EC"/>
        </w:rPr>
      </w:pPr>
      <w:r w:rsidRPr="00E17456">
        <w:rPr>
          <w:lang w:val="es-ES_tradnl" w:eastAsia="es-EC"/>
        </w:rPr>
        <w:t>8</w:t>
      </w:r>
      <w:r w:rsidRPr="00E17456">
        <w:rPr>
          <w:lang w:val="es-ES_tradnl" w:eastAsia="es-EC"/>
        </w:rPr>
        <w:tab/>
        <w:t>ayudar a los países en desarrollo a crear centros regionales o subregionales de C+I y alentar la colaboración público-privada con organizaciones nacionales y regionales, gubernamentales y no gubernamentales, y con organismos de acreditación y certificación internacional;</w:t>
      </w:r>
    </w:p>
    <w:p w14:paraId="18104353" w14:textId="77777777" w:rsidR="00404CD4" w:rsidRPr="00E17456" w:rsidRDefault="00404CD4" w:rsidP="00404CD4">
      <w:pPr>
        <w:rPr>
          <w:lang w:val="es-ES_tradnl" w:eastAsia="es-EC"/>
        </w:rPr>
      </w:pPr>
      <w:r w:rsidRPr="00E17456">
        <w:rPr>
          <w:lang w:val="es-ES_tradnl" w:eastAsia="es-EC"/>
        </w:rPr>
        <w:t>9</w:t>
      </w:r>
      <w:r w:rsidRPr="00E17456">
        <w:rPr>
          <w:lang w:val="es-ES_tradnl" w:eastAsia="es-EC"/>
        </w:rPr>
        <w:tab/>
        <w:t>que defina centros de pruebas de TIC regionales y subregionales de países en desarrollo como Centros de Excelencia de la UIT para la realización de pruebas, la formación y el fortalecimiento de las capacidades de los Miembros de la UIT, en el marco de las estrategias tendentes al cumplimiento de los objetivos de la presente Resolución;</w:t>
      </w:r>
    </w:p>
    <w:p w14:paraId="42F39275" w14:textId="77777777" w:rsidR="00404CD4" w:rsidRPr="00E17456" w:rsidRDefault="00404CD4" w:rsidP="00404CD4">
      <w:pPr>
        <w:rPr>
          <w:lang w:val="es-ES_tradnl" w:eastAsia="es-EC"/>
        </w:rPr>
      </w:pPr>
      <w:r w:rsidRPr="00E17456">
        <w:rPr>
          <w:lang w:val="es-ES_tradnl" w:eastAsia="es-EC"/>
        </w:rPr>
        <w:t>10</w:t>
      </w:r>
      <w:r w:rsidRPr="00E17456">
        <w:rPr>
          <w:lang w:val="es-ES_tradnl" w:eastAsia="es-EC"/>
        </w:rPr>
        <w:tab/>
        <w:t>que utilice el fondo de capital inicial para proyectos de la UIT y aliente a los organismos donantes a financiar programas anuales de formación y capacitación en centros de pruebas definidos como Centros de Excelencia de la UIT;</w:t>
      </w:r>
    </w:p>
    <w:p w14:paraId="15465B0A" w14:textId="77777777" w:rsidR="00404CD4" w:rsidRPr="00E17456" w:rsidRDefault="00404CD4" w:rsidP="00404CD4">
      <w:pPr>
        <w:rPr>
          <w:lang w:val="es-ES_tradnl" w:eastAsia="es-EC"/>
        </w:rPr>
      </w:pPr>
      <w:r w:rsidRPr="00E17456">
        <w:rPr>
          <w:lang w:val="es-ES_tradnl" w:eastAsia="es-EC"/>
        </w:rPr>
        <w:br w:type="page"/>
      </w:r>
    </w:p>
    <w:p w14:paraId="471F3B84" w14:textId="77777777" w:rsidR="00404CD4" w:rsidRPr="00E17456" w:rsidRDefault="00404CD4" w:rsidP="00404CD4">
      <w:pPr>
        <w:rPr>
          <w:lang w:val="es-ES_tradnl" w:eastAsia="es-EC"/>
        </w:rPr>
      </w:pPr>
      <w:r w:rsidRPr="00E17456">
        <w:rPr>
          <w:lang w:val="es-ES_tradnl" w:eastAsia="es-EC"/>
        </w:rPr>
        <w:lastRenderedPageBreak/>
        <w:t>11</w:t>
      </w:r>
      <w:r w:rsidRPr="00E17456">
        <w:rPr>
          <w:lang w:val="es-ES_tradnl" w:eastAsia="es-EC"/>
        </w:rPr>
        <w:tab/>
        <w:t>que coordine, fomente la creación de capacidades y facilite la participación de países en desarrollo en las labores de los laboratorios de pruebas internacionales y regionales de las organizaciones o entidades especializadas en pruebas de interoperabilidad y de conformidad, con el fin de que adquieran experiencia profesional;</w:t>
      </w:r>
    </w:p>
    <w:p w14:paraId="143B093A" w14:textId="77777777" w:rsidR="00404CD4" w:rsidRPr="00E17456" w:rsidRDefault="00404CD4" w:rsidP="00404CD4">
      <w:pPr>
        <w:rPr>
          <w:lang w:val="es-ES_tradnl" w:eastAsia="es-EC"/>
        </w:rPr>
      </w:pPr>
      <w:r w:rsidRPr="00E17456">
        <w:rPr>
          <w:lang w:val="es-ES_tradnl" w:eastAsia="es-EC"/>
        </w:rPr>
        <w:t>12</w:t>
      </w:r>
      <w:r w:rsidRPr="00E17456">
        <w:rPr>
          <w:lang w:val="es-ES_tradnl" w:eastAsia="es-EC"/>
        </w:rPr>
        <w:tab/>
        <w:t xml:space="preserve">que colabore con el </w:t>
      </w:r>
      <w:proofErr w:type="gramStart"/>
      <w:r w:rsidRPr="00E17456">
        <w:rPr>
          <w:lang w:val="es-ES_tradnl" w:eastAsia="es-EC"/>
        </w:rPr>
        <w:t>Director</w:t>
      </w:r>
      <w:proofErr w:type="gramEnd"/>
      <w:r w:rsidRPr="00E17456">
        <w:rPr>
          <w:lang w:val="es-ES_tradnl" w:eastAsia="es-EC"/>
        </w:rPr>
        <w:t xml:space="preserve"> de la TSB para llevar a la práctica las acciones recomendadas en la Resolución 76 (Rev. Ginebra, 2022) dentro del Plan de Acción del Programa de C+I, según lo acordado en la reunión de 2021 del Consejo, tras haberla revisado en su reunión de 2013;</w:t>
      </w:r>
    </w:p>
    <w:p w14:paraId="37DDBA7B" w14:textId="77777777" w:rsidR="00404CD4" w:rsidRPr="00E17456" w:rsidRDefault="00404CD4" w:rsidP="00404CD4">
      <w:pPr>
        <w:rPr>
          <w:lang w:val="es-ES_tradnl" w:eastAsia="es-EC"/>
        </w:rPr>
      </w:pPr>
      <w:r w:rsidRPr="00E17456">
        <w:rPr>
          <w:lang w:val="es-ES_tradnl" w:eastAsia="es-EC"/>
        </w:rPr>
        <w:t>13</w:t>
      </w:r>
      <w:r w:rsidRPr="00E17456">
        <w:rPr>
          <w:lang w:val="es-ES_tradnl" w:eastAsia="es-EC"/>
        </w:rPr>
        <w:tab/>
        <w:t>que asigne al programa pertinente de la BDT la responsabilidad del seguimiento de la aplicación de la presente Resolución;</w:t>
      </w:r>
    </w:p>
    <w:p w14:paraId="5047D44E" w14:textId="77777777" w:rsidR="00404CD4" w:rsidRPr="00E17456" w:rsidRDefault="00404CD4" w:rsidP="00404CD4">
      <w:pPr>
        <w:rPr>
          <w:lang w:val="es-ES_tradnl" w:eastAsia="es-EC"/>
        </w:rPr>
      </w:pPr>
      <w:r w:rsidRPr="00E17456">
        <w:rPr>
          <w:lang w:val="es-ES_tradnl" w:eastAsia="es-EC"/>
        </w:rPr>
        <w:t>14</w:t>
      </w:r>
      <w:r w:rsidRPr="00E17456">
        <w:rPr>
          <w:lang w:val="es-ES_tradnl" w:eastAsia="es-EC"/>
        </w:rPr>
        <w:tab/>
        <w:t>que presente periódicamente informes al Grupo Asesor de Desarrollo de las Telecomunicaciones sobre la aplicación de esta Resolución, así como un informe al respecto a la próxima Conferencia Mundial de Desarrollo de las Telecomunicaciones, que incluirá también las enseñanzas extraídas con miras a la actualización de esta Resolución para el periodo posterior a 2024;</w:t>
      </w:r>
    </w:p>
    <w:p w14:paraId="6EA88315" w14:textId="77777777" w:rsidR="00404CD4" w:rsidRPr="00E17456" w:rsidRDefault="00404CD4" w:rsidP="00404CD4">
      <w:pPr>
        <w:rPr>
          <w:lang w:val="es-ES_tradnl" w:eastAsia="es-EC"/>
        </w:rPr>
      </w:pPr>
      <w:r w:rsidRPr="00E17456">
        <w:rPr>
          <w:lang w:val="es-ES_tradnl" w:eastAsia="es-EC"/>
        </w:rPr>
        <w:t>15</w:t>
      </w:r>
      <w:r w:rsidRPr="00E17456">
        <w:rPr>
          <w:lang w:val="es-ES_tradnl" w:eastAsia="es-EC"/>
        </w:rPr>
        <w:tab/>
        <w:t>que siga fomentando la participación de países en desarrollo en los cursos de formación y los talleres organizados por el UIT-D para la introducción de prácticas idóneas en la aplicación de las Recomendaciones del UIT</w:t>
      </w:r>
      <w:r w:rsidRPr="00E17456">
        <w:rPr>
          <w:lang w:val="es-ES_tradnl" w:eastAsia="es-EC"/>
        </w:rPr>
        <w:noBreakHyphen/>
        <w:t>R y del UIT</w:t>
      </w:r>
      <w:r w:rsidRPr="00E17456">
        <w:rPr>
          <w:lang w:val="es-ES_tradnl" w:eastAsia="es-EC"/>
        </w:rPr>
        <w:noBreakHyphen/>
        <w:t>T;</w:t>
      </w:r>
    </w:p>
    <w:p w14:paraId="51B9B929" w14:textId="77777777" w:rsidR="00404CD4" w:rsidRPr="00E17456" w:rsidRDefault="00404CD4" w:rsidP="00404CD4">
      <w:pPr>
        <w:rPr>
          <w:lang w:val="es-ES_tradnl" w:eastAsia="es-EC"/>
        </w:rPr>
      </w:pPr>
      <w:r w:rsidRPr="00E17456">
        <w:rPr>
          <w:lang w:val="es-ES_tradnl" w:eastAsia="es-EC"/>
        </w:rPr>
        <w:t>16</w:t>
      </w:r>
      <w:r w:rsidRPr="00E17456">
        <w:rPr>
          <w:lang w:val="es-ES_tradnl" w:eastAsia="es-EC"/>
        </w:rPr>
        <w:tab/>
        <w:t>que apoye a la revisión, modificación, actualización o elaboración de diversos instrumentos normativos como normas técnicas, reglas, procedimientos de evaluación de la conformidad, directrices para la homologación y certificación de los productos, equipos, dispositivos o aparatos que puedan ser conectados a una red de telecomunicaciones;</w:t>
      </w:r>
    </w:p>
    <w:p w14:paraId="5D012F89" w14:textId="77777777" w:rsidR="00404CD4" w:rsidRPr="00E17456" w:rsidRDefault="00404CD4" w:rsidP="00404CD4">
      <w:pPr>
        <w:rPr>
          <w:lang w:val="es-ES_tradnl" w:eastAsia="es-EC"/>
        </w:rPr>
      </w:pPr>
      <w:r w:rsidRPr="00E17456">
        <w:rPr>
          <w:lang w:val="es-ES_tradnl" w:eastAsia="es-EC"/>
        </w:rPr>
        <w:t>17</w:t>
      </w:r>
      <w:r w:rsidRPr="00E17456">
        <w:rPr>
          <w:lang w:val="es-ES_tradnl" w:eastAsia="es-EC"/>
        </w:rPr>
        <w:tab/>
        <w:t>que fomente la armonización de los procedimientos de C+I, fortaleciendo la capacidad internacional, regional y nacional en el tema;</w:t>
      </w:r>
    </w:p>
    <w:p w14:paraId="11898C37" w14:textId="77777777" w:rsidR="00404CD4" w:rsidRPr="00E17456" w:rsidRDefault="00404CD4" w:rsidP="00404CD4">
      <w:pPr>
        <w:rPr>
          <w:lang w:val="es-ES_tradnl" w:eastAsia="es-EC"/>
        </w:rPr>
      </w:pPr>
      <w:r w:rsidRPr="00E17456">
        <w:rPr>
          <w:lang w:val="es-ES_tradnl" w:eastAsia="es-EC"/>
        </w:rPr>
        <w:t>18</w:t>
      </w:r>
      <w:r w:rsidRPr="00E17456">
        <w:rPr>
          <w:lang w:val="es-ES_tradnl" w:eastAsia="es-EC"/>
        </w:rPr>
        <w:tab/>
        <w:t>que facilite, por conducto de las Oficinas Regionales de la UIT, la convocatoria de reuniones de expertos a nivel regional y subregional para promover la sensibilización de los países en desarrollo acerca del establecimiento de un Programa de C+I adecuado en tales países;</w:t>
      </w:r>
    </w:p>
    <w:p w14:paraId="64D4CD9B" w14:textId="77777777" w:rsidR="00404CD4" w:rsidRPr="00E17456" w:rsidRDefault="00404CD4" w:rsidP="00404CD4">
      <w:pPr>
        <w:rPr>
          <w:lang w:val="es-ES_tradnl" w:eastAsia="es-EC"/>
        </w:rPr>
      </w:pPr>
      <w:r w:rsidRPr="00E17456">
        <w:rPr>
          <w:lang w:val="es-ES_tradnl" w:eastAsia="es-EC"/>
        </w:rPr>
        <w:t>19</w:t>
      </w:r>
      <w:r w:rsidRPr="00E17456">
        <w:rPr>
          <w:lang w:val="es-ES_tradnl" w:eastAsia="es-EC"/>
        </w:rPr>
        <w:tab/>
        <w:t>que ayude a los Estados Miembros a mejorar sus capacidades en materia de evaluación y realización de pruebas de conformidad, a fin de luchar contra la falsificación de dispositivos y proporcionar expertos a los países en desarrollo;</w:t>
      </w:r>
    </w:p>
    <w:p w14:paraId="52E092EB" w14:textId="77777777" w:rsidR="00404CD4" w:rsidRPr="00E17456" w:rsidRDefault="00404CD4" w:rsidP="00404CD4">
      <w:pPr>
        <w:rPr>
          <w:lang w:val="es-ES_tradnl" w:eastAsia="es-EC"/>
        </w:rPr>
      </w:pPr>
      <w:r w:rsidRPr="00E17456">
        <w:rPr>
          <w:lang w:val="es-ES_tradnl" w:eastAsia="es-EC"/>
        </w:rPr>
        <w:t>20</w:t>
      </w:r>
      <w:r w:rsidRPr="00E17456">
        <w:rPr>
          <w:lang w:val="es-ES_tradnl" w:eastAsia="es-EC"/>
        </w:rPr>
        <w:tab/>
        <w:t>que someta los informes de situación de las actividades a la consideración del Consejo, para que tome las medidas correspondientes,</w:t>
      </w:r>
    </w:p>
    <w:p w14:paraId="0C711286" w14:textId="77777777" w:rsidR="00404CD4" w:rsidRPr="00E17456" w:rsidRDefault="00404CD4" w:rsidP="00404CD4">
      <w:pPr>
        <w:rPr>
          <w:lang w:val="es-ES_tradnl"/>
        </w:rPr>
      </w:pPr>
      <w:r w:rsidRPr="00E17456">
        <w:rPr>
          <w:lang w:val="es-ES_tradnl"/>
        </w:rPr>
        <w:br w:type="page"/>
      </w:r>
    </w:p>
    <w:p w14:paraId="68E0474A" w14:textId="77777777" w:rsidR="00404CD4" w:rsidRPr="00E17456" w:rsidRDefault="00404CD4" w:rsidP="00404CD4">
      <w:pPr>
        <w:pStyle w:val="Call"/>
        <w:rPr>
          <w:lang w:val="es-ES_tradnl"/>
        </w:rPr>
      </w:pPr>
      <w:r w:rsidRPr="00E17456">
        <w:rPr>
          <w:lang w:val="es-ES_tradnl"/>
        </w:rPr>
        <w:lastRenderedPageBreak/>
        <w:t>invita al Consejo de la UIT</w:t>
      </w:r>
    </w:p>
    <w:p w14:paraId="7F1BCCF4" w14:textId="77777777" w:rsidR="00404CD4" w:rsidRPr="00E17456" w:rsidRDefault="00404CD4" w:rsidP="00404CD4">
      <w:pPr>
        <w:rPr>
          <w:lang w:val="es-ES_tradnl"/>
        </w:rPr>
      </w:pPr>
      <w:r w:rsidRPr="00E17456">
        <w:rPr>
          <w:lang w:val="es-ES_tradnl"/>
        </w:rPr>
        <w:t xml:space="preserve">a examinar el Informe del </w:t>
      </w:r>
      <w:proofErr w:type="gramStart"/>
      <w:r w:rsidRPr="00E17456">
        <w:rPr>
          <w:lang w:val="es-ES_tradnl"/>
        </w:rPr>
        <w:t>Director</w:t>
      </w:r>
      <w:proofErr w:type="gramEnd"/>
      <w:r w:rsidRPr="00E17456">
        <w:rPr>
          <w:lang w:val="es-ES_tradnl"/>
        </w:rPr>
        <w:t>,</w:t>
      </w:r>
    </w:p>
    <w:p w14:paraId="68929C22" w14:textId="77777777" w:rsidR="00404CD4" w:rsidRPr="00E17456" w:rsidRDefault="00404CD4" w:rsidP="00404CD4">
      <w:pPr>
        <w:pStyle w:val="Call"/>
        <w:rPr>
          <w:lang w:val="es-ES_tradnl"/>
        </w:rPr>
      </w:pPr>
      <w:r w:rsidRPr="00E17456">
        <w:rPr>
          <w:lang w:val="es-ES_tradnl"/>
        </w:rPr>
        <w:t>invita a los Estados Miembros y Miembros de Sector</w:t>
      </w:r>
    </w:p>
    <w:p w14:paraId="5B7CA8FB" w14:textId="77777777" w:rsidR="00404CD4" w:rsidRPr="00E17456" w:rsidRDefault="00404CD4" w:rsidP="00404CD4">
      <w:pPr>
        <w:keepNext/>
        <w:keepLines/>
        <w:ind w:left="799" w:hanging="799"/>
        <w:rPr>
          <w:lang w:val="es-ES_tradnl" w:eastAsia="es-EC"/>
        </w:rPr>
      </w:pPr>
      <w:r w:rsidRPr="00E17456">
        <w:rPr>
          <w:lang w:val="es-ES_tradnl" w:eastAsia="es-EC"/>
        </w:rPr>
        <w:t>1</w:t>
      </w:r>
      <w:r w:rsidRPr="00E17456">
        <w:rPr>
          <w:lang w:val="es-ES_tradnl" w:eastAsia="es-EC"/>
        </w:rPr>
        <w:tab/>
        <w:t>a contribuir a la aplicación de esta Resolución mediante, entre otras cosas:</w:t>
      </w:r>
    </w:p>
    <w:p w14:paraId="586B7CD9" w14:textId="77777777" w:rsidR="00404CD4" w:rsidRPr="00E17456" w:rsidRDefault="00404CD4" w:rsidP="00404CD4">
      <w:pPr>
        <w:pStyle w:val="enumlev1"/>
        <w:rPr>
          <w:lang w:val="es-ES_tradnl"/>
        </w:rPr>
      </w:pPr>
      <w:r w:rsidRPr="00E17456">
        <w:rPr>
          <w:lang w:val="es-ES_tradnl"/>
        </w:rPr>
        <w:t>i)</w:t>
      </w:r>
      <w:r w:rsidRPr="00E17456">
        <w:rPr>
          <w:lang w:val="es-ES_tradnl"/>
        </w:rPr>
        <w:tab/>
        <w:t>la especificación de requisitos para la realización de pruebas de C+I presentando activamente contribuciones a las Comisiones de Estudio pertinentes;</w:t>
      </w:r>
    </w:p>
    <w:p w14:paraId="2EA17E9A" w14:textId="77777777" w:rsidR="00404CD4" w:rsidRPr="00E17456" w:rsidRDefault="00404CD4" w:rsidP="00404CD4">
      <w:pPr>
        <w:pStyle w:val="enumlev1"/>
        <w:rPr>
          <w:lang w:val="es-ES_tradnl"/>
        </w:rPr>
      </w:pPr>
      <w:r w:rsidRPr="00E17456">
        <w:rPr>
          <w:lang w:val="es-ES_tradnl"/>
        </w:rPr>
        <w:t>ii)</w:t>
      </w:r>
      <w:r w:rsidRPr="00E17456">
        <w:rPr>
          <w:lang w:val="es-ES_tradnl"/>
        </w:rPr>
        <w:tab/>
        <w:t>la consideración de la posibilidad de colaborar en futuras actividades de C+I;</w:t>
      </w:r>
    </w:p>
    <w:p w14:paraId="0482B7C2" w14:textId="77777777" w:rsidR="00404CD4" w:rsidRPr="00E17456" w:rsidRDefault="00404CD4" w:rsidP="00404CD4">
      <w:pPr>
        <w:rPr>
          <w:lang w:val="es-ES_tradnl" w:eastAsia="es-EC"/>
        </w:rPr>
      </w:pPr>
      <w:r w:rsidRPr="00E17456">
        <w:rPr>
          <w:lang w:val="es-ES_tradnl" w:eastAsia="es-EC"/>
        </w:rPr>
        <w:t>2</w:t>
      </w:r>
      <w:r w:rsidRPr="00E17456">
        <w:rPr>
          <w:lang w:val="es-ES_tradnl" w:eastAsia="es-EC"/>
        </w:rPr>
        <w:tab/>
        <w:t>a alentar a los organismos nacionales y regionales encargados de la conformidad de los equipos y sistemas TIC a contribuir a la implementación de esta Resolución;</w:t>
      </w:r>
    </w:p>
    <w:p w14:paraId="25D050D7" w14:textId="77777777" w:rsidR="00404CD4" w:rsidRPr="00E17456" w:rsidRDefault="00404CD4" w:rsidP="00404CD4">
      <w:pPr>
        <w:rPr>
          <w:lang w:val="es-ES_tradnl" w:eastAsia="es-EC"/>
        </w:rPr>
      </w:pPr>
      <w:r w:rsidRPr="00E17456">
        <w:rPr>
          <w:lang w:val="es-ES_tradnl" w:eastAsia="es-EC"/>
        </w:rPr>
        <w:t>3</w:t>
      </w:r>
      <w:r w:rsidRPr="00E17456">
        <w:rPr>
          <w:lang w:val="es-ES_tradnl" w:eastAsia="es-EC"/>
        </w:rPr>
        <w:tab/>
        <w:t>a intercambiar conocimientos en el ámbito de C+I, con objeto de mejorar los conocimientos y compartir experiencias;</w:t>
      </w:r>
    </w:p>
    <w:p w14:paraId="43BA06E5" w14:textId="77777777" w:rsidR="00404CD4" w:rsidRPr="00E17456" w:rsidRDefault="00404CD4" w:rsidP="00404CD4">
      <w:pPr>
        <w:rPr>
          <w:lang w:val="es-ES_tradnl" w:eastAsia="es-EC"/>
        </w:rPr>
      </w:pPr>
      <w:r w:rsidRPr="00E17456">
        <w:rPr>
          <w:lang w:val="es-ES_tradnl" w:eastAsia="es-EC"/>
        </w:rPr>
        <w:t>4</w:t>
      </w:r>
      <w:r w:rsidRPr="00E17456">
        <w:rPr>
          <w:lang w:val="es-ES_tradnl" w:eastAsia="es-EC"/>
        </w:rPr>
        <w:tab/>
        <w:t>a crear el entorno propicio para que los fabricantes de equipos TIC consideren la posibilidad de diseñar y fabricar equipos en países en desarrollo;</w:t>
      </w:r>
    </w:p>
    <w:p w14:paraId="52A76146" w14:textId="77777777" w:rsidR="00404CD4" w:rsidRPr="00E17456" w:rsidRDefault="00404CD4" w:rsidP="00404CD4">
      <w:pPr>
        <w:rPr>
          <w:lang w:val="es-ES_tradnl" w:eastAsia="es-EC"/>
        </w:rPr>
      </w:pPr>
      <w:r w:rsidRPr="00E17456">
        <w:rPr>
          <w:lang w:val="es-ES_tradnl" w:eastAsia="es-EC"/>
        </w:rPr>
        <w:t>5</w:t>
      </w:r>
      <w:r w:rsidRPr="00E17456">
        <w:rPr>
          <w:lang w:val="es-ES_tradnl" w:eastAsia="es-EC"/>
        </w:rPr>
        <w:tab/>
        <w:t>a preparar y mejorar el reconocimiento mutuo de los resultados de las pruebas de C+I, comprendidos los mecanismos y las técnicas de análisis de datos entre distintos centros de pruebas regionales;</w:t>
      </w:r>
    </w:p>
    <w:p w14:paraId="7A4B8B59" w14:textId="77777777" w:rsidR="00404CD4" w:rsidRPr="00E17456" w:rsidRDefault="00404CD4" w:rsidP="00404CD4">
      <w:pPr>
        <w:rPr>
          <w:lang w:val="es-ES_tradnl" w:eastAsia="es-EC"/>
        </w:rPr>
      </w:pPr>
      <w:r w:rsidRPr="00E17456">
        <w:rPr>
          <w:lang w:val="es-ES_tradnl" w:eastAsia="es-EC"/>
        </w:rPr>
        <w:t>6</w:t>
      </w:r>
      <w:r w:rsidRPr="00E17456">
        <w:rPr>
          <w:lang w:val="es-ES_tradnl" w:eastAsia="es-EC"/>
        </w:rPr>
        <w:tab/>
        <w:t>a trabajar de consuno en el combate de equipos falsificados utilizándose de los sistemas de evaluación de la conformidad establecidos nacional y/o regionalmente;</w:t>
      </w:r>
    </w:p>
    <w:p w14:paraId="3F2DDC21" w14:textId="77777777" w:rsidR="00404CD4" w:rsidRPr="00E17456" w:rsidRDefault="00404CD4" w:rsidP="00404CD4">
      <w:pPr>
        <w:rPr>
          <w:lang w:val="es-ES_tradnl" w:eastAsia="es-EC"/>
        </w:rPr>
      </w:pPr>
      <w:r w:rsidRPr="00E17456">
        <w:rPr>
          <w:lang w:val="es-ES_tradnl" w:eastAsia="es-EC"/>
        </w:rPr>
        <w:t>7</w:t>
      </w:r>
      <w:r w:rsidRPr="00E17456">
        <w:rPr>
          <w:lang w:val="es-ES_tradnl" w:eastAsia="es-EC"/>
        </w:rPr>
        <w:tab/>
        <w:t>a evaluar los riesgos y costes resultantes de la falta de conformidad con normas internacionales aceptables, especialmente en los países en desarrollo, y a compartir la información y las recomendaciones necesarias sobre prácticas óptimas, con el fin de evitar pérdidas,</w:t>
      </w:r>
    </w:p>
    <w:p w14:paraId="5D62AF22" w14:textId="77777777" w:rsidR="00404CD4" w:rsidRPr="00E17456" w:rsidRDefault="00404CD4" w:rsidP="00404CD4">
      <w:pPr>
        <w:pStyle w:val="Call"/>
        <w:rPr>
          <w:lang w:val="es-ES_tradnl"/>
        </w:rPr>
      </w:pPr>
      <w:r w:rsidRPr="00E17456">
        <w:rPr>
          <w:lang w:val="es-ES_tradnl"/>
        </w:rPr>
        <w:t>invita a las organizaciones pertinentes en virtud de la Recomendación UIT</w:t>
      </w:r>
      <w:r w:rsidRPr="00E17456">
        <w:rPr>
          <w:lang w:val="es-ES_tradnl"/>
        </w:rPr>
        <w:noBreakHyphen/>
        <w:t>T A.5</w:t>
      </w:r>
    </w:p>
    <w:p w14:paraId="2DE5A0B1" w14:textId="77777777" w:rsidR="00404CD4" w:rsidRPr="00E17456" w:rsidRDefault="00404CD4" w:rsidP="00404CD4">
      <w:pPr>
        <w:rPr>
          <w:lang w:val="es-ES_tradnl"/>
        </w:rPr>
      </w:pPr>
      <w:r w:rsidRPr="00E17456">
        <w:rPr>
          <w:lang w:val="es-ES_tradnl"/>
        </w:rPr>
        <w:t xml:space="preserve">en colaboración con el </w:t>
      </w:r>
      <w:proofErr w:type="gramStart"/>
      <w:r w:rsidRPr="00E17456">
        <w:rPr>
          <w:lang w:val="es-ES_tradnl"/>
        </w:rPr>
        <w:t>Director</w:t>
      </w:r>
      <w:proofErr w:type="gramEnd"/>
      <w:r w:rsidRPr="00E17456">
        <w:rPr>
          <w:lang w:val="es-ES_tradnl"/>
        </w:rPr>
        <w:t xml:space="preserve"> de la BDT y el Director de la TSB, y de acuerdo con la Resolución 177 (Rev. Dubái, 2018) sobre </w:t>
      </w:r>
      <w:r w:rsidRPr="00E17456">
        <w:rPr>
          <w:rFonts w:eastAsia="TimesNewRoman"/>
          <w:lang w:val="es-ES_tradnl" w:eastAsia="zh-CN"/>
        </w:rPr>
        <w:t>C+I</w:t>
      </w:r>
      <w:r w:rsidRPr="00E17456">
        <w:rPr>
          <w:lang w:val="es-ES_tradnl"/>
        </w:rPr>
        <w:t>, a participar en la capacitación para llevar a cabo pruebas de C+I, incluida la formación.</w:t>
      </w:r>
    </w:p>
    <w:p w14:paraId="5D526B02" w14:textId="77777777" w:rsidR="00404CD4" w:rsidRDefault="00404CD4" w:rsidP="00404CD4">
      <w:pPr>
        <w:rPr>
          <w:lang w:val="es-ES_tradnl"/>
        </w:rPr>
      </w:pPr>
    </w:p>
    <w:p w14:paraId="3DE01B38" w14:textId="77777777" w:rsidR="00404CD4" w:rsidRDefault="00404CD4" w:rsidP="00404CD4">
      <w:pPr>
        <w:rPr>
          <w:lang w:val="es-ES_tradnl"/>
        </w:rPr>
      </w:pPr>
    </w:p>
    <w:p w14:paraId="598117F9" w14:textId="77777777" w:rsidR="00404CD4" w:rsidRDefault="00404CD4" w:rsidP="00404CD4">
      <w:pPr>
        <w:rPr>
          <w:lang w:val="es-ES_tradnl"/>
        </w:rPr>
      </w:pPr>
    </w:p>
    <w:p w14:paraId="4881831F" w14:textId="77777777" w:rsidR="00404CD4" w:rsidRPr="00E17456" w:rsidRDefault="00404CD4" w:rsidP="00404CD4">
      <w:pPr>
        <w:rPr>
          <w:lang w:val="es-ES_tradnl"/>
        </w:rPr>
      </w:pPr>
    </w:p>
    <w:p w14:paraId="28AE46E1" w14:textId="77777777" w:rsidR="00201FFB" w:rsidRPr="00404CD4" w:rsidRDefault="00201FFB">
      <w:pPr>
        <w:rPr>
          <w:lang w:val="es-ES_tradnl"/>
        </w:rPr>
      </w:pPr>
    </w:p>
    <w:sectPr w:rsidR="00201FFB" w:rsidRPr="00404CD4" w:rsidSect="00404CD4">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274B2" w14:textId="77777777" w:rsidR="00404CD4" w:rsidRDefault="00404CD4" w:rsidP="00404CD4">
      <w:pPr>
        <w:spacing w:before="0"/>
      </w:pPr>
      <w:r>
        <w:separator/>
      </w:r>
    </w:p>
  </w:endnote>
  <w:endnote w:type="continuationSeparator" w:id="0">
    <w:p w14:paraId="7567D3EE" w14:textId="77777777" w:rsidR="00404CD4" w:rsidRDefault="00404CD4" w:rsidP="00404CD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9BE4" w14:textId="77777777" w:rsidR="00404CD4" w:rsidRDefault="00404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DB10" w14:textId="77777777" w:rsidR="00404CD4" w:rsidRDefault="00404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0C63" w14:textId="77777777" w:rsidR="00404CD4" w:rsidRDefault="00404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FA64A" w14:textId="77777777" w:rsidR="00404CD4" w:rsidRDefault="00404CD4" w:rsidP="00404CD4">
      <w:pPr>
        <w:spacing w:before="0"/>
      </w:pPr>
      <w:r>
        <w:separator/>
      </w:r>
    </w:p>
  </w:footnote>
  <w:footnote w:type="continuationSeparator" w:id="0">
    <w:p w14:paraId="78998058" w14:textId="77777777" w:rsidR="00404CD4" w:rsidRDefault="00404CD4" w:rsidP="00404CD4">
      <w:pPr>
        <w:spacing w:before="0"/>
      </w:pPr>
      <w:r>
        <w:continuationSeparator/>
      </w:r>
    </w:p>
  </w:footnote>
  <w:footnote w:id="1">
    <w:p w14:paraId="2B902A09" w14:textId="77777777" w:rsidR="00404CD4" w:rsidRPr="00EF1565" w:rsidRDefault="00404CD4" w:rsidP="00404CD4">
      <w:pPr>
        <w:pStyle w:val="FootnoteText"/>
        <w:rPr>
          <w:lang w:val="es-ES"/>
        </w:rPr>
      </w:pPr>
      <w:r w:rsidRPr="00E20F5B">
        <w:rPr>
          <w:rStyle w:val="FootnoteReference"/>
          <w:lang w:val="es-ES"/>
        </w:rPr>
        <w:t>1</w:t>
      </w:r>
      <w:r w:rsidRPr="00E20F5B">
        <w:rPr>
          <w:lang w:val="es-ES"/>
        </w:rPr>
        <w:t xml:space="preserve"> </w:t>
      </w:r>
      <w:r>
        <w:rPr>
          <w:lang w:val="es-ES"/>
        </w:rPr>
        <w:tab/>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58977559"/>
      <w:docPartObj>
        <w:docPartGallery w:val="Page Numbers (Top of Page)"/>
        <w:docPartUnique/>
      </w:docPartObj>
    </w:sdtPr>
    <w:sdtEndPr>
      <w:rPr>
        <w:noProof/>
      </w:rPr>
    </w:sdtEndPr>
    <w:sdtContent>
      <w:p w14:paraId="5EA9C2B1" w14:textId="0A8A520D" w:rsidR="00404CD4" w:rsidRPr="00404CD4" w:rsidRDefault="00F5645D" w:rsidP="00F5645D">
        <w:pPr>
          <w:tabs>
            <w:tab w:val="clear" w:pos="1134"/>
            <w:tab w:val="clear" w:pos="1871"/>
            <w:tab w:val="clear" w:pos="2268"/>
            <w:tab w:val="left" w:pos="567"/>
            <w:tab w:val="left" w:pos="851"/>
          </w:tabs>
          <w:overflowPunct/>
          <w:autoSpaceDE/>
          <w:autoSpaceDN/>
          <w:adjustRightInd/>
          <w:spacing w:before="0" w:after="120" w:line="259" w:lineRule="auto"/>
          <w:textAlignment w:val="auto"/>
          <w:rPr>
            <w:sz w:val="16"/>
            <w:szCs w:val="16"/>
            <w:lang w:val="es-ES"/>
          </w:rPr>
        </w:pPr>
        <w:r w:rsidRPr="00C9093A">
          <w:rPr>
            <w:sz w:val="16"/>
            <w:szCs w:val="16"/>
          </w:rPr>
          <w:fldChar w:fldCharType="begin"/>
        </w:r>
        <w:r w:rsidRPr="00A13EB0">
          <w:rPr>
            <w:sz w:val="16"/>
            <w:szCs w:val="16"/>
            <w:lang w:val="es-ES"/>
          </w:rPr>
          <w:instrText xml:space="preserve"> PAGE   \* MERGEFORMAT </w:instrText>
        </w:r>
        <w:r w:rsidRPr="00C9093A">
          <w:rPr>
            <w:sz w:val="16"/>
            <w:szCs w:val="16"/>
          </w:rPr>
          <w:fldChar w:fldCharType="separate"/>
        </w:r>
        <w:r w:rsidRPr="00F5645D">
          <w:rPr>
            <w:sz w:val="16"/>
            <w:szCs w:val="16"/>
            <w:lang w:val="es-ES"/>
          </w:rPr>
          <w:t>2</w:t>
        </w:r>
        <w:r w:rsidRPr="00C9093A">
          <w:rPr>
            <w:noProof/>
            <w:sz w:val="16"/>
            <w:szCs w:val="16"/>
          </w:rPr>
          <w:fldChar w:fldCharType="end"/>
        </w:r>
        <w:r>
          <w:rPr>
            <w:sz w:val="16"/>
            <w:szCs w:val="16"/>
          </w:rPr>
          <w:tab/>
        </w:r>
        <w:r w:rsidR="00404CD4" w:rsidRPr="00A13EB0">
          <w:rPr>
            <w:sz w:val="16"/>
            <w:szCs w:val="16"/>
            <w:lang w:val="es-ES"/>
          </w:rPr>
          <w:t>Informe final de la CMDT-22 – Parte IV – Resolución 47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514537914"/>
      <w:docPartObj>
        <w:docPartGallery w:val="Page Numbers (Top of Page)"/>
        <w:docPartUnique/>
      </w:docPartObj>
    </w:sdtPr>
    <w:sdtEndPr>
      <w:rPr>
        <w:noProof/>
      </w:rPr>
    </w:sdtEndPr>
    <w:sdtContent>
      <w:p w14:paraId="36E40016" w14:textId="6A4F0E2B" w:rsidR="00404CD4" w:rsidRPr="00404CD4" w:rsidRDefault="00F5645D" w:rsidP="00F5645D">
        <w:pPr>
          <w:pStyle w:val="Header"/>
          <w:tabs>
            <w:tab w:val="clear" w:pos="4513"/>
            <w:tab w:val="clear" w:pos="9026"/>
            <w:tab w:val="left" w:pos="567"/>
            <w:tab w:val="right" w:pos="9072"/>
            <w:tab w:val="right" w:pos="9639"/>
          </w:tabs>
          <w:spacing w:before="120"/>
          <w:jc w:val="left"/>
          <w:rPr>
            <w:sz w:val="16"/>
            <w:szCs w:val="16"/>
            <w:lang w:val="es-ES"/>
          </w:rPr>
        </w:pPr>
        <w:r>
          <w:rPr>
            <w:sz w:val="16"/>
            <w:szCs w:val="16"/>
          </w:rPr>
          <w:tab/>
        </w:r>
        <w:r>
          <w:rPr>
            <w:sz w:val="16"/>
            <w:szCs w:val="16"/>
          </w:rPr>
          <w:tab/>
        </w:r>
        <w:r w:rsidR="00404CD4" w:rsidRPr="00A13EB0">
          <w:rPr>
            <w:sz w:val="16"/>
            <w:szCs w:val="16"/>
            <w:lang w:val="es-ES"/>
          </w:rPr>
          <w:t>Informe final de la CMDT-22 – Parte IV – Resolución 47</w:t>
        </w:r>
        <w:r w:rsidR="00404CD4" w:rsidRPr="00A13EB0">
          <w:rPr>
            <w:sz w:val="16"/>
            <w:szCs w:val="16"/>
            <w:lang w:val="es-ES"/>
          </w:rPr>
          <w:tab/>
        </w:r>
        <w:r w:rsidR="00404CD4" w:rsidRPr="00C9093A">
          <w:rPr>
            <w:sz w:val="16"/>
            <w:szCs w:val="16"/>
          </w:rPr>
          <w:fldChar w:fldCharType="begin"/>
        </w:r>
        <w:r w:rsidR="00404CD4" w:rsidRPr="00A13EB0">
          <w:rPr>
            <w:sz w:val="16"/>
            <w:szCs w:val="16"/>
            <w:lang w:val="es-ES"/>
          </w:rPr>
          <w:instrText xml:space="preserve"> PAGE   \* MERGEFORMAT </w:instrText>
        </w:r>
        <w:r w:rsidR="00404CD4" w:rsidRPr="00C9093A">
          <w:rPr>
            <w:sz w:val="16"/>
            <w:szCs w:val="16"/>
          </w:rPr>
          <w:fldChar w:fldCharType="separate"/>
        </w:r>
        <w:r w:rsidR="00404CD4" w:rsidRPr="00404CD4">
          <w:rPr>
            <w:sz w:val="16"/>
            <w:szCs w:val="16"/>
            <w:lang w:val="es-ES"/>
          </w:rPr>
          <w:t>1</w:t>
        </w:r>
        <w:r w:rsidR="00404CD4" w:rsidRPr="00C9093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5013" w14:textId="77777777" w:rsidR="00404CD4" w:rsidRDefault="00404C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D4"/>
    <w:rsid w:val="00033661"/>
    <w:rsid w:val="00201FFB"/>
    <w:rsid w:val="003C321F"/>
    <w:rsid w:val="00404CD4"/>
    <w:rsid w:val="005809C6"/>
    <w:rsid w:val="005F322B"/>
    <w:rsid w:val="00623374"/>
    <w:rsid w:val="008A4CA6"/>
    <w:rsid w:val="00A532C9"/>
    <w:rsid w:val="00A74923"/>
    <w:rsid w:val="00A96FB2"/>
    <w:rsid w:val="00AC35D4"/>
    <w:rsid w:val="00B0107E"/>
    <w:rsid w:val="00BF353A"/>
    <w:rsid w:val="00D27EFC"/>
    <w:rsid w:val="00DC6ABD"/>
    <w:rsid w:val="00EA2213"/>
    <w:rsid w:val="00F56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5BEA"/>
  <w15:chartTrackingRefBased/>
  <w15:docId w15:val="{D3D6DA27-99F5-495F-A7C0-A384E1B9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CD4"/>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sz w:val="24"/>
      <w:szCs w:val="20"/>
    </w:rPr>
  </w:style>
  <w:style w:type="paragraph" w:styleId="Heading1">
    <w:name w:val="heading 1"/>
    <w:basedOn w:val="ListParagraph"/>
    <w:next w:val="Normal"/>
    <w:link w:val="Heading1Char"/>
    <w:qFormat/>
    <w:rsid w:val="00B0107E"/>
    <w:pPr>
      <w:spacing w:after="120"/>
      <w:ind w:left="0"/>
      <w:contextualSpacing w:val="0"/>
      <w:outlineLvl w:val="0"/>
    </w:pPr>
    <w:rPr>
      <w:bCs/>
      <w:color w:val="2F5496" w:themeColor="accent1" w:themeShade="BF"/>
      <w:sz w:val="28"/>
      <w:szCs w:val="28"/>
    </w:rPr>
  </w:style>
  <w:style w:type="paragraph" w:styleId="Heading2">
    <w:name w:val="heading 2"/>
    <w:basedOn w:val="Normal"/>
    <w:next w:val="Normal"/>
    <w:link w:val="Heading2Char"/>
    <w:qFormat/>
    <w:rsid w:val="00B0107E"/>
    <w:pPr>
      <w:keepNext/>
      <w:tabs>
        <w:tab w:val="clear" w:pos="1134"/>
        <w:tab w:val="clear" w:pos="1871"/>
        <w:tab w:val="clear" w:pos="2268"/>
      </w:tabs>
      <w:overflowPunct/>
      <w:autoSpaceDE/>
      <w:autoSpaceDN/>
      <w:adjustRightInd/>
      <w:spacing w:before="240" w:after="60" w:line="259" w:lineRule="auto"/>
      <w:jc w:val="left"/>
      <w:textAlignment w:val="auto"/>
      <w:outlineLvl w:val="1"/>
    </w:pPr>
    <w:rPr>
      <w:rFonts w:cstheme="minorBidi"/>
      <w:bCs/>
      <w:iCs/>
      <w:color w:val="2F5496" w:themeColor="accent1" w:themeShade="BF"/>
      <w:sz w:val="22"/>
      <w:szCs w:val="26"/>
      <w:lang w:val="en-US" w:eastAsia="zh-CN"/>
    </w:rPr>
  </w:style>
  <w:style w:type="paragraph" w:styleId="Heading3">
    <w:name w:val="heading 3"/>
    <w:basedOn w:val="Normal"/>
    <w:next w:val="Normal"/>
    <w:link w:val="Heading3Char"/>
    <w:rsid w:val="00B0107E"/>
    <w:pPr>
      <w:keepNext/>
      <w:tabs>
        <w:tab w:val="clear" w:pos="1134"/>
        <w:tab w:val="clear" w:pos="1871"/>
        <w:tab w:val="clear" w:pos="2268"/>
        <w:tab w:val="left" w:pos="794"/>
        <w:tab w:val="left" w:pos="1191"/>
        <w:tab w:val="left" w:pos="1588"/>
        <w:tab w:val="left" w:pos="1985"/>
      </w:tabs>
      <w:autoSpaceDE/>
      <w:autoSpaceDN/>
      <w:adjustRightInd/>
      <w:spacing w:before="160" w:after="160" w:line="259" w:lineRule="auto"/>
      <w:jc w:val="left"/>
      <w:outlineLvl w:val="2"/>
    </w:pPr>
    <w:rPr>
      <w:rFonts w:eastAsiaTheme="minorHAnsi" w:cstheme="minorBidi"/>
      <w:color w:val="2F5496" w:themeColor="accent1" w:themeShade="BF"/>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MatterTitleLeftAligned">
    <w:name w:val="Front_Matter_Title_Left_Aligned"/>
    <w:basedOn w:val="Normal"/>
    <w:rsid w:val="00A96FB2"/>
    <w:pPr>
      <w:tabs>
        <w:tab w:val="clear" w:pos="1134"/>
        <w:tab w:val="clear" w:pos="1871"/>
        <w:tab w:val="clear" w:pos="2268"/>
      </w:tabs>
      <w:overflowPunct/>
      <w:autoSpaceDE/>
      <w:autoSpaceDN/>
      <w:adjustRightInd/>
      <w:spacing w:before="360" w:after="240" w:line="259" w:lineRule="auto"/>
      <w:jc w:val="left"/>
      <w:textAlignment w:val="auto"/>
    </w:pPr>
    <w:rPr>
      <w:rFonts w:eastAsiaTheme="minorEastAsia" w:cs="Calibri"/>
      <w:color w:val="0070C0"/>
      <w:sz w:val="28"/>
      <w:szCs w:val="22"/>
      <w:lang w:val="en-US" w:eastAsia="es-ES"/>
    </w:rPr>
  </w:style>
  <w:style w:type="character" w:customStyle="1" w:styleId="Heading1Char">
    <w:name w:val="Heading 1 Char"/>
    <w:basedOn w:val="DefaultParagraphFont"/>
    <w:link w:val="Heading1"/>
    <w:rsid w:val="00B0107E"/>
    <w:rPr>
      <w:bCs/>
      <w:color w:val="2F5496" w:themeColor="accent1" w:themeShade="BF"/>
      <w:sz w:val="28"/>
      <w:szCs w:val="28"/>
    </w:rPr>
  </w:style>
  <w:style w:type="paragraph" w:styleId="ListParagraph">
    <w:name w:val="List Paragraph"/>
    <w:basedOn w:val="Normal"/>
    <w:uiPriority w:val="34"/>
    <w:qFormat/>
    <w:rsid w:val="00B0107E"/>
    <w:pPr>
      <w:tabs>
        <w:tab w:val="clear" w:pos="1134"/>
        <w:tab w:val="clear" w:pos="1871"/>
        <w:tab w:val="clear" w:pos="2268"/>
      </w:tabs>
      <w:overflowPunct/>
      <w:autoSpaceDE/>
      <w:autoSpaceDN/>
      <w:adjustRightInd/>
      <w:spacing w:before="0" w:after="160" w:line="259" w:lineRule="auto"/>
      <w:ind w:left="720"/>
      <w:contextualSpacing/>
      <w:jc w:val="left"/>
      <w:textAlignment w:val="auto"/>
    </w:pPr>
    <w:rPr>
      <w:rFonts w:eastAsiaTheme="minorEastAsia" w:cstheme="minorBidi"/>
      <w:sz w:val="22"/>
      <w:szCs w:val="22"/>
      <w:lang w:val="en-US" w:eastAsia="zh-CN"/>
    </w:rPr>
  </w:style>
  <w:style w:type="character" w:customStyle="1" w:styleId="Heading2Char">
    <w:name w:val="Heading 2 Char"/>
    <w:basedOn w:val="DefaultParagraphFont"/>
    <w:link w:val="Heading2"/>
    <w:rsid w:val="00B0107E"/>
    <w:rPr>
      <w:rFonts w:eastAsia="Times New Roman" w:cs="Arial"/>
      <w:bCs/>
      <w:iCs/>
      <w:color w:val="2F5496" w:themeColor="accent1" w:themeShade="BF"/>
      <w:szCs w:val="26"/>
    </w:rPr>
  </w:style>
  <w:style w:type="paragraph" w:customStyle="1" w:styleId="Figuretitle">
    <w:name w:val="Figure title"/>
    <w:basedOn w:val="Normal"/>
    <w:next w:val="Normal"/>
    <w:rsid w:val="00B0107E"/>
    <w:pPr>
      <w:tabs>
        <w:tab w:val="clear" w:pos="1134"/>
        <w:tab w:val="clear" w:pos="1871"/>
        <w:tab w:val="clear" w:pos="2268"/>
      </w:tabs>
      <w:overflowPunct/>
      <w:autoSpaceDE/>
      <w:autoSpaceDN/>
      <w:adjustRightInd/>
      <w:spacing w:before="0" w:after="120" w:line="259" w:lineRule="auto"/>
      <w:contextualSpacing/>
      <w:jc w:val="left"/>
      <w:textAlignment w:val="auto"/>
    </w:pPr>
    <w:rPr>
      <w:rFonts w:eastAsiaTheme="minorEastAsia" w:cstheme="minorBidi"/>
      <w:color w:val="365F91"/>
      <w:szCs w:val="56"/>
      <w:lang w:val="en-US" w:eastAsia="zh-CN"/>
    </w:rPr>
  </w:style>
  <w:style w:type="paragraph" w:customStyle="1" w:styleId="Alternativetext">
    <w:name w:val="Alternative text"/>
    <w:basedOn w:val="Normal"/>
    <w:autoRedefine/>
    <w:rsid w:val="00EA2213"/>
    <w:pPr>
      <w:tabs>
        <w:tab w:val="clear" w:pos="1134"/>
        <w:tab w:val="clear" w:pos="1871"/>
        <w:tab w:val="clear" w:pos="2268"/>
      </w:tabs>
      <w:overflowPunct/>
      <w:autoSpaceDE/>
      <w:autoSpaceDN/>
      <w:adjustRightInd/>
      <w:spacing w:after="120" w:line="259" w:lineRule="auto"/>
      <w:jc w:val="center"/>
      <w:textAlignment w:val="auto"/>
    </w:pPr>
    <w:rPr>
      <w:rFonts w:eastAsiaTheme="minorEastAsia" w:cstheme="minorHAnsi"/>
      <w:i/>
      <w:color w:val="FFC000"/>
      <w:sz w:val="18"/>
      <w:szCs w:val="24"/>
      <w:lang w:val="en-US" w:eastAsia="zh-CN"/>
    </w:rPr>
  </w:style>
  <w:style w:type="paragraph" w:customStyle="1" w:styleId="Tabletitle">
    <w:name w:val="Table title"/>
    <w:basedOn w:val="Normal"/>
    <w:next w:val="Normal"/>
    <w:rsid w:val="00B0107E"/>
    <w:pPr>
      <w:tabs>
        <w:tab w:val="clear" w:pos="1134"/>
        <w:tab w:val="clear" w:pos="1871"/>
        <w:tab w:val="clear" w:pos="2268"/>
      </w:tabs>
      <w:overflowPunct/>
      <w:autoSpaceDE/>
      <w:autoSpaceDN/>
      <w:adjustRightInd/>
      <w:spacing w:before="0" w:after="160" w:line="259" w:lineRule="auto"/>
      <w:contextualSpacing/>
      <w:jc w:val="left"/>
      <w:textAlignment w:val="auto"/>
    </w:pPr>
    <w:rPr>
      <w:rFonts w:eastAsiaTheme="minorEastAsia" w:cstheme="minorBidi"/>
      <w:color w:val="2F5496" w:themeColor="accent1" w:themeShade="BF"/>
      <w:szCs w:val="56"/>
      <w:lang w:val="en-US" w:eastAsia="zh-CN"/>
    </w:rPr>
  </w:style>
  <w:style w:type="paragraph" w:customStyle="1" w:styleId="Tabletext">
    <w:name w:val="Table text"/>
    <w:basedOn w:val="Normal"/>
    <w:rsid w:val="00B0107E"/>
    <w:pPr>
      <w:tabs>
        <w:tab w:val="clear" w:pos="1134"/>
        <w:tab w:val="clear" w:pos="1871"/>
        <w:tab w:val="clear" w:pos="2268"/>
      </w:tabs>
      <w:overflowPunct/>
      <w:autoSpaceDE/>
      <w:autoSpaceDN/>
      <w:adjustRightInd/>
      <w:spacing w:before="40" w:after="160" w:line="259" w:lineRule="auto"/>
      <w:ind w:left="57"/>
      <w:contextualSpacing/>
      <w:jc w:val="left"/>
      <w:textAlignment w:val="auto"/>
    </w:pPr>
    <w:rPr>
      <w:rFonts w:eastAsiaTheme="minorEastAsia" w:cstheme="minorBidi"/>
      <w:sz w:val="22"/>
      <w:szCs w:val="56"/>
      <w:lang w:val="en-US" w:eastAsia="zh-CN"/>
    </w:rPr>
  </w:style>
  <w:style w:type="paragraph" w:customStyle="1" w:styleId="Tablehead">
    <w:name w:val="Table head"/>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b/>
      <w:sz w:val="22"/>
      <w:szCs w:val="56"/>
      <w:lang w:val="en-US" w:eastAsia="zh-CN"/>
    </w:rPr>
  </w:style>
  <w:style w:type="character" w:customStyle="1" w:styleId="StyleBoldBold">
    <w:name w:val="Style Bold + Bold"/>
    <w:basedOn w:val="DefaultParagraphFont"/>
    <w:rsid w:val="00B0107E"/>
    <w:rPr>
      <w:b/>
      <w:bCs/>
      <w:sz w:val="20"/>
      <w:szCs w:val="24"/>
    </w:rPr>
  </w:style>
  <w:style w:type="paragraph" w:customStyle="1" w:styleId="Tablebullet">
    <w:name w:val="Table bullet"/>
    <w:basedOn w:val="Normal"/>
    <w:rsid w:val="00B0107E"/>
    <w:pPr>
      <w:tabs>
        <w:tab w:val="clear" w:pos="1134"/>
        <w:tab w:val="clear" w:pos="1871"/>
        <w:tab w:val="clear" w:pos="2268"/>
      </w:tabs>
      <w:overflowPunct/>
      <w:autoSpaceDE/>
      <w:autoSpaceDN/>
      <w:adjustRightInd/>
      <w:spacing w:before="40" w:after="160" w:line="259" w:lineRule="auto"/>
      <w:contextualSpacing/>
      <w:jc w:val="left"/>
      <w:textAlignment w:val="auto"/>
    </w:pPr>
    <w:rPr>
      <w:rFonts w:eastAsiaTheme="minorEastAsia" w:cstheme="minorBidi"/>
      <w:sz w:val="22"/>
      <w:szCs w:val="56"/>
      <w:lang w:val="en-US" w:eastAsia="zh-CN"/>
    </w:rPr>
  </w:style>
  <w:style w:type="character" w:customStyle="1" w:styleId="StyleBoldBold1">
    <w:name w:val="Style Bold + Bold1"/>
    <w:basedOn w:val="DefaultParagraphFont"/>
    <w:rsid w:val="00B0107E"/>
    <w:rPr>
      <w:b/>
      <w:bCs/>
      <w:sz w:val="20"/>
      <w:szCs w:val="24"/>
    </w:rPr>
  </w:style>
  <w:style w:type="paragraph" w:customStyle="1" w:styleId="StyleTablebulletLeft0cmHanging051cm">
    <w:name w:val="Style Table bullet + Left:  0 cm Hanging:  0.51 cm"/>
    <w:basedOn w:val="Tablebullet"/>
    <w:rsid w:val="00B0107E"/>
    <w:pPr>
      <w:ind w:left="288" w:hanging="288"/>
    </w:pPr>
    <w:rPr>
      <w:rFonts w:eastAsia="Times New Roman"/>
      <w:szCs w:val="20"/>
    </w:rPr>
  </w:style>
  <w:style w:type="paragraph" w:customStyle="1" w:styleId="StyleTabletextBoldLeft01cm">
    <w:name w:val="Style Table text + Bold Left:  0.1 cm"/>
    <w:basedOn w:val="Tabletext"/>
    <w:rsid w:val="00B0107E"/>
    <w:rPr>
      <w:rFonts w:eastAsia="Times New Roman"/>
      <w:b/>
      <w:bCs/>
      <w:szCs w:val="20"/>
    </w:rPr>
  </w:style>
  <w:style w:type="paragraph" w:customStyle="1" w:styleId="Tableheadcentredwhite">
    <w:name w:val="Table head centred white"/>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b/>
      <w:sz w:val="22"/>
      <w:szCs w:val="56"/>
      <w:lang w:val="en-US" w:eastAsia="zh-CN"/>
    </w:rPr>
  </w:style>
  <w:style w:type="paragraph" w:customStyle="1" w:styleId="Tabletextcentred">
    <w:name w:val="Table text centred"/>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sz w:val="22"/>
      <w:szCs w:val="56"/>
      <w:lang w:val="en-US" w:eastAsia="zh-CN"/>
    </w:rPr>
  </w:style>
  <w:style w:type="character" w:customStyle="1" w:styleId="Heading3Char">
    <w:name w:val="Heading 3 Char"/>
    <w:basedOn w:val="DefaultParagraphFont"/>
    <w:link w:val="Heading3"/>
    <w:rsid w:val="00B0107E"/>
    <w:rPr>
      <w:color w:val="2F5496" w:themeColor="accent1" w:themeShade="BF"/>
    </w:rPr>
  </w:style>
  <w:style w:type="character" w:customStyle="1" w:styleId="Colored-Normal">
    <w:name w:val="Colored - Normal"/>
    <w:rsid w:val="00B0107E"/>
    <w:rPr>
      <w:color w:val="365F91"/>
      <w:sz w:val="22"/>
      <w:szCs w:val="24"/>
    </w:rPr>
  </w:style>
  <w:style w:type="paragraph" w:customStyle="1" w:styleId="Bulletlist2">
    <w:name w:val="Bullet list 2"/>
    <w:basedOn w:val="Normal"/>
    <w:rsid w:val="008A4CA6"/>
    <w:pPr>
      <w:tabs>
        <w:tab w:val="clear" w:pos="1134"/>
        <w:tab w:val="clear" w:pos="1871"/>
        <w:tab w:val="clear" w:pos="2268"/>
      </w:tabs>
      <w:overflowPunct/>
      <w:autoSpaceDE/>
      <w:autoSpaceDN/>
      <w:adjustRightInd/>
      <w:spacing w:before="0" w:after="160" w:line="259" w:lineRule="auto"/>
      <w:contextualSpacing/>
      <w:jc w:val="left"/>
      <w:textAlignment w:val="auto"/>
    </w:pPr>
    <w:rPr>
      <w:rFonts w:eastAsiaTheme="minorEastAsia" w:cstheme="minorBidi"/>
      <w:sz w:val="22"/>
      <w:szCs w:val="56"/>
      <w:lang w:val="en-US" w:eastAsia="zh-CN"/>
    </w:rPr>
  </w:style>
  <w:style w:type="paragraph" w:customStyle="1" w:styleId="Bulletlist3">
    <w:name w:val="Bullet list 3"/>
    <w:basedOn w:val="Normal"/>
    <w:rsid w:val="008A4CA6"/>
    <w:pPr>
      <w:tabs>
        <w:tab w:val="clear" w:pos="1134"/>
        <w:tab w:val="clear" w:pos="1871"/>
        <w:tab w:val="clear" w:pos="2268"/>
      </w:tabs>
      <w:overflowPunct/>
      <w:autoSpaceDE/>
      <w:autoSpaceDN/>
      <w:adjustRightInd/>
      <w:spacing w:before="0" w:after="160" w:line="259" w:lineRule="auto"/>
      <w:contextualSpacing/>
      <w:jc w:val="right"/>
      <w:textAlignment w:val="auto"/>
    </w:pPr>
    <w:rPr>
      <w:rFonts w:eastAsiaTheme="minorEastAsia" w:cstheme="minorBidi"/>
      <w:sz w:val="22"/>
      <w:szCs w:val="56"/>
      <w:lang w:val="en-US" w:eastAsia="zh-CN"/>
    </w:rPr>
  </w:style>
  <w:style w:type="paragraph" w:customStyle="1" w:styleId="HeadingSum">
    <w:name w:val="Heading_Sum"/>
    <w:basedOn w:val="Normal"/>
    <w:next w:val="Normal"/>
    <w:autoRedefine/>
    <w:rsid w:val="00BF353A"/>
    <w:pPr>
      <w:keepNext/>
      <w:keepLines/>
      <w:tabs>
        <w:tab w:val="clear" w:pos="1134"/>
        <w:tab w:val="clear" w:pos="1871"/>
        <w:tab w:val="clear" w:pos="2268"/>
        <w:tab w:val="left" w:pos="794"/>
        <w:tab w:val="left" w:pos="1191"/>
        <w:tab w:val="left" w:pos="1588"/>
        <w:tab w:val="left" w:pos="1985"/>
      </w:tabs>
      <w:autoSpaceDE/>
      <w:autoSpaceDN/>
      <w:adjustRightInd/>
      <w:spacing w:before="240" w:after="160" w:line="259" w:lineRule="auto"/>
    </w:pPr>
    <w:rPr>
      <w:rFonts w:ascii="Times New Roman" w:hAnsi="Times New Roman" w:cstheme="minorBidi"/>
      <w:b/>
      <w:sz w:val="22"/>
      <w:lang w:val="es-ES_tradnl" w:eastAsia="zh-CN"/>
    </w:rPr>
  </w:style>
  <w:style w:type="paragraph" w:customStyle="1" w:styleId="Summary">
    <w:name w:val="Summary"/>
    <w:basedOn w:val="Normal"/>
    <w:next w:val="Normal"/>
    <w:autoRedefine/>
    <w:rsid w:val="00BF353A"/>
    <w:pPr>
      <w:tabs>
        <w:tab w:val="clear" w:pos="1134"/>
        <w:tab w:val="clear" w:pos="1871"/>
        <w:tab w:val="clear" w:pos="2268"/>
        <w:tab w:val="left" w:pos="794"/>
        <w:tab w:val="left" w:pos="1191"/>
        <w:tab w:val="left" w:pos="1588"/>
        <w:tab w:val="left" w:pos="1985"/>
      </w:tabs>
      <w:autoSpaceDE/>
      <w:autoSpaceDN/>
      <w:adjustRightInd/>
      <w:spacing w:before="0" w:after="480" w:line="259" w:lineRule="auto"/>
    </w:pPr>
    <w:rPr>
      <w:rFonts w:ascii="Times New Roman" w:hAnsi="Times New Roman" w:cstheme="minorBidi"/>
      <w:sz w:val="22"/>
      <w:lang w:val="es-ES_tradnl" w:eastAsia="zh-CN"/>
    </w:rPr>
  </w:style>
  <w:style w:type="paragraph" w:customStyle="1" w:styleId="Bulletlist1">
    <w:name w:val="Bullet list 1"/>
    <w:basedOn w:val="Normal"/>
    <w:autoRedefine/>
    <w:rsid w:val="00EA2213"/>
    <w:pPr>
      <w:tabs>
        <w:tab w:val="clear" w:pos="1134"/>
        <w:tab w:val="clear" w:pos="1871"/>
        <w:tab w:val="clear" w:pos="2268"/>
      </w:tabs>
      <w:overflowPunct/>
      <w:autoSpaceDE/>
      <w:autoSpaceDN/>
      <w:adjustRightInd/>
      <w:spacing w:before="0" w:after="160" w:line="259" w:lineRule="auto"/>
      <w:jc w:val="left"/>
      <w:textAlignment w:val="auto"/>
    </w:pPr>
    <w:rPr>
      <w:rFonts w:eastAsiaTheme="minorEastAsia" w:cstheme="minorHAnsi"/>
      <w:sz w:val="22"/>
      <w:szCs w:val="24"/>
      <w:lang w:val="en-US" w:eastAsia="zh-CN"/>
    </w:rPr>
  </w:style>
  <w:style w:type="paragraph" w:customStyle="1" w:styleId="Call">
    <w:name w:val="Call"/>
    <w:basedOn w:val="Normal"/>
    <w:next w:val="Normal"/>
    <w:link w:val="CallChar"/>
    <w:rsid w:val="00404CD4"/>
    <w:pPr>
      <w:keepNext/>
      <w:keepLines/>
      <w:spacing w:before="160"/>
      <w:ind w:left="1134"/>
    </w:pPr>
    <w:rPr>
      <w:i/>
    </w:rPr>
  </w:style>
  <w:style w:type="paragraph" w:customStyle="1" w:styleId="enumlev1">
    <w:name w:val="enumlev1"/>
    <w:basedOn w:val="Normal"/>
    <w:link w:val="enumlev1Char"/>
    <w:rsid w:val="00404CD4"/>
    <w:pPr>
      <w:tabs>
        <w:tab w:val="clear" w:pos="2268"/>
        <w:tab w:val="left" w:pos="2608"/>
        <w:tab w:val="left" w:pos="3345"/>
      </w:tabs>
      <w:spacing w:before="80"/>
      <w:ind w:left="1134" w:hanging="1134"/>
    </w:p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Style"/>
    <w:basedOn w:val="DefaultParagraphFont"/>
    <w:qFormat/>
    <w:rsid w:val="00404CD4"/>
    <w:rPr>
      <w:rFonts w:asciiTheme="minorHAnsi" w:hAnsiTheme="minorHAnsi"/>
      <w:position w:val="6"/>
      <w:sz w:val="18"/>
    </w:rPr>
  </w:style>
  <w:style w:type="paragraph" w:styleId="FootnoteText">
    <w:name w:val="footnote text"/>
    <w:basedOn w:val="Normal"/>
    <w:link w:val="FootnoteTextChar"/>
    <w:rsid w:val="00404CD4"/>
    <w:pPr>
      <w:keepLines/>
      <w:tabs>
        <w:tab w:val="left" w:pos="255"/>
      </w:tabs>
    </w:pPr>
    <w:rPr>
      <w:sz w:val="22"/>
    </w:rPr>
  </w:style>
  <w:style w:type="character" w:customStyle="1" w:styleId="FootnoteTextChar">
    <w:name w:val="Footnote Text Char"/>
    <w:basedOn w:val="DefaultParagraphFont"/>
    <w:link w:val="FootnoteText"/>
    <w:rsid w:val="00404CD4"/>
    <w:rPr>
      <w:rFonts w:eastAsia="Times New Roman" w:cs="Times New Roman"/>
      <w:szCs w:val="20"/>
    </w:rPr>
  </w:style>
  <w:style w:type="paragraph" w:customStyle="1" w:styleId="Normalaftertitle">
    <w:name w:val="Normal after title"/>
    <w:basedOn w:val="Normal"/>
    <w:next w:val="Normal"/>
    <w:link w:val="NormalaftertitleChar"/>
    <w:rsid w:val="00404CD4"/>
    <w:pPr>
      <w:spacing w:before="280"/>
    </w:pPr>
  </w:style>
  <w:style w:type="paragraph" w:customStyle="1" w:styleId="ResNo">
    <w:name w:val="Res_No"/>
    <w:basedOn w:val="Heading2"/>
    <w:next w:val="Normal"/>
    <w:link w:val="ResNoChar"/>
    <w:rsid w:val="00404CD4"/>
    <w:pPr>
      <w:keepLines/>
      <w:tabs>
        <w:tab w:val="left" w:pos="1134"/>
        <w:tab w:val="left" w:pos="1871"/>
        <w:tab w:val="left" w:pos="2268"/>
      </w:tabs>
      <w:overflowPunct w:val="0"/>
      <w:autoSpaceDE w:val="0"/>
      <w:autoSpaceDN w:val="0"/>
      <w:adjustRightInd w:val="0"/>
      <w:spacing w:before="200" w:after="0" w:line="240" w:lineRule="auto"/>
      <w:ind w:left="1134" w:hanging="1134"/>
      <w:jc w:val="center"/>
      <w:textAlignment w:val="baseline"/>
    </w:pPr>
    <w:rPr>
      <w:rFonts w:cs="Times New Roman"/>
      <w:bCs w:val="0"/>
      <w:iCs w:val="0"/>
      <w:color w:val="auto"/>
      <w:sz w:val="28"/>
      <w:szCs w:val="20"/>
      <w:lang w:val="en-GB" w:eastAsia="en-US"/>
    </w:rPr>
  </w:style>
  <w:style w:type="paragraph" w:customStyle="1" w:styleId="Restitle">
    <w:name w:val="Res_title"/>
    <w:basedOn w:val="Normal"/>
    <w:next w:val="Normal"/>
    <w:link w:val="RestitleChar"/>
    <w:rsid w:val="00404CD4"/>
    <w:pPr>
      <w:keepNext/>
      <w:keepLines/>
      <w:spacing w:before="240"/>
      <w:jc w:val="center"/>
    </w:pPr>
    <w:rPr>
      <w:b/>
      <w:sz w:val="28"/>
    </w:rPr>
  </w:style>
  <w:style w:type="character" w:customStyle="1" w:styleId="NormalaftertitleChar">
    <w:name w:val="Normal after title Char"/>
    <w:basedOn w:val="DefaultParagraphFont"/>
    <w:link w:val="Normalaftertitle"/>
    <w:locked/>
    <w:rsid w:val="00404CD4"/>
    <w:rPr>
      <w:rFonts w:eastAsia="Times New Roman" w:cs="Times New Roman"/>
      <w:sz w:val="24"/>
      <w:szCs w:val="20"/>
    </w:rPr>
  </w:style>
  <w:style w:type="character" w:customStyle="1" w:styleId="enumlev1Char">
    <w:name w:val="enumlev1 Char"/>
    <w:basedOn w:val="DefaultParagraphFont"/>
    <w:link w:val="enumlev1"/>
    <w:qFormat/>
    <w:rsid w:val="00404CD4"/>
    <w:rPr>
      <w:rFonts w:eastAsia="Times New Roman" w:cs="Times New Roman"/>
      <w:sz w:val="24"/>
      <w:szCs w:val="20"/>
    </w:rPr>
  </w:style>
  <w:style w:type="character" w:customStyle="1" w:styleId="CallChar">
    <w:name w:val="Call Char"/>
    <w:basedOn w:val="DefaultParagraphFont"/>
    <w:link w:val="Call"/>
    <w:locked/>
    <w:rsid w:val="00404CD4"/>
    <w:rPr>
      <w:rFonts w:eastAsia="Times New Roman" w:cs="Times New Roman"/>
      <w:i/>
      <w:sz w:val="24"/>
      <w:szCs w:val="20"/>
    </w:rPr>
  </w:style>
  <w:style w:type="character" w:customStyle="1" w:styleId="RestitleChar">
    <w:name w:val="Res_title Char"/>
    <w:basedOn w:val="DefaultParagraphFont"/>
    <w:link w:val="Restitle"/>
    <w:rsid w:val="00404CD4"/>
    <w:rPr>
      <w:rFonts w:eastAsia="Times New Roman" w:cs="Times New Roman"/>
      <w:b/>
      <w:sz w:val="28"/>
      <w:szCs w:val="20"/>
    </w:rPr>
  </w:style>
  <w:style w:type="character" w:customStyle="1" w:styleId="ResNoChar">
    <w:name w:val="Res_No Char"/>
    <w:basedOn w:val="DefaultParagraphFont"/>
    <w:link w:val="ResNo"/>
    <w:rsid w:val="00404CD4"/>
    <w:rPr>
      <w:rFonts w:eastAsia="Times New Roman" w:cs="Times New Roman"/>
      <w:sz w:val="28"/>
      <w:szCs w:val="20"/>
    </w:rPr>
  </w:style>
  <w:style w:type="paragraph" w:styleId="Header">
    <w:name w:val="header"/>
    <w:basedOn w:val="Normal"/>
    <w:link w:val="HeaderChar"/>
    <w:uiPriority w:val="1"/>
    <w:unhideWhenUsed/>
    <w:rsid w:val="00404CD4"/>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uiPriority w:val="1"/>
    <w:rsid w:val="00404CD4"/>
    <w:rPr>
      <w:rFonts w:eastAsia="Times New Roman" w:cs="Times New Roman"/>
      <w:sz w:val="24"/>
      <w:szCs w:val="20"/>
    </w:rPr>
  </w:style>
  <w:style w:type="paragraph" w:styleId="Footer">
    <w:name w:val="footer"/>
    <w:basedOn w:val="Normal"/>
    <w:link w:val="FooterChar"/>
    <w:uiPriority w:val="99"/>
    <w:unhideWhenUsed/>
    <w:rsid w:val="00404CD4"/>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404CD4"/>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2691</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47 (Rev. Kigali, 2022) – Perfeccionamiento del conocimiento y aplicación efectiva de las Recomendaciones de la UIT en los países en desarrollo, incluidas las pruebas de conformidad e interoperabilidad de los sistemas fabricados de conformidad con las Recomendaciones de la UIT</dc:title>
  <dc:subject/>
  <dc:creator>Catalano Moreira, Rossana</dc:creator>
  <cp:keywords/>
  <dc:description/>
  <cp:lastModifiedBy>Catalano Moreira, Rossana</cp:lastModifiedBy>
  <cp:revision>4</cp:revision>
  <dcterms:created xsi:type="dcterms:W3CDTF">2023-10-17T12:00:00Z</dcterms:created>
  <dcterms:modified xsi:type="dcterms:W3CDTF">2023-10-17T12:03:00Z</dcterms:modified>
</cp:coreProperties>
</file>