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2668" w14:textId="77777777" w:rsidR="00150FA6" w:rsidRPr="002B2BF7" w:rsidRDefault="00150FA6" w:rsidP="00150FA6">
      <w:pPr>
        <w:pStyle w:val="ResNo"/>
        <w:rPr>
          <w:lang w:val="ru-RU"/>
        </w:rPr>
      </w:pPr>
      <w:bookmarkStart w:id="0" w:name="_Toc116554194"/>
      <w:r w:rsidRPr="002B2BF7">
        <w:rPr>
          <w:lang w:val="ru-RU"/>
        </w:rPr>
        <w:t xml:space="preserve">РЕЗОЛЮЦИЯ </w:t>
      </w:r>
      <w:r w:rsidRPr="002B2BF7">
        <w:rPr>
          <w:rStyle w:val="href"/>
          <w:lang w:val="ru-RU"/>
        </w:rPr>
        <w:t>47</w:t>
      </w:r>
      <w:r w:rsidRPr="002B2BF7">
        <w:rPr>
          <w:lang w:val="ru-RU"/>
        </w:rPr>
        <w:t xml:space="preserve"> (Пересм. Кигали, 2022 г.)</w:t>
      </w:r>
      <w:bookmarkEnd w:id="0"/>
    </w:p>
    <w:p w14:paraId="5C263FCB" w14:textId="77777777" w:rsidR="00150FA6" w:rsidRPr="002B2BF7" w:rsidRDefault="00150FA6" w:rsidP="00150FA6">
      <w:pPr>
        <w:pStyle w:val="Restitle"/>
        <w:rPr>
          <w:lang w:val="ru-RU"/>
        </w:rPr>
      </w:pPr>
      <w:bookmarkStart w:id="1" w:name="_Toc116554195"/>
      <w:r w:rsidRPr="002B2BF7">
        <w:rPr>
          <w:lang w:val="ru-RU"/>
        </w:rPr>
        <w:t>Повышение степени понимания и эффективности применения Рекомендаций МСЭ в развивающихся странах, включая проверку на соответствие и функциональную совместимость систем, производимых на основе Рекомендаций МСЭ</w:t>
      </w:r>
      <w:bookmarkEnd w:id="1"/>
    </w:p>
    <w:p w14:paraId="426A2AAF" w14:textId="77777777" w:rsidR="00150FA6" w:rsidRPr="002B2BF7" w:rsidRDefault="00150FA6" w:rsidP="00150FA6">
      <w:pPr>
        <w:pStyle w:val="Normalaftertitle"/>
        <w:rPr>
          <w:lang w:val="ru-RU"/>
        </w:rPr>
      </w:pPr>
      <w:r w:rsidRPr="002B2BF7">
        <w:rPr>
          <w:lang w:val="ru-RU"/>
        </w:rPr>
        <w:t>Всемирная конференция по развитию электросвязи (Кигали, 2022 г.),</w:t>
      </w:r>
    </w:p>
    <w:p w14:paraId="7DF4508A" w14:textId="77777777" w:rsidR="00150FA6" w:rsidRPr="002B2BF7" w:rsidRDefault="00150FA6" w:rsidP="00150FA6">
      <w:pPr>
        <w:pStyle w:val="Call"/>
        <w:rPr>
          <w:lang w:val="ru-RU"/>
        </w:rPr>
      </w:pPr>
      <w:r w:rsidRPr="002B2BF7">
        <w:rPr>
          <w:lang w:val="ru-RU"/>
        </w:rPr>
        <w:t>напоминая</w:t>
      </w:r>
    </w:p>
    <w:p w14:paraId="20C2BD97" w14:textId="77777777" w:rsidR="00150FA6" w:rsidRPr="002B2BF7" w:rsidRDefault="00150FA6" w:rsidP="00150FA6">
      <w:pPr>
        <w:rPr>
          <w:iCs/>
          <w:lang w:val="ru-RU"/>
        </w:rPr>
      </w:pPr>
      <w:r w:rsidRPr="002B2BF7">
        <w:rPr>
          <w:i/>
          <w:iCs/>
          <w:lang w:val="ru-RU"/>
        </w:rPr>
        <w:t>a)</w:t>
      </w:r>
      <w:r w:rsidRPr="002B2BF7">
        <w:rPr>
          <w:i/>
          <w:iCs/>
          <w:lang w:val="ru-RU"/>
        </w:rPr>
        <w:tab/>
      </w:r>
      <w:r w:rsidRPr="002B2BF7">
        <w:rPr>
          <w:lang w:val="ru-RU"/>
        </w:rPr>
        <w:t xml:space="preserve">о </w:t>
      </w:r>
      <w:r w:rsidRPr="002B2BF7">
        <w:rPr>
          <w:iCs/>
          <w:lang w:val="ru-RU"/>
        </w:rPr>
        <w:t>Резолюции 177 (Пересм. Дубай, 2018 г.) Полномочной конференции о соответствии и функциональной совместимости (C&amp;I);</w:t>
      </w:r>
    </w:p>
    <w:p w14:paraId="69EFFC48" w14:textId="77777777" w:rsidR="00150FA6" w:rsidRPr="002B2BF7" w:rsidRDefault="00150FA6" w:rsidP="00150FA6">
      <w:pPr>
        <w:rPr>
          <w:lang w:val="ru-RU"/>
        </w:rPr>
      </w:pPr>
      <w:r w:rsidRPr="002B2BF7">
        <w:rPr>
          <w:i/>
          <w:iCs/>
          <w:lang w:val="ru-RU"/>
        </w:rPr>
        <w:t>b)</w:t>
      </w:r>
      <w:r w:rsidRPr="002B2BF7">
        <w:rPr>
          <w:i/>
          <w:iCs/>
          <w:lang w:val="ru-RU"/>
        </w:rPr>
        <w:tab/>
      </w:r>
      <w:r w:rsidRPr="002B2BF7">
        <w:rPr>
          <w:lang w:val="ru-RU"/>
        </w:rPr>
        <w:t>о Резолюции 139 (Пересм. Дубай, 2018 г.) Полномочной конференции об использовании электросвязи/информационно-коммуникационных технологий (ИКТ) для преодоления цифрового разрыва и построения открытого для всех информационного общества;</w:t>
      </w:r>
    </w:p>
    <w:p w14:paraId="36AE395D" w14:textId="77777777" w:rsidR="00150FA6" w:rsidRPr="002B2BF7" w:rsidRDefault="00150FA6" w:rsidP="00150FA6">
      <w:pPr>
        <w:rPr>
          <w:lang w:val="ru-RU"/>
        </w:rPr>
      </w:pPr>
      <w:r w:rsidRPr="002B2BF7">
        <w:rPr>
          <w:i/>
          <w:iCs/>
          <w:lang w:val="ru-RU"/>
        </w:rPr>
        <w:t>c)</w:t>
      </w:r>
      <w:r w:rsidRPr="002B2BF7">
        <w:rPr>
          <w:lang w:val="ru-RU"/>
        </w:rPr>
        <w:tab/>
        <w:t>о Резолюции 123 (Пересм. Дубай, 2018 г.) Полномочной конференции о преодолении разрыва в стандартизации между развивающимися</w:t>
      </w:r>
      <w:r w:rsidRPr="002B2BF7">
        <w:rPr>
          <w:rStyle w:val="FootnoteReference"/>
          <w:lang w:val="ru-RU"/>
        </w:rPr>
        <w:footnoteReference w:id="1"/>
      </w:r>
      <w:r w:rsidRPr="002B2BF7">
        <w:rPr>
          <w:lang w:val="ru-RU"/>
        </w:rPr>
        <w:t xml:space="preserve"> и развитыми странами;</w:t>
      </w:r>
    </w:p>
    <w:p w14:paraId="54DB6B24" w14:textId="77777777" w:rsidR="00150FA6" w:rsidRPr="002B2BF7" w:rsidRDefault="00150FA6" w:rsidP="00150FA6">
      <w:pPr>
        <w:rPr>
          <w:lang w:val="ru-RU"/>
        </w:rPr>
      </w:pPr>
      <w:r w:rsidRPr="002B2BF7">
        <w:rPr>
          <w:i/>
          <w:iCs/>
          <w:lang w:val="ru-RU"/>
        </w:rPr>
        <w:t>d)</w:t>
      </w:r>
      <w:r w:rsidRPr="002B2BF7">
        <w:rPr>
          <w:lang w:val="ru-RU"/>
        </w:rPr>
        <w:tab/>
        <w:t xml:space="preserve">о </w:t>
      </w:r>
      <w:r w:rsidRPr="002B2BF7">
        <w:rPr>
          <w:color w:val="000000"/>
          <w:lang w:val="ru-RU"/>
        </w:rPr>
        <w:t>Резолюции 15 (Пересм. Кигали, 2022 г.) настоящей Конференции о прикладных исследованиях и передаче технологий</w:t>
      </w:r>
      <w:r w:rsidRPr="002B2BF7">
        <w:rPr>
          <w:lang w:val="ru-RU"/>
        </w:rPr>
        <w:t>;</w:t>
      </w:r>
    </w:p>
    <w:p w14:paraId="00AA336D" w14:textId="77777777" w:rsidR="00150FA6" w:rsidRPr="002B2BF7" w:rsidRDefault="00150FA6" w:rsidP="00150FA6">
      <w:pPr>
        <w:rPr>
          <w:lang w:val="ru-RU"/>
        </w:rPr>
      </w:pPr>
      <w:r w:rsidRPr="002B2BF7">
        <w:rPr>
          <w:i/>
          <w:iCs/>
          <w:lang w:val="ru-RU"/>
        </w:rPr>
        <w:t>e)</w:t>
      </w:r>
      <w:r w:rsidRPr="002B2BF7">
        <w:rPr>
          <w:lang w:val="ru-RU"/>
        </w:rPr>
        <w:tab/>
        <w:t>о Резолюции 37 (Пересм. Кигали, 2022 г.) настоящей Конференции о преодолении цифрового разрыва;</w:t>
      </w:r>
    </w:p>
    <w:p w14:paraId="1C838CEE" w14:textId="77777777" w:rsidR="00150FA6" w:rsidRPr="002B2BF7" w:rsidRDefault="00150FA6" w:rsidP="00150FA6">
      <w:pPr>
        <w:rPr>
          <w:lang w:val="ru-RU"/>
        </w:rPr>
      </w:pPr>
      <w:r w:rsidRPr="002B2BF7">
        <w:rPr>
          <w:i/>
          <w:iCs/>
          <w:lang w:val="ru-RU"/>
        </w:rPr>
        <w:t>f)</w:t>
      </w:r>
      <w:r w:rsidRPr="002B2BF7">
        <w:rPr>
          <w:lang w:val="ru-RU"/>
        </w:rPr>
        <w:tab/>
        <w:t>о Резолюции 40 (Пересм. Кигали, 2022 г.) настоящей Конференции о Группе по инициативам в области создания потенциала (ГИСП),</w:t>
      </w:r>
    </w:p>
    <w:p w14:paraId="7DC24001" w14:textId="77777777" w:rsidR="00150FA6" w:rsidRPr="002B2BF7" w:rsidRDefault="00150FA6" w:rsidP="00150FA6">
      <w:pPr>
        <w:pStyle w:val="Call"/>
        <w:rPr>
          <w:i w:val="0"/>
          <w:iCs/>
          <w:lang w:val="ru-RU"/>
        </w:rPr>
      </w:pPr>
      <w:r w:rsidRPr="002B2BF7">
        <w:rPr>
          <w:lang w:val="ru-RU"/>
        </w:rPr>
        <w:t>учитывая</w:t>
      </w:r>
      <w:r w:rsidRPr="002B2BF7">
        <w:rPr>
          <w:i w:val="0"/>
          <w:iCs/>
          <w:lang w:val="ru-RU"/>
        </w:rPr>
        <w:t>,</w:t>
      </w:r>
    </w:p>
    <w:p w14:paraId="201E5EE3" w14:textId="77777777" w:rsidR="00150FA6" w:rsidRPr="002B2BF7" w:rsidRDefault="00150FA6" w:rsidP="00150FA6">
      <w:pPr>
        <w:rPr>
          <w:i/>
          <w:lang w:val="ru-RU" w:eastAsia="es-EC"/>
        </w:rPr>
      </w:pPr>
      <w:r w:rsidRPr="002B2BF7">
        <w:rPr>
          <w:i/>
          <w:iCs/>
          <w:lang w:val="ru-RU"/>
        </w:rPr>
        <w:t>a)</w:t>
      </w:r>
      <w:r w:rsidRPr="002B2BF7">
        <w:rPr>
          <w:lang w:val="ru-RU"/>
        </w:rPr>
        <w:tab/>
        <w:t>что в Резолюции 177 (Пересм. Дубай, 2018 г.) о C&amp;I содержится призыв оказывать помощь развивающимся странам в создании региональных и субрегиональных центров по вопросам C&amp;I, пригодных для проведения проверок на C&amp;I, в надлежащих случаях и в зависимости от их потребностей;</w:t>
      </w:r>
      <w:r w:rsidRPr="002B2BF7">
        <w:rPr>
          <w:i/>
          <w:lang w:val="ru-RU" w:eastAsia="es-EC"/>
        </w:rPr>
        <w:br w:type="page"/>
      </w:r>
    </w:p>
    <w:p w14:paraId="482AF7B7" w14:textId="77777777" w:rsidR="00150FA6" w:rsidRPr="002B2BF7" w:rsidRDefault="00150FA6" w:rsidP="00150FA6">
      <w:pPr>
        <w:rPr>
          <w:lang w:val="ru-RU"/>
        </w:rPr>
      </w:pPr>
      <w:r w:rsidRPr="002B2BF7">
        <w:rPr>
          <w:i/>
          <w:lang w:val="ru-RU" w:eastAsia="es-EC"/>
        </w:rPr>
        <w:lastRenderedPageBreak/>
        <w:t>b)</w:t>
      </w:r>
      <w:r w:rsidRPr="002B2BF7">
        <w:rPr>
          <w:lang w:val="ru-RU" w:eastAsia="es-EC"/>
        </w:rPr>
        <w:tab/>
      </w:r>
      <w:r w:rsidRPr="002B2BF7">
        <w:rPr>
          <w:lang w:val="ru-RU"/>
        </w:rPr>
        <w:t>усилия, предпринимаемые регионами (например, в Магрибе, ЭКОВАС, КСЭ, Южной Америке и ВАС), при сотрудничестве с Бюро развития электросвязи (БРЭ), для содействия сотрудничеству и созданию обществ, целью которых является содействие эффективному использованию инфраструктуры для проверки на соответствие, такие как согласование стандартов и услуги тестирования в лабораториях;</w:t>
      </w:r>
    </w:p>
    <w:p w14:paraId="336E0BBC" w14:textId="77777777" w:rsidR="00150FA6" w:rsidRPr="002B2BF7" w:rsidRDefault="00150FA6" w:rsidP="00150FA6">
      <w:pPr>
        <w:rPr>
          <w:lang w:val="ru-RU" w:eastAsia="es-EC"/>
        </w:rPr>
      </w:pPr>
      <w:r w:rsidRPr="002B2BF7">
        <w:rPr>
          <w:i/>
          <w:lang w:val="ru-RU" w:eastAsia="es-EC"/>
        </w:rPr>
        <w:t>c)</w:t>
      </w:r>
      <w:r w:rsidRPr="002B2BF7">
        <w:rPr>
          <w:i/>
          <w:lang w:val="ru-RU" w:eastAsia="es-EC"/>
        </w:rPr>
        <w:tab/>
      </w:r>
      <w:r w:rsidRPr="002B2BF7">
        <w:rPr>
          <w:lang w:val="ru-RU"/>
        </w:rPr>
        <w:t>что укрепление потенциала Государств-Членов в отношении оценки соответствия и проверки на соответствие, а также наличие национальных и региональных средств тестирования для оценки соответствия может помочь в борьбе с контрафактными устройствами и оборудованием связи/ИКТ,</w:t>
      </w:r>
    </w:p>
    <w:p w14:paraId="1FC5067D" w14:textId="77777777" w:rsidR="00150FA6" w:rsidRPr="002B2BF7" w:rsidRDefault="00150FA6" w:rsidP="00150FA6">
      <w:pPr>
        <w:pStyle w:val="Call"/>
        <w:rPr>
          <w:lang w:val="ru-RU"/>
        </w:rPr>
      </w:pPr>
      <w:r w:rsidRPr="002B2BF7">
        <w:rPr>
          <w:lang w:val="ru-RU"/>
        </w:rPr>
        <w:t>учитывая далее</w:t>
      </w:r>
      <w:r w:rsidRPr="002B2BF7">
        <w:rPr>
          <w:i w:val="0"/>
          <w:iCs/>
          <w:lang w:val="ru-RU"/>
        </w:rPr>
        <w:t>,</w:t>
      </w:r>
    </w:p>
    <w:p w14:paraId="64969F0F" w14:textId="77777777" w:rsidR="00150FA6" w:rsidRPr="002B2BF7" w:rsidRDefault="00150FA6" w:rsidP="00150FA6">
      <w:pPr>
        <w:rPr>
          <w:lang w:val="ru-RU"/>
        </w:rPr>
      </w:pPr>
      <w:r w:rsidRPr="002B2BF7">
        <w:rPr>
          <w:i/>
          <w:iCs/>
          <w:lang w:val="ru-RU"/>
        </w:rPr>
        <w:t>a)</w:t>
      </w:r>
      <w:r w:rsidRPr="002B2BF7">
        <w:rPr>
          <w:lang w:val="ru-RU"/>
        </w:rPr>
        <w:tab/>
        <w:t>план действий по Программе C&amp;I МСЭ, обновленный на сессии Совета МСЭ 2013 года, который включает следующие направления работы: 1) оценка соответствия; 2) мероприятия, связанные с функциональной совместимостью; 3) создание потенциала; и 4) создание центров тестирования и разработка Программы C&amp;I в развивающихся странах;</w:t>
      </w:r>
    </w:p>
    <w:p w14:paraId="0160DE64" w14:textId="77777777" w:rsidR="00150FA6" w:rsidRPr="002B2BF7" w:rsidRDefault="00150FA6" w:rsidP="00150FA6">
      <w:pPr>
        <w:rPr>
          <w:lang w:val="ru-RU"/>
        </w:rPr>
      </w:pPr>
      <w:r w:rsidRPr="002B2BF7">
        <w:rPr>
          <w:i/>
          <w:iCs/>
          <w:lang w:val="ru-RU"/>
        </w:rPr>
        <w:t>b)</w:t>
      </w:r>
      <w:r w:rsidRPr="002B2BF7">
        <w:rPr>
          <w:lang w:val="ru-RU"/>
        </w:rPr>
        <w:tab/>
        <w:t>что МСЭ следует взять на себя лидирующую роль в осуществлении Программы C&amp;I МСЭ, при том что Сектор стандартизации электросвязи МСЭ (МСЭ-Т) берет на себя основную ответственность по направлениям работы 1 и 2, а Сектор развития электросвязи МСЭ (МСЭ-D) – по направлениям работы 3 и 4;</w:t>
      </w:r>
    </w:p>
    <w:p w14:paraId="7C4050EE" w14:textId="77777777" w:rsidR="00150FA6" w:rsidRPr="002B2BF7" w:rsidRDefault="00150FA6" w:rsidP="00150FA6">
      <w:pPr>
        <w:rPr>
          <w:lang w:val="ru-RU"/>
        </w:rPr>
      </w:pPr>
      <w:r w:rsidRPr="002B2BF7">
        <w:rPr>
          <w:i/>
          <w:iCs/>
          <w:lang w:val="ru-RU"/>
        </w:rPr>
        <w:t>c)</w:t>
      </w:r>
      <w:r w:rsidRPr="002B2BF7">
        <w:rPr>
          <w:lang w:val="ru-RU"/>
        </w:rPr>
        <w:tab/>
        <w:t>что C&amp;I оборудования и систем электросвязи/ИКТ, благодаря осуществлению соответствующих программ, направлений политики и решений, могут расширить рыночные перспективы, повысить надежность и способствовать мировой интеграции и торговле,</w:t>
      </w:r>
    </w:p>
    <w:p w14:paraId="4A6DB9EA" w14:textId="77777777" w:rsidR="00150FA6" w:rsidRPr="002B2BF7" w:rsidRDefault="00150FA6" w:rsidP="00150FA6">
      <w:pPr>
        <w:pStyle w:val="Call"/>
        <w:rPr>
          <w:lang w:val="ru-RU"/>
        </w:rPr>
      </w:pPr>
      <w:r w:rsidRPr="002B2BF7">
        <w:rPr>
          <w:lang w:val="ru-RU"/>
        </w:rPr>
        <w:t>признавая</w:t>
      </w:r>
      <w:r w:rsidRPr="002B2BF7">
        <w:rPr>
          <w:i w:val="0"/>
          <w:iCs/>
          <w:lang w:val="ru-RU"/>
        </w:rPr>
        <w:t>,</w:t>
      </w:r>
    </w:p>
    <w:p w14:paraId="6E822A56" w14:textId="77777777" w:rsidR="00150FA6" w:rsidRPr="002B2BF7" w:rsidRDefault="00150FA6" w:rsidP="00150FA6">
      <w:pPr>
        <w:rPr>
          <w:lang w:val="ru-RU" w:eastAsia="zh-CN" w:bidi="ar-EG"/>
        </w:rPr>
      </w:pPr>
      <w:r w:rsidRPr="002B2BF7">
        <w:rPr>
          <w:i/>
          <w:iCs/>
          <w:lang w:val="ru-RU"/>
        </w:rPr>
        <w:t>a)</w:t>
      </w:r>
      <w:r w:rsidRPr="002B2BF7">
        <w:rPr>
          <w:i/>
          <w:iCs/>
          <w:lang w:val="ru-RU"/>
        </w:rPr>
        <w:tab/>
      </w:r>
      <w:r w:rsidRPr="002B2BF7">
        <w:rPr>
          <w:lang w:val="ru-RU" w:eastAsia="zh-CN" w:bidi="ar-EG"/>
        </w:rPr>
        <w:t>что Государства – Члены МСЭ могут руководствоваться положениями Рекомендаций МСЭ при разработке национальных стандартов;</w:t>
      </w:r>
    </w:p>
    <w:p w14:paraId="129F0767" w14:textId="77777777" w:rsidR="00150FA6" w:rsidRPr="002B2BF7" w:rsidRDefault="00150FA6" w:rsidP="00150FA6">
      <w:pPr>
        <w:rPr>
          <w:i/>
          <w:iCs/>
          <w:lang w:val="ru-RU" w:eastAsia="zh-CN" w:bidi="ar-EG"/>
        </w:rPr>
      </w:pPr>
      <w:r w:rsidRPr="002B2BF7">
        <w:rPr>
          <w:i/>
          <w:iCs/>
          <w:lang w:val="ru-RU" w:eastAsia="es-EC"/>
        </w:rPr>
        <w:t>b)</w:t>
      </w:r>
      <w:r w:rsidRPr="002B2BF7">
        <w:rPr>
          <w:i/>
          <w:lang w:val="ru-RU" w:eastAsia="es-EC"/>
        </w:rPr>
        <w:tab/>
      </w:r>
      <w:r w:rsidRPr="002B2BF7">
        <w:rPr>
          <w:lang w:val="ru-RU"/>
        </w:rPr>
        <w:t xml:space="preserve">важность преодоления разрыва в стандартизации в рамках применения соответствующих Рекомендаций МСЭ, касающихся вопросов </w:t>
      </w:r>
      <w:r w:rsidRPr="002B2BF7">
        <w:t>C</w:t>
      </w:r>
      <w:r w:rsidRPr="002B2BF7">
        <w:rPr>
          <w:lang w:val="ru-RU"/>
        </w:rPr>
        <w:t>&amp;</w:t>
      </w:r>
      <w:r w:rsidRPr="002B2BF7">
        <w:t>I</w:t>
      </w:r>
      <w:r w:rsidRPr="002B2BF7">
        <w:rPr>
          <w:lang w:val="ru-RU"/>
        </w:rPr>
        <w:t>;</w:t>
      </w:r>
      <w:r w:rsidRPr="002B2BF7">
        <w:rPr>
          <w:i/>
          <w:iCs/>
          <w:lang w:val="ru-RU" w:eastAsia="zh-CN" w:bidi="ar-EG"/>
        </w:rPr>
        <w:br w:type="page"/>
      </w:r>
    </w:p>
    <w:p w14:paraId="79EBAC18" w14:textId="77777777" w:rsidR="00150FA6" w:rsidRPr="002B2BF7" w:rsidRDefault="00150FA6" w:rsidP="00150FA6">
      <w:pPr>
        <w:rPr>
          <w:lang w:val="ru-RU" w:eastAsia="zh-CN" w:bidi="ar-EG"/>
        </w:rPr>
      </w:pPr>
      <w:r w:rsidRPr="002B2BF7">
        <w:rPr>
          <w:i/>
          <w:iCs/>
          <w:lang w:val="ru-RU" w:eastAsia="zh-CN" w:bidi="ar-EG"/>
        </w:rPr>
        <w:lastRenderedPageBreak/>
        <w:t>c)</w:t>
      </w:r>
      <w:r w:rsidRPr="002B2BF7">
        <w:rPr>
          <w:lang w:val="ru-RU" w:eastAsia="zh-CN" w:bidi="ar-EG"/>
        </w:rPr>
        <w:tab/>
        <w:t xml:space="preserve">что в Резолюции 44 (Пересм. Женева, 2022 г.) Всемирная ассамблея по стандартизации электросвязи (ВАСЭ) поручает Директору Бюро стандартизации электросвязи (БСЭ) в сотрудничестве с Директорами Бюро радиосвязи (БР) и БРЭ в случае поступления запросов оказывать поддержку и помощь развивающимся странам в составлении проектов/разработке набора руководящих указаний по применению Рекомендаций МСЭ-Т на национальном уровне, чтобы активизировать их участие </w:t>
      </w:r>
      <w:r w:rsidRPr="002B2BF7">
        <w:rPr>
          <w:szCs w:val="22"/>
          <w:lang w:val="ru-RU"/>
        </w:rPr>
        <w:t>в работе исследовательских комиссий МСЭ</w:t>
      </w:r>
      <w:r w:rsidRPr="002B2BF7">
        <w:rPr>
          <w:szCs w:val="22"/>
          <w:lang w:val="ru-RU"/>
        </w:rPr>
        <w:noBreakHyphen/>
        <w:t>Т при содействии региональных отделений МСЭ с целью</w:t>
      </w:r>
      <w:r w:rsidRPr="002B2BF7">
        <w:rPr>
          <w:lang w:val="ru-RU" w:eastAsia="zh-CN" w:bidi="ar-EG"/>
        </w:rPr>
        <w:t xml:space="preserve"> преодоления разрыва в стандартизации и помогать развивающимся странам в их исследованиях, особенно по приоритетным для них вопросам, которые направлены на разработку и выполнение Рекомендаций МСЭ-Т; </w:t>
      </w:r>
    </w:p>
    <w:p w14:paraId="6135FEF7" w14:textId="77777777" w:rsidR="00150FA6" w:rsidRPr="002B2BF7" w:rsidRDefault="00150FA6" w:rsidP="00150FA6">
      <w:pPr>
        <w:rPr>
          <w:iCs/>
          <w:lang w:val="ru-RU"/>
        </w:rPr>
      </w:pPr>
      <w:r w:rsidRPr="002B2BF7">
        <w:rPr>
          <w:i/>
          <w:iCs/>
          <w:lang w:val="ru-RU" w:eastAsia="zh-CN" w:bidi="ar-EG"/>
        </w:rPr>
        <w:t>d)</w:t>
      </w:r>
      <w:r w:rsidRPr="002B2BF7">
        <w:rPr>
          <w:lang w:val="ru-RU" w:eastAsia="zh-CN" w:bidi="ar-EG"/>
        </w:rPr>
        <w:tab/>
      </w:r>
      <w:r w:rsidRPr="002B2BF7">
        <w:rPr>
          <w:iCs/>
          <w:lang w:val="ru-RU"/>
        </w:rPr>
        <w:t xml:space="preserve">что системы соответствия и </w:t>
      </w:r>
      <w:r w:rsidRPr="002B2BF7">
        <w:rPr>
          <w:lang w:val="ru-RU" w:eastAsia="es-EC"/>
        </w:rPr>
        <w:t>проверка на соответствие</w:t>
      </w:r>
      <w:r w:rsidRPr="002B2BF7">
        <w:rPr>
          <w:iCs/>
          <w:lang w:val="ru-RU"/>
        </w:rPr>
        <w:t>, охватывающие такие пункты, как безопасность, функциональная совместимость, занятость спектра, качество и национальное техническое регулирование оборудования ИКТ, представляют собой важные испытания применительно к инфраструктуре ИКТ и потребителям;</w:t>
      </w:r>
    </w:p>
    <w:p w14:paraId="6F833972" w14:textId="77777777" w:rsidR="00150FA6" w:rsidRPr="002B2BF7" w:rsidRDefault="00150FA6" w:rsidP="00150FA6">
      <w:pPr>
        <w:rPr>
          <w:lang w:val="ru-RU" w:eastAsia="zh-CN" w:bidi="ar-EG"/>
        </w:rPr>
      </w:pPr>
      <w:r w:rsidRPr="002B2BF7">
        <w:rPr>
          <w:i/>
          <w:iCs/>
          <w:lang w:val="ru-RU" w:eastAsia="zh-CN" w:bidi="ar-EG"/>
        </w:rPr>
        <w:t>e)</w:t>
      </w:r>
      <w:r w:rsidRPr="002B2BF7">
        <w:rPr>
          <w:i/>
          <w:iCs/>
          <w:lang w:val="ru-RU" w:eastAsia="zh-CN" w:bidi="ar-EG"/>
        </w:rPr>
        <w:tab/>
      </w:r>
      <w:r w:rsidRPr="002B2BF7">
        <w:rPr>
          <w:lang w:val="ru-RU" w:eastAsia="zh-CN" w:bidi="ar-EG"/>
        </w:rPr>
        <w:t xml:space="preserve">важность оказания помощи развивающимся странам в определении возможностей по созданию людского и институционального потенциала, а также возможностей в области профессиональной подготовки по проверке на </w:t>
      </w:r>
      <w:r w:rsidRPr="002B2BF7">
        <w:rPr>
          <w:lang w:val="ru-RU"/>
        </w:rPr>
        <w:t>соответствие и функциональную совместимость и в создании региональных и субрегиональных центров по вопросам C&amp;I, пригодных для проведения проверки на C&amp;I в случае необходимости,</w:t>
      </w:r>
      <w:r w:rsidRPr="002B2BF7">
        <w:rPr>
          <w:lang w:val="ru-RU" w:eastAsia="zh-CN" w:bidi="ar-EG"/>
        </w:rPr>
        <w:t xml:space="preserve"> поощряя сотрудничество с правительственными и неправительственными, национальными и региональными организациями и международными органами по аккредитации и сертификации;</w:t>
      </w:r>
    </w:p>
    <w:p w14:paraId="183FC3F3" w14:textId="77777777" w:rsidR="00150FA6" w:rsidRPr="002B2BF7" w:rsidRDefault="00150FA6" w:rsidP="00150FA6">
      <w:pPr>
        <w:rPr>
          <w:lang w:val="ru-RU" w:eastAsia="zh-CN" w:bidi="ar-EG"/>
        </w:rPr>
      </w:pPr>
      <w:r w:rsidRPr="002B2BF7">
        <w:rPr>
          <w:i/>
          <w:iCs/>
          <w:lang w:val="ru-RU" w:eastAsia="zh-CN" w:bidi="ar-EG"/>
        </w:rPr>
        <w:t>f)</w:t>
      </w:r>
      <w:r w:rsidRPr="002B2BF7">
        <w:rPr>
          <w:lang w:val="ru-RU" w:eastAsia="zh-CN" w:bidi="ar-EG"/>
        </w:rPr>
        <w:tab/>
        <w:t>что желательно, чтобы в развивающихся странах имелись приложения инфраструктуры, которые были бы совместимы с Рекомендациями МСЭ, с тем чтобы поддерживать конкурентную среду, сокращать затраты, повышать возможности функциональной совместимости и обеспечивать удовлетворительное качество обслуживания и оценки пользователем качества услуг;</w:t>
      </w:r>
    </w:p>
    <w:p w14:paraId="614D0CBA" w14:textId="77777777" w:rsidR="00150FA6" w:rsidRPr="002B2BF7" w:rsidRDefault="00150FA6" w:rsidP="00150FA6">
      <w:pPr>
        <w:rPr>
          <w:lang w:val="ru-RU"/>
        </w:rPr>
      </w:pPr>
      <w:r w:rsidRPr="002B2BF7">
        <w:rPr>
          <w:i/>
          <w:iCs/>
          <w:lang w:val="ru-RU"/>
        </w:rPr>
        <w:t>g)</w:t>
      </w:r>
      <w:r w:rsidRPr="002B2BF7">
        <w:rPr>
          <w:lang w:val="ru-RU"/>
        </w:rPr>
        <w:tab/>
        <w:t>что функциональная совместимость сетей международной электросвязи была основной причиной создания в 1865 году Международного телеграфного союза и что она остается одной из основных целей Стратегического плана МСЭ;</w:t>
      </w:r>
    </w:p>
    <w:p w14:paraId="63EE3866" w14:textId="77777777" w:rsidR="00150FA6" w:rsidRPr="002B2BF7" w:rsidRDefault="00150FA6" w:rsidP="00150FA6">
      <w:pPr>
        <w:rPr>
          <w:lang w:val="ru-RU"/>
        </w:rPr>
      </w:pPr>
      <w:r w:rsidRPr="002B2BF7">
        <w:rPr>
          <w:i/>
          <w:iCs/>
          <w:lang w:val="ru-RU"/>
        </w:rPr>
        <w:t>h)</w:t>
      </w:r>
      <w:r w:rsidRPr="002B2BF7">
        <w:rPr>
          <w:lang w:val="ru-RU"/>
        </w:rPr>
        <w:tab/>
        <w:t>что для появляющихся технологий может возникнуть необходимость проведения проверки на C&amp;I;</w:t>
      </w:r>
    </w:p>
    <w:p w14:paraId="44F6926C" w14:textId="77777777" w:rsidR="00150FA6" w:rsidRPr="002B2BF7" w:rsidRDefault="00150FA6" w:rsidP="00150FA6">
      <w:pPr>
        <w:rPr>
          <w:i/>
          <w:lang w:val="ru-RU"/>
        </w:rPr>
      </w:pPr>
      <w:r w:rsidRPr="002B2BF7">
        <w:rPr>
          <w:i/>
          <w:iCs/>
          <w:lang w:val="ru-RU"/>
        </w:rPr>
        <w:t>i)</w:t>
      </w:r>
      <w:r w:rsidRPr="002B2BF7">
        <w:rPr>
          <w:lang w:val="ru-RU"/>
        </w:rPr>
        <w:tab/>
        <w:t>что оценка соответствия является признанным способом наглядно показать, что продукт соответствует международному стандарту и/или отвечает конкретным требованиям и что процедуры проведения оценки соответствия продолжают играть важную роль в контексте обязательств в области международных стандартов, принятых членами Всемирной торговой организации в рамках Соглашения о технических барьерах в торговле,</w:t>
      </w:r>
      <w:r w:rsidRPr="002B2BF7">
        <w:rPr>
          <w:lang w:val="ru-RU"/>
        </w:rPr>
        <w:br w:type="page"/>
      </w:r>
    </w:p>
    <w:p w14:paraId="425C0C41" w14:textId="77777777" w:rsidR="00150FA6" w:rsidRPr="002B2BF7" w:rsidRDefault="00150FA6" w:rsidP="00150FA6">
      <w:pPr>
        <w:pStyle w:val="Call"/>
        <w:rPr>
          <w:lang w:val="ru-RU"/>
        </w:rPr>
      </w:pPr>
      <w:r w:rsidRPr="002B2BF7">
        <w:rPr>
          <w:lang w:val="ru-RU"/>
        </w:rPr>
        <w:lastRenderedPageBreak/>
        <w:t>признавая далее</w:t>
      </w:r>
      <w:r w:rsidRPr="002B2BF7">
        <w:rPr>
          <w:i w:val="0"/>
          <w:iCs/>
          <w:lang w:val="ru-RU"/>
        </w:rPr>
        <w:t>,</w:t>
      </w:r>
    </w:p>
    <w:p w14:paraId="604EFD57" w14:textId="77777777" w:rsidR="00150FA6" w:rsidRPr="002B2BF7" w:rsidRDefault="00150FA6" w:rsidP="00150FA6">
      <w:pPr>
        <w:rPr>
          <w:lang w:val="ru-RU"/>
        </w:rPr>
      </w:pPr>
      <w:r w:rsidRPr="002B2BF7">
        <w:rPr>
          <w:lang w:val="ru-RU"/>
        </w:rPr>
        <w:t>что Программа МСЭ по C&amp;I была открыта по просьбе членов МСЭ, в частности членов из развивающихся стран, в целях повышения соответствия и функциональной совместимости сетей и продуктов ИКТ, реализующих Рекомендации МСЭ или части этих Рекомендаций; получения откликов для повышения качества Рекомендаций МСЭ; а также в целях сокращения цифрового разрыва и разрыва в стандартизации путем предоставления развивающимся странам помощи в создании потенциала людских ресурсов и инфраструктурного потенциала,</w:t>
      </w:r>
    </w:p>
    <w:p w14:paraId="5159E9BE" w14:textId="77777777" w:rsidR="00150FA6" w:rsidRPr="002B2BF7" w:rsidRDefault="00150FA6" w:rsidP="00150FA6">
      <w:pPr>
        <w:pStyle w:val="Call"/>
        <w:rPr>
          <w:lang w:val="ru-RU"/>
        </w:rPr>
      </w:pPr>
      <w:r w:rsidRPr="002B2BF7">
        <w:rPr>
          <w:lang w:val="ru-RU"/>
        </w:rPr>
        <w:t>принимая во внимание</w:t>
      </w:r>
      <w:r w:rsidRPr="002B2BF7">
        <w:rPr>
          <w:i w:val="0"/>
          <w:iCs/>
          <w:lang w:val="ru-RU"/>
        </w:rPr>
        <w:t>,</w:t>
      </w:r>
    </w:p>
    <w:p w14:paraId="0168F086" w14:textId="77777777" w:rsidR="00150FA6" w:rsidRPr="002B2BF7" w:rsidRDefault="00150FA6" w:rsidP="00150FA6">
      <w:pPr>
        <w:rPr>
          <w:lang w:val="ru-RU"/>
        </w:rPr>
      </w:pPr>
      <w:r w:rsidRPr="002B2BF7">
        <w:rPr>
          <w:lang w:val="ru-RU"/>
        </w:rPr>
        <w:t>что техническая подготовка и создание потенциала для проверки и сертификации составляют для стран важнейшие вопросы в контексте расширения возможности глобальных соединений и содействия развертыванию передовых сетей электросвязи,</w:t>
      </w:r>
    </w:p>
    <w:p w14:paraId="31DFF7A2" w14:textId="77777777" w:rsidR="00150FA6" w:rsidRPr="002B2BF7" w:rsidRDefault="00150FA6" w:rsidP="00150FA6">
      <w:pPr>
        <w:pStyle w:val="Call"/>
        <w:rPr>
          <w:i w:val="0"/>
          <w:iCs/>
          <w:lang w:val="ru-RU"/>
        </w:rPr>
      </w:pPr>
      <w:r w:rsidRPr="002B2BF7">
        <w:rPr>
          <w:lang w:val="ru-RU"/>
        </w:rPr>
        <w:t>отмечая</w:t>
      </w:r>
      <w:r w:rsidRPr="002B2BF7">
        <w:rPr>
          <w:i w:val="0"/>
          <w:iCs/>
          <w:lang w:val="ru-RU"/>
        </w:rPr>
        <w:t>,</w:t>
      </w:r>
    </w:p>
    <w:p w14:paraId="782BC91B" w14:textId="77777777" w:rsidR="00150FA6" w:rsidRPr="002B2BF7" w:rsidRDefault="00150FA6" w:rsidP="00150FA6">
      <w:pPr>
        <w:rPr>
          <w:lang w:val="ru-RU"/>
        </w:rPr>
      </w:pPr>
      <w:r w:rsidRPr="002B2BF7">
        <w:rPr>
          <w:i/>
          <w:iCs/>
          <w:lang w:val="ru-RU"/>
        </w:rPr>
        <w:t>а)</w:t>
      </w:r>
      <w:r w:rsidRPr="002B2BF7">
        <w:rPr>
          <w:lang w:val="ru-RU"/>
        </w:rPr>
        <w:tab/>
        <w:t>что некоторые страны, в особенности развивающиеся страны, еще не имеют возможности тестировать оборудование и давать гарантии потребителям в их странах;</w:t>
      </w:r>
    </w:p>
    <w:p w14:paraId="42CF128C" w14:textId="77777777" w:rsidR="00150FA6" w:rsidRPr="002B2BF7" w:rsidRDefault="00150FA6" w:rsidP="00150FA6">
      <w:pPr>
        <w:rPr>
          <w:lang w:val="ru-RU"/>
        </w:rPr>
      </w:pPr>
      <w:r w:rsidRPr="002B2BF7">
        <w:rPr>
          <w:i/>
          <w:iCs/>
          <w:lang w:val="ru-RU"/>
        </w:rPr>
        <w:t>b)</w:t>
      </w:r>
      <w:r w:rsidRPr="002B2BF7">
        <w:rPr>
          <w:lang w:val="ru-RU"/>
        </w:rPr>
        <w:tab/>
        <w:t>что деятельность 2-й Исследовательской комиссии МСЭ-D в рамках Вопроса 4/2 и 11</w:t>
      </w:r>
      <w:r w:rsidRPr="002B2BF7">
        <w:rPr>
          <w:lang w:val="ru-RU"/>
        </w:rPr>
        <w:noBreakHyphen/>
        <w:t>й Исследовательской комиссии МСЭ-Т, в особенности в области проверки на C&amp;I, вызвала растущий интерес в развивающихся странах к созданию потенциала в области C&amp;I;</w:t>
      </w:r>
      <w:r w:rsidRPr="002B2BF7">
        <w:rPr>
          <w:iCs/>
          <w:lang w:val="ru-RU"/>
        </w:rPr>
        <w:t xml:space="preserve"> </w:t>
      </w:r>
    </w:p>
    <w:p w14:paraId="1D075F27" w14:textId="77777777" w:rsidR="00150FA6" w:rsidRPr="002B2BF7" w:rsidRDefault="00150FA6" w:rsidP="00150FA6">
      <w:pPr>
        <w:rPr>
          <w:lang w:val="ru-RU"/>
        </w:rPr>
      </w:pPr>
      <w:r w:rsidRPr="002B2BF7">
        <w:rPr>
          <w:i/>
          <w:iCs/>
          <w:lang w:val="ru-RU"/>
        </w:rPr>
        <w:t>c)</w:t>
      </w:r>
      <w:r w:rsidRPr="002B2BF7">
        <w:rPr>
          <w:rFonts w:ascii="TimesNewRoman,Italic" w:eastAsia="TimesNewRoman" w:hAnsi="TimesNewRoman,Italic" w:cs="TimesNewRoman,Italic"/>
          <w:i/>
          <w:iCs/>
          <w:lang w:val="ru-RU" w:eastAsia="zh-CN"/>
        </w:rPr>
        <w:tab/>
      </w:r>
      <w:r w:rsidRPr="002B2BF7">
        <w:rPr>
          <w:lang w:val="ru-RU"/>
        </w:rPr>
        <w:t>что проверка на C&amp;I может способствовать функциональной совместимости некоторых появляющихся технологий, таких как интернет вещей и Международная подвижная электросвязь (IMT-2020);</w:t>
      </w:r>
    </w:p>
    <w:p w14:paraId="3EDA09EC" w14:textId="77777777" w:rsidR="00150FA6" w:rsidRPr="002B2BF7" w:rsidRDefault="00150FA6" w:rsidP="00150FA6">
      <w:pPr>
        <w:rPr>
          <w:lang w:val="ru-RU"/>
        </w:rPr>
      </w:pPr>
      <w:r w:rsidRPr="002B2BF7">
        <w:rPr>
          <w:i/>
          <w:iCs/>
          <w:lang w:val="ru-RU" w:eastAsia="zh-CN" w:bidi="ar-EG"/>
        </w:rPr>
        <w:t>d)</w:t>
      </w:r>
      <w:r w:rsidRPr="002B2BF7">
        <w:rPr>
          <w:lang w:val="ru-RU" w:eastAsia="zh-CN" w:bidi="ar-EG"/>
        </w:rPr>
        <w:tab/>
      </w:r>
      <w:r w:rsidRPr="002B2BF7">
        <w:rPr>
          <w:lang w:val="ru-RU" w:bidi="ar-EG"/>
        </w:rPr>
        <w:t>желательно, чтобы в развивающихся странах имелись приложения инфраструктуры, которые были бы совместимы с Рекомендациями и стандартами МСЭ-Т и/или других международных и признанных на международном уровне организаций, в отличие от базирующихся на проприетарных технологиях и оборудовании приложений инфраструктуры, с тем чтобы поддерживать конкурентную среду, сокращать затраты, повышать возможности функциональной совместимости, обеспечивать удовлетворительное качество обслуживания и оценки пользователем качества услуг;</w:t>
      </w:r>
    </w:p>
    <w:p w14:paraId="4DBB89C3" w14:textId="77777777" w:rsidR="00150FA6" w:rsidRPr="002B2BF7" w:rsidRDefault="00150FA6" w:rsidP="00150FA6">
      <w:pPr>
        <w:rPr>
          <w:lang w:val="ru-RU"/>
        </w:rPr>
      </w:pPr>
      <w:r w:rsidRPr="002B2BF7">
        <w:rPr>
          <w:i/>
          <w:iCs/>
          <w:lang w:val="ru-RU"/>
        </w:rPr>
        <w:t>e)</w:t>
      </w:r>
      <w:r w:rsidRPr="002B2BF7">
        <w:rPr>
          <w:lang w:val="ru-RU"/>
        </w:rPr>
        <w:tab/>
        <w:t>необходимость проверки на C&amp;I для уменьшения вероятности внесения ошибок в период интеграции в сети, что может повлиять на графики коммерческого развертывания;</w:t>
      </w:r>
    </w:p>
    <w:p w14:paraId="2EA0CE50" w14:textId="77777777" w:rsidR="00150FA6" w:rsidRPr="002B2BF7" w:rsidRDefault="00150FA6" w:rsidP="00150FA6">
      <w:pPr>
        <w:rPr>
          <w:i/>
          <w:iCs/>
          <w:lang w:val="ru-RU"/>
        </w:rPr>
      </w:pPr>
      <w:r w:rsidRPr="002B2BF7">
        <w:rPr>
          <w:i/>
          <w:iCs/>
          <w:lang w:val="ru-RU"/>
        </w:rPr>
        <w:t>f)</w:t>
      </w:r>
      <w:r w:rsidRPr="002B2BF7">
        <w:rPr>
          <w:i/>
          <w:iCs/>
          <w:lang w:val="ru-RU"/>
        </w:rPr>
        <w:tab/>
      </w:r>
      <w:r w:rsidRPr="002B2BF7">
        <w:rPr>
          <w:lang w:val="ru-RU"/>
        </w:rPr>
        <w:t>что в тех случаях, когда испытания или проверка на функциональную совместимость не проводились, пользователи могли пострадать в связи с отсутствием функционально совместимой работы оборудования различных производителей;</w:t>
      </w:r>
      <w:r w:rsidRPr="002B2BF7">
        <w:rPr>
          <w:i/>
          <w:iCs/>
          <w:lang w:val="ru-RU"/>
        </w:rPr>
        <w:br w:type="page"/>
      </w:r>
    </w:p>
    <w:p w14:paraId="6A17B00C" w14:textId="77777777" w:rsidR="00150FA6" w:rsidRPr="002B2BF7" w:rsidRDefault="00150FA6" w:rsidP="00150FA6">
      <w:pPr>
        <w:rPr>
          <w:lang w:val="ru-RU"/>
        </w:rPr>
      </w:pPr>
      <w:r w:rsidRPr="002B2BF7">
        <w:rPr>
          <w:i/>
          <w:iCs/>
          <w:lang w:val="ru-RU"/>
        </w:rPr>
        <w:lastRenderedPageBreak/>
        <w:t>g)</w:t>
      </w:r>
      <w:r w:rsidRPr="002B2BF7">
        <w:rPr>
          <w:lang w:val="ru-RU"/>
        </w:rPr>
        <w:tab/>
        <w:t>что МСЭ осуществляет создание потенциала в области людских ресурсов в регионах в области соответствия, функциональной совместимости и проверки, которое будет также проводиться в сотрудничестве с другими соответствующими региональными и международными организациями для уточнения основополагающих аспектов и аккредитации;</w:t>
      </w:r>
    </w:p>
    <w:p w14:paraId="29C9A629" w14:textId="77777777" w:rsidR="00150FA6" w:rsidRPr="002B2BF7" w:rsidRDefault="00150FA6" w:rsidP="00150FA6">
      <w:pPr>
        <w:rPr>
          <w:lang w:val="ru-RU"/>
        </w:rPr>
      </w:pPr>
      <w:r w:rsidRPr="002B2BF7">
        <w:rPr>
          <w:i/>
          <w:iCs/>
          <w:lang w:val="ru-RU"/>
        </w:rPr>
        <w:t>h)</w:t>
      </w:r>
      <w:r w:rsidRPr="002B2BF7">
        <w:rPr>
          <w:lang w:val="ru-RU"/>
        </w:rPr>
        <w:tab/>
        <w:t>что наряду с Рекомендациями МСЭ-Т существует ряд спецификаций для проверки на C&amp;I, разработанных другими организациями по разработке стандартов (ОРС), форумами, консорциумами;</w:t>
      </w:r>
    </w:p>
    <w:p w14:paraId="37F838A7" w14:textId="77777777" w:rsidR="00150FA6" w:rsidRPr="002B2BF7" w:rsidRDefault="00150FA6" w:rsidP="00150FA6">
      <w:pPr>
        <w:rPr>
          <w:lang w:val="ru-RU" w:eastAsia="zh-CN" w:bidi="ar-EG"/>
        </w:rPr>
      </w:pPr>
      <w:r w:rsidRPr="002B2BF7">
        <w:rPr>
          <w:i/>
          <w:iCs/>
          <w:lang w:val="ru-RU"/>
        </w:rPr>
        <w:t>i)</w:t>
      </w:r>
      <w:r w:rsidRPr="002B2BF7">
        <w:rPr>
          <w:i/>
          <w:iCs/>
          <w:lang w:val="ru-RU"/>
        </w:rPr>
        <w:tab/>
      </w:r>
      <w:r w:rsidRPr="002B2BF7">
        <w:rPr>
          <w:lang w:val="ru-RU" w:eastAsia="zh-CN" w:bidi="ar-EG"/>
        </w:rPr>
        <w:t>что понимание Рекомендаций МСЭ и связанных с ними международных стандартов в надлежащем и эффективном применении новых технологий в отношении сетей имеет важное значение для выполнения Резолюции 76 (Пересм. Женева, 2022 г.) ВАСЭ,</w:t>
      </w:r>
    </w:p>
    <w:p w14:paraId="48A23CA1" w14:textId="77777777" w:rsidR="00150FA6" w:rsidRPr="002B2BF7" w:rsidRDefault="00150FA6" w:rsidP="00150FA6">
      <w:pPr>
        <w:pStyle w:val="Call"/>
        <w:rPr>
          <w:lang w:val="ru-RU"/>
        </w:rPr>
      </w:pPr>
      <w:r w:rsidRPr="002B2BF7">
        <w:rPr>
          <w:lang w:val="ru-RU"/>
        </w:rPr>
        <w:t>решает</w:t>
      </w:r>
    </w:p>
    <w:p w14:paraId="12FCBDCA" w14:textId="77777777" w:rsidR="00150FA6" w:rsidRPr="002B2BF7" w:rsidRDefault="00150FA6" w:rsidP="00150FA6">
      <w:pPr>
        <w:rPr>
          <w:lang w:val="ru-RU"/>
        </w:rPr>
      </w:pPr>
      <w:r w:rsidRPr="002B2BF7">
        <w:rPr>
          <w:lang w:val="ru-RU" w:eastAsia="zh-CN" w:bidi="ar-EG"/>
        </w:rPr>
        <w:t>1</w:t>
      </w:r>
      <w:r w:rsidRPr="002B2BF7">
        <w:rPr>
          <w:lang w:val="ru-RU" w:eastAsia="zh-CN" w:bidi="ar-EG"/>
        </w:rPr>
        <w:tab/>
        <w:t>и далее принимать участие в деятельности по повышению степени понимания и эффективности применения стандартов ИКТ, в том числе Рекомендаций Сектора радиосвязи МСЭ (МСЭ-R) и МСЭ-Т в развивающихся странах;</w:t>
      </w:r>
    </w:p>
    <w:p w14:paraId="0509A4EF" w14:textId="77777777" w:rsidR="00150FA6" w:rsidRPr="002B2BF7" w:rsidRDefault="00150FA6" w:rsidP="00150FA6">
      <w:pPr>
        <w:rPr>
          <w:lang w:val="ru-RU" w:eastAsia="zh-CN" w:bidi="ar-EG"/>
        </w:rPr>
      </w:pPr>
      <w:r w:rsidRPr="002B2BF7">
        <w:rPr>
          <w:lang w:val="ru-RU" w:eastAsia="zh-CN" w:bidi="ar-EG"/>
        </w:rPr>
        <w:t>2</w:t>
      </w:r>
      <w:r w:rsidRPr="002B2BF7">
        <w:rPr>
          <w:lang w:val="ru-RU" w:eastAsia="zh-CN" w:bidi="ar-EG"/>
        </w:rPr>
        <w:tab/>
        <w:t>активизировать деятельность по представлению примеров передовой практики и обмену опытом в области применения стандартов ИКТ, в том числе Рекомендаций МСЭ-R и МСЭ-Т, например, среди прочего, по технологии передачи информации по волоконно-оптическим кабелям, технологии сетей широкополосной связи, IMT, сетям последующих поколений и появляющимся технологиям, и укрепления доверия и безопасности при использовании ИКТ, путем организации курсов профессиональной подготовки и семинаров-практикумов специально для развивающихся стран, привлекая к этому процессу академические организации;</w:t>
      </w:r>
    </w:p>
    <w:p w14:paraId="5E09214A" w14:textId="77777777" w:rsidR="00150FA6" w:rsidRPr="002B2BF7" w:rsidRDefault="00150FA6" w:rsidP="00150FA6">
      <w:pPr>
        <w:rPr>
          <w:lang w:val="ru-RU" w:eastAsia="zh-CN" w:bidi="ar-EG"/>
        </w:rPr>
      </w:pPr>
      <w:r w:rsidRPr="002B2BF7">
        <w:rPr>
          <w:lang w:val="ru-RU" w:eastAsia="zh-CN" w:bidi="ar-EG"/>
        </w:rPr>
        <w:t>3</w:t>
      </w:r>
      <w:r w:rsidRPr="002B2BF7">
        <w:rPr>
          <w:lang w:val="ru-RU" w:eastAsia="zh-CN" w:bidi="ar-EG"/>
        </w:rPr>
        <w:tab/>
      </w:r>
      <w:r w:rsidRPr="002B2BF7">
        <w:rPr>
          <w:lang w:val="ru-RU"/>
        </w:rPr>
        <w:t>оценивать преимущество от применения оборудования, протестированного по Рекомендациям МСЭ-Т и МСЭ-R, в особенности в развивающихся странах, и обмениваться необходимой информацией и рекомендациями на основе передового опыта</w:t>
      </w:r>
      <w:r w:rsidRPr="002B2BF7">
        <w:rPr>
          <w:lang w:val="ru-RU" w:eastAsia="zh-CN" w:bidi="ar-EG"/>
        </w:rPr>
        <w:t>,</w:t>
      </w:r>
    </w:p>
    <w:p w14:paraId="1F4F0421" w14:textId="77777777" w:rsidR="00150FA6" w:rsidRPr="002B2BF7" w:rsidRDefault="00150FA6" w:rsidP="00150FA6">
      <w:pPr>
        <w:pStyle w:val="Call"/>
        <w:rPr>
          <w:lang w:val="ru-RU"/>
        </w:rPr>
      </w:pPr>
      <w:r w:rsidRPr="002B2BF7">
        <w:rPr>
          <w:lang w:val="ru-RU"/>
        </w:rPr>
        <w:t>поручает Директору Бюро развития электросвязи в тесном сотрудничестве с Директорами Бюро стандартизации электросвязи и Бюро радиосвязи</w:t>
      </w:r>
    </w:p>
    <w:p w14:paraId="355E1D36" w14:textId="77777777" w:rsidR="00150FA6" w:rsidRPr="002B2BF7" w:rsidRDefault="00150FA6" w:rsidP="00150FA6">
      <w:pPr>
        <w:rPr>
          <w:lang w:val="ru-RU"/>
        </w:rPr>
      </w:pPr>
      <w:r w:rsidRPr="002B2BF7">
        <w:rPr>
          <w:lang w:val="ru-RU"/>
        </w:rPr>
        <w:t>1</w:t>
      </w:r>
      <w:r w:rsidRPr="002B2BF7">
        <w:rPr>
          <w:lang w:val="ru-RU"/>
        </w:rPr>
        <w:tab/>
      </w:r>
      <w:r w:rsidRPr="002B2BF7">
        <w:rPr>
          <w:lang w:val="ru-RU" w:eastAsia="zh-CN" w:bidi="ar-EG"/>
        </w:rPr>
        <w:t xml:space="preserve">и далее </w:t>
      </w:r>
      <w:r w:rsidRPr="002B2BF7">
        <w:rPr>
          <w:lang w:val="ru-RU"/>
        </w:rPr>
        <w:t xml:space="preserve">оказывать содействие в привлечении развивающихся стран к участию в курсах профессиональной подготовки и семинарах-практикумах, организуемых МСЭ-D, с целью представить примеры передовой практики и обмениваться опытом в области применения </w:t>
      </w:r>
      <w:r w:rsidRPr="002B2BF7">
        <w:rPr>
          <w:lang w:val="ru-RU" w:eastAsia="zh-CN" w:bidi="ar-EG"/>
        </w:rPr>
        <w:t xml:space="preserve">стандартов ИКТ, в том числе </w:t>
      </w:r>
      <w:r w:rsidRPr="002B2BF7">
        <w:rPr>
          <w:lang w:val="ru-RU"/>
        </w:rPr>
        <w:t>Рекомендаций МСЭ-R и МСЭ-Т;</w:t>
      </w:r>
      <w:r w:rsidRPr="002B2BF7">
        <w:rPr>
          <w:lang w:val="ru-RU"/>
        </w:rPr>
        <w:br w:type="page"/>
      </w:r>
    </w:p>
    <w:p w14:paraId="7693756F" w14:textId="77777777" w:rsidR="00150FA6" w:rsidRPr="002B2BF7" w:rsidRDefault="00150FA6" w:rsidP="00150FA6">
      <w:pPr>
        <w:rPr>
          <w:lang w:val="ru-RU"/>
        </w:rPr>
      </w:pPr>
      <w:r w:rsidRPr="002B2BF7">
        <w:rPr>
          <w:lang w:val="ru-RU"/>
        </w:rPr>
        <w:lastRenderedPageBreak/>
        <w:t>2</w:t>
      </w:r>
      <w:r w:rsidRPr="002B2BF7">
        <w:rPr>
          <w:lang w:val="ru-RU"/>
        </w:rPr>
        <w:tab/>
        <w:t>оказывать развивающимся странам помощь в использовании руководящих указаний, установленных и разработанных МСЭ-Т, относительно применения Рекомендаций МСЭ-Т;</w:t>
      </w:r>
    </w:p>
    <w:p w14:paraId="120D14D8" w14:textId="77777777" w:rsidR="00150FA6" w:rsidRPr="002B2BF7" w:rsidRDefault="00150FA6" w:rsidP="00150FA6">
      <w:pPr>
        <w:rPr>
          <w:lang w:val="ru-RU"/>
        </w:rPr>
      </w:pPr>
      <w:r w:rsidRPr="002B2BF7">
        <w:rPr>
          <w:lang w:val="ru-RU"/>
        </w:rPr>
        <w:t>3</w:t>
      </w:r>
      <w:r w:rsidRPr="002B2BF7">
        <w:rPr>
          <w:lang w:val="ru-RU"/>
        </w:rPr>
        <w:tab/>
        <w:t>оказывать содействие в разработке методических указаний (руководств) по применению Рекомендаций МСЭ;</w:t>
      </w:r>
    </w:p>
    <w:p w14:paraId="1AE55D24" w14:textId="77777777" w:rsidR="00150FA6" w:rsidRPr="002B2BF7" w:rsidRDefault="00150FA6" w:rsidP="00150FA6">
      <w:pPr>
        <w:rPr>
          <w:lang w:val="ru-RU"/>
        </w:rPr>
      </w:pPr>
      <w:r w:rsidRPr="002B2BF7">
        <w:rPr>
          <w:lang w:val="ru-RU"/>
        </w:rPr>
        <w:t>4</w:t>
      </w:r>
      <w:r w:rsidRPr="002B2BF7">
        <w:rPr>
          <w:lang w:val="ru-RU"/>
        </w:rPr>
        <w:tab/>
        <w:t>во взаимодействии с другими Бюро оказывать помощь развивающимся странам в создании ими потенциала, с тем чтобы они могли выполнять проверку оборудования и систем, отвечающих их потребностям, на соответствие и функциональную совместимость в соответствии с надлежащими Рекомендациями, включая создание или признание, в зависимости от случая, органов по оценке соответствия;</w:t>
      </w:r>
    </w:p>
    <w:p w14:paraId="6C32EA2B" w14:textId="77777777" w:rsidR="00150FA6" w:rsidRPr="002B2BF7" w:rsidRDefault="00150FA6" w:rsidP="00150FA6">
      <w:pPr>
        <w:rPr>
          <w:lang w:val="ru-RU" w:eastAsia="zh-CN" w:bidi="ar-EG"/>
        </w:rPr>
      </w:pPr>
      <w:r w:rsidRPr="002B2BF7">
        <w:rPr>
          <w:lang w:val="ru-RU" w:eastAsia="zh-CN" w:bidi="ar-EG"/>
        </w:rPr>
        <w:t>5</w:t>
      </w:r>
      <w:r w:rsidRPr="002B2BF7">
        <w:rPr>
          <w:lang w:val="ru-RU" w:eastAsia="zh-CN" w:bidi="ar-EG"/>
        </w:rPr>
        <w:tab/>
        <w:t xml:space="preserve">во взаимодействии с Директором БР и, в соответствующих случаях, с производителями оборудования и систем, и признанными на международном и региональном уровнях организациями по разработке стандартов оказывать помощь Директору БСЭ в проведении мероприятий, предпочтительно в развивающихся странах, по оценке соответствия и проверке на функциональную совместимость и в содействии проведению этих мероприятий развивающимися странами; </w:t>
      </w:r>
    </w:p>
    <w:p w14:paraId="784E6762" w14:textId="77777777" w:rsidR="00150FA6" w:rsidRPr="002B2BF7" w:rsidRDefault="00150FA6" w:rsidP="00150FA6">
      <w:pPr>
        <w:rPr>
          <w:lang w:val="ru-RU" w:eastAsia="zh-CN" w:bidi="ar-EG"/>
        </w:rPr>
      </w:pPr>
      <w:r w:rsidRPr="002B2BF7">
        <w:rPr>
          <w:lang w:val="ru-RU" w:eastAsia="zh-CN" w:bidi="ar-EG"/>
        </w:rPr>
        <w:t>6</w:t>
      </w:r>
      <w:r w:rsidRPr="002B2BF7">
        <w:rPr>
          <w:lang w:val="ru-RU" w:eastAsia="zh-CN" w:bidi="ar-EG"/>
        </w:rPr>
        <w:tab/>
        <w:t>взаимодействовать с Директором БСЭ в целях создания потенциала развивающихся стран для их эффективного участия в этих мероприятиях и обеспечения вовлеченности в эти мероприятия, а также представлять мнения развивающихся стран по этой теме на основе ответов на вопросник, направляемый членам МСЭ в рамках соответствующей Программы БРЭ;</w:t>
      </w:r>
    </w:p>
    <w:p w14:paraId="72E10CDD" w14:textId="77777777" w:rsidR="00150FA6" w:rsidRPr="002B2BF7" w:rsidRDefault="00150FA6" w:rsidP="00150FA6">
      <w:pPr>
        <w:rPr>
          <w:lang w:val="ru-RU"/>
        </w:rPr>
      </w:pPr>
      <w:r w:rsidRPr="002B2BF7">
        <w:rPr>
          <w:lang w:val="ru-RU" w:eastAsia="zh-CN" w:bidi="ar-EG"/>
        </w:rPr>
        <w:t>7</w:t>
      </w:r>
      <w:r w:rsidRPr="002B2BF7">
        <w:rPr>
          <w:lang w:val="ru-RU"/>
        </w:rPr>
        <w:tab/>
        <w:t xml:space="preserve">содействовать, при сотрудничестве с региональными органами, обеспечивающими C&amp;I (например, в том числе, региональными органами по стандартизации, органами аккредитации, органами сертификации и лабораториями по тестированию), налаживанию технического сотрудничества в отношении оценки соответствия; </w:t>
      </w:r>
    </w:p>
    <w:p w14:paraId="3EB77AA3" w14:textId="77777777" w:rsidR="00150FA6" w:rsidRPr="002B2BF7" w:rsidRDefault="00150FA6" w:rsidP="00150FA6">
      <w:pPr>
        <w:rPr>
          <w:lang w:val="ru-RU"/>
        </w:rPr>
      </w:pPr>
      <w:r w:rsidRPr="002B2BF7">
        <w:rPr>
          <w:lang w:val="ru-RU" w:eastAsia="zh-CN" w:bidi="ar-EG"/>
        </w:rPr>
        <w:t>8</w:t>
      </w:r>
      <w:r w:rsidRPr="002B2BF7">
        <w:rPr>
          <w:lang w:val="ru-RU" w:eastAsia="zh-CN" w:bidi="ar-EG"/>
        </w:rPr>
        <w:tab/>
      </w:r>
      <w:r w:rsidRPr="002B2BF7">
        <w:rPr>
          <w:lang w:val="ru-RU"/>
        </w:rPr>
        <w:t xml:space="preserve">помогать развивающимся странам в создании региональных и субрегиональных центров по вопросам C&amp;I и поощрять сотрудничество частного и государственного секторов с правительственными и неправительственными, национальными и региональными организациями и международными органами по аккредитации и сертификации; </w:t>
      </w:r>
    </w:p>
    <w:p w14:paraId="1FE89EE7" w14:textId="77777777" w:rsidR="00150FA6" w:rsidRPr="002B2BF7" w:rsidRDefault="00150FA6" w:rsidP="00150FA6">
      <w:pPr>
        <w:rPr>
          <w:lang w:val="ru-RU"/>
        </w:rPr>
      </w:pPr>
      <w:r w:rsidRPr="002B2BF7">
        <w:rPr>
          <w:lang w:val="ru-RU" w:eastAsia="zh-CN" w:bidi="ar-EG"/>
        </w:rPr>
        <w:t>9</w:t>
      </w:r>
      <w:r w:rsidRPr="002B2BF7">
        <w:rPr>
          <w:lang w:val="ru-RU"/>
        </w:rPr>
        <w:tab/>
        <w:t xml:space="preserve">определять региональные и субрегиональные центры тестирования ИКТ в развивающихся странах в качестве центров профессионального мастерства МСЭ для тестирования, обучения и создания потенциала членов МСЭ как часть стратегий выполнения настоящей Резолюции; </w:t>
      </w:r>
    </w:p>
    <w:p w14:paraId="3A24B5AC" w14:textId="77777777" w:rsidR="00150FA6" w:rsidRPr="002B2BF7" w:rsidRDefault="00150FA6" w:rsidP="00150FA6">
      <w:pPr>
        <w:rPr>
          <w:lang w:val="ru-RU" w:eastAsia="zh-CN" w:bidi="ar-EG"/>
        </w:rPr>
      </w:pPr>
      <w:r w:rsidRPr="002B2BF7">
        <w:rPr>
          <w:lang w:val="ru-RU" w:eastAsia="zh-CN" w:bidi="ar-EG"/>
        </w:rPr>
        <w:t>10</w:t>
      </w:r>
      <w:r w:rsidRPr="002B2BF7">
        <w:rPr>
          <w:lang w:val="ru-RU" w:eastAsia="zh-CN" w:bidi="ar-EG"/>
        </w:rPr>
        <w:tab/>
      </w:r>
      <w:r w:rsidRPr="002B2BF7">
        <w:rPr>
          <w:lang w:val="ru-RU"/>
        </w:rPr>
        <w:t xml:space="preserve">использовать фонд стартовых средств МСЭ, предназначенный для проектов, и побуждать учреждения-доноры финансировать ежегодные программы создания потенциала и профессиональной подготовки в центрах тестирования, принятых в качестве центров профессионального мастерства МСЭ; </w:t>
      </w:r>
      <w:r w:rsidRPr="002B2BF7">
        <w:rPr>
          <w:lang w:val="ru-RU" w:eastAsia="zh-CN" w:bidi="ar-EG"/>
        </w:rPr>
        <w:br w:type="page"/>
      </w:r>
    </w:p>
    <w:p w14:paraId="2D5A5257" w14:textId="77777777" w:rsidR="00150FA6" w:rsidRPr="002B2BF7" w:rsidRDefault="00150FA6" w:rsidP="00150FA6">
      <w:pPr>
        <w:rPr>
          <w:lang w:val="ru-RU" w:eastAsia="zh-CN" w:bidi="ar-EG"/>
        </w:rPr>
      </w:pPr>
      <w:r w:rsidRPr="002B2BF7">
        <w:rPr>
          <w:lang w:val="ru-RU" w:eastAsia="zh-CN" w:bidi="ar-EG"/>
        </w:rPr>
        <w:lastRenderedPageBreak/>
        <w:t>11</w:t>
      </w:r>
      <w:r w:rsidRPr="002B2BF7">
        <w:rPr>
          <w:lang w:val="ru-RU" w:eastAsia="zh-CN" w:bidi="ar-EG"/>
        </w:rPr>
        <w:tab/>
        <w:t>координировать</w:t>
      </w:r>
      <w:r w:rsidRPr="002B2BF7">
        <w:rPr>
          <w:lang w:val="ru-RU"/>
        </w:rPr>
        <w:t xml:space="preserve"> и стимулировать создание потенциала, обеспечивая участие развивающихся стран в деятельности международных или</w:t>
      </w:r>
      <w:r w:rsidRPr="002B2BF7">
        <w:rPr>
          <w:lang w:val="ru-RU" w:eastAsia="zh-CN" w:bidi="ar-EG"/>
        </w:rPr>
        <w:t xml:space="preserve"> региональных лабораторий по тестированию, которые относятся к организациям или коммерческим структурам, специализирующимся на проверке соответствия и функциональной совместимости, в целях приобретения опыта такой работы;</w:t>
      </w:r>
    </w:p>
    <w:p w14:paraId="7D1598B0" w14:textId="77777777" w:rsidR="00150FA6" w:rsidRPr="002B2BF7" w:rsidRDefault="00150FA6" w:rsidP="00150FA6">
      <w:pPr>
        <w:rPr>
          <w:lang w:val="ru-RU"/>
        </w:rPr>
      </w:pPr>
      <w:r w:rsidRPr="002B2BF7">
        <w:rPr>
          <w:lang w:val="ru-RU" w:eastAsia="zh-CN" w:bidi="ar-EG"/>
        </w:rPr>
        <w:t>12</w:t>
      </w:r>
      <w:r w:rsidRPr="002B2BF7">
        <w:rPr>
          <w:lang w:val="ru-RU" w:eastAsia="zh-CN" w:bidi="ar-EG"/>
        </w:rPr>
        <w:tab/>
        <w:t xml:space="preserve">взаимодействовать с Директором БСЭ в целях выполнения рекомендуемых мер согласно Резолюции 76 (Пересм. Женева, 2022 г.), отраженных в Плане действий по Программе </w:t>
      </w:r>
      <w:r w:rsidRPr="002B2BF7">
        <w:rPr>
          <w:lang w:val="ru-RU"/>
        </w:rPr>
        <w:t>C&amp;I</w:t>
      </w:r>
      <w:r w:rsidRPr="002B2BF7">
        <w:rPr>
          <w:lang w:val="ru-RU" w:eastAsia="zh-CN" w:bidi="ar-EG"/>
        </w:rPr>
        <w:t xml:space="preserve"> и согласованных Советом </w:t>
      </w:r>
      <w:r w:rsidRPr="002B2BF7">
        <w:rPr>
          <w:lang w:val="ru-RU"/>
        </w:rPr>
        <w:t>на его сессии 2012 года и пересмотренных Советом на его сессии 2013 года;</w:t>
      </w:r>
    </w:p>
    <w:p w14:paraId="408F83E9" w14:textId="77777777" w:rsidR="00150FA6" w:rsidRPr="002B2BF7" w:rsidRDefault="00150FA6" w:rsidP="00150FA6">
      <w:pPr>
        <w:rPr>
          <w:lang w:val="ru-RU" w:eastAsia="zh-CN" w:bidi="ar-EG"/>
        </w:rPr>
      </w:pPr>
      <w:r w:rsidRPr="002B2BF7">
        <w:rPr>
          <w:lang w:val="ru-RU" w:eastAsia="zh-CN" w:bidi="ar-EG"/>
        </w:rPr>
        <w:t>13</w:t>
      </w:r>
      <w:r w:rsidRPr="002B2BF7">
        <w:rPr>
          <w:lang w:val="ru-RU" w:eastAsia="zh-CN" w:bidi="ar-EG"/>
        </w:rPr>
        <w:tab/>
        <w:t>возложить на соответствующую Программу БРЭ ответственность за осуществление последующей деятельности в соответствии с настоящей Резолюцией;</w:t>
      </w:r>
    </w:p>
    <w:p w14:paraId="5CC451BE" w14:textId="77777777" w:rsidR="00150FA6" w:rsidRPr="002B2BF7" w:rsidRDefault="00150FA6" w:rsidP="00150FA6">
      <w:pPr>
        <w:rPr>
          <w:lang w:val="ru-RU" w:eastAsia="zh-CN" w:bidi="ar-EG"/>
        </w:rPr>
      </w:pPr>
      <w:r w:rsidRPr="002B2BF7">
        <w:rPr>
          <w:lang w:val="ru-RU" w:eastAsia="zh-CN" w:bidi="ar-EG"/>
        </w:rPr>
        <w:t>14</w:t>
      </w:r>
      <w:r w:rsidRPr="002B2BF7">
        <w:rPr>
          <w:lang w:val="ru-RU" w:eastAsia="zh-CN" w:bidi="ar-EG"/>
        </w:rPr>
        <w:tab/>
        <w:t>представлять периодические отчеты Консультативной группе по развитию электросвязи о ходе выполнения настоящей Резолюции, а также отчет следующей всемирной конференции по развитию электросвязи о ходе выполнения настоящей Резолюции, который должен также содержать полученные выводы с целью обновления Резолюции на период после 2024 года;</w:t>
      </w:r>
    </w:p>
    <w:p w14:paraId="7280C687" w14:textId="77777777" w:rsidR="00150FA6" w:rsidRPr="002B2BF7" w:rsidRDefault="00150FA6" w:rsidP="00150FA6">
      <w:pPr>
        <w:rPr>
          <w:szCs w:val="24"/>
          <w:lang w:val="ru-RU" w:eastAsia="es-EC"/>
        </w:rPr>
      </w:pPr>
      <w:r w:rsidRPr="002B2BF7">
        <w:rPr>
          <w:lang w:val="ru-RU" w:eastAsia="zh-CN" w:bidi="ar-EG"/>
        </w:rPr>
        <w:t>15</w:t>
      </w:r>
      <w:r w:rsidRPr="002B2BF7">
        <w:rPr>
          <w:lang w:val="ru-RU" w:eastAsia="zh-CN" w:bidi="ar-EG"/>
        </w:rPr>
        <w:tab/>
      </w:r>
      <w:r w:rsidRPr="002B2BF7">
        <w:rPr>
          <w:szCs w:val="24"/>
          <w:lang w:val="ru-RU" w:eastAsia="es-EC"/>
        </w:rPr>
        <w:t xml:space="preserve">продолжать содействовать участию </w:t>
      </w:r>
      <w:r w:rsidRPr="002B2BF7">
        <w:rPr>
          <w:lang w:val="ru-RU"/>
        </w:rPr>
        <w:t>развивающихся стран в курсах профессиональной подготовки и семинарах-практикумах, организуемых МСЭ-D, с целью представить подходящие примеры передового опыта в области применения Рекомендаций МСЭ-R и МСЭ-Т</w:t>
      </w:r>
      <w:r w:rsidRPr="002B2BF7">
        <w:rPr>
          <w:szCs w:val="24"/>
          <w:lang w:val="ru-RU" w:eastAsia="es-EC"/>
        </w:rPr>
        <w:t>;</w:t>
      </w:r>
    </w:p>
    <w:p w14:paraId="514D2772" w14:textId="77777777" w:rsidR="00150FA6" w:rsidRPr="002B2BF7" w:rsidRDefault="00150FA6" w:rsidP="00150FA6">
      <w:pPr>
        <w:rPr>
          <w:lang w:val="ru-RU"/>
        </w:rPr>
      </w:pPr>
      <w:r w:rsidRPr="002B2BF7">
        <w:rPr>
          <w:lang w:val="ru-RU" w:eastAsia="es-EC"/>
        </w:rPr>
        <w:t>16</w:t>
      </w:r>
      <w:r w:rsidRPr="002B2BF7">
        <w:rPr>
          <w:lang w:val="ru-RU" w:eastAsia="es-EC"/>
        </w:rPr>
        <w:tab/>
      </w:r>
      <w:r w:rsidRPr="002B2BF7">
        <w:rPr>
          <w:lang w:val="ru-RU"/>
        </w:rPr>
        <w:t>поддерживать рассмотрение, внесение поправок, обновление или составление различных регуляторных инструментов, таких как технические стандарты, правила, процедуры оценки соответствия, руководящие указания по сертификации продуктов, оборудования, устройств или аппаратуры, которые могут быть соединены с сетью электросвязи;</w:t>
      </w:r>
    </w:p>
    <w:p w14:paraId="17EF2ABD" w14:textId="77777777" w:rsidR="00150FA6" w:rsidRPr="002B2BF7" w:rsidRDefault="00150FA6" w:rsidP="00150FA6">
      <w:pPr>
        <w:rPr>
          <w:lang w:val="ru-RU" w:eastAsia="zh-CN" w:bidi="ar-EG"/>
        </w:rPr>
      </w:pPr>
      <w:r w:rsidRPr="002B2BF7">
        <w:rPr>
          <w:lang w:val="ru-RU" w:eastAsia="es-EC"/>
        </w:rPr>
        <w:t>17</w:t>
      </w:r>
      <w:r w:rsidRPr="002B2BF7">
        <w:rPr>
          <w:lang w:val="ru-RU" w:eastAsia="es-EC"/>
        </w:rPr>
        <w:tab/>
        <w:t>содействовать согласованию процедур проверки на C&amp;I, укрепляя международный, региональный и национальный потенциал в этой области</w:t>
      </w:r>
      <w:r w:rsidRPr="002B2BF7">
        <w:rPr>
          <w:lang w:val="ru-RU" w:eastAsia="zh-CN" w:bidi="ar-EG"/>
        </w:rPr>
        <w:t>;</w:t>
      </w:r>
      <w:r w:rsidRPr="002B2BF7">
        <w:rPr>
          <w:lang w:val="ru-RU"/>
        </w:rPr>
        <w:t xml:space="preserve"> </w:t>
      </w:r>
    </w:p>
    <w:p w14:paraId="4D4764D5" w14:textId="77777777" w:rsidR="00150FA6" w:rsidRPr="002B2BF7" w:rsidRDefault="00150FA6" w:rsidP="00150FA6">
      <w:pPr>
        <w:rPr>
          <w:lang w:val="ru-RU"/>
        </w:rPr>
      </w:pPr>
      <w:r w:rsidRPr="002B2BF7">
        <w:rPr>
          <w:lang w:val="ru-RU"/>
        </w:rPr>
        <w:t>18</w:t>
      </w:r>
      <w:r w:rsidRPr="002B2BF7">
        <w:rPr>
          <w:lang w:val="ru-RU"/>
        </w:rPr>
        <w:tab/>
        <w:t>способствовать через региональные отделения МСЭ проведению совещаний экспертов на региональном и субрегиональном уровнях для повышения информированности в развивающихся странах по вопросу о создании надлежащей Программы C&amp;I в таких странах;</w:t>
      </w:r>
    </w:p>
    <w:p w14:paraId="46F426DB" w14:textId="77777777" w:rsidR="00150FA6" w:rsidRPr="002B2BF7" w:rsidRDefault="00150FA6" w:rsidP="00150FA6">
      <w:pPr>
        <w:rPr>
          <w:lang w:val="ru-RU"/>
        </w:rPr>
      </w:pPr>
      <w:r w:rsidRPr="002B2BF7">
        <w:rPr>
          <w:lang w:val="ru-RU"/>
        </w:rPr>
        <w:t>19</w:t>
      </w:r>
      <w:r w:rsidRPr="002B2BF7">
        <w:rPr>
          <w:lang w:val="ru-RU"/>
        </w:rPr>
        <w:tab/>
        <w:t>оказывать помощь Государствам-Членам в наращивании их потенциала в области оценки соответствия и тестирования в целях борьбы с контрафактными устройствами и предоставлять экспертную помощь развивающимся странам;</w:t>
      </w:r>
    </w:p>
    <w:p w14:paraId="1F83737B" w14:textId="77777777" w:rsidR="00150FA6" w:rsidRPr="002B2BF7" w:rsidRDefault="00150FA6" w:rsidP="00150FA6">
      <w:pPr>
        <w:rPr>
          <w:i/>
          <w:lang w:val="ru-RU"/>
        </w:rPr>
      </w:pPr>
      <w:r w:rsidRPr="002B2BF7">
        <w:rPr>
          <w:lang w:val="ru-RU"/>
        </w:rPr>
        <w:t>20</w:t>
      </w:r>
      <w:r w:rsidRPr="002B2BF7">
        <w:rPr>
          <w:lang w:val="ru-RU"/>
        </w:rPr>
        <w:tab/>
        <w:t>представлять отчеты о ходе осуществления деятельности Совету на рассмотрение и для принятия необходимых мер,</w:t>
      </w:r>
      <w:r w:rsidRPr="002B2BF7">
        <w:rPr>
          <w:lang w:val="ru-RU"/>
        </w:rPr>
        <w:br w:type="page"/>
      </w:r>
    </w:p>
    <w:p w14:paraId="10F1F9F2" w14:textId="77777777" w:rsidR="00150FA6" w:rsidRPr="002B2BF7" w:rsidRDefault="00150FA6" w:rsidP="00150FA6">
      <w:pPr>
        <w:pStyle w:val="Call"/>
        <w:rPr>
          <w:lang w:val="ru-RU"/>
        </w:rPr>
      </w:pPr>
      <w:r w:rsidRPr="002B2BF7">
        <w:rPr>
          <w:lang w:val="ru-RU"/>
        </w:rPr>
        <w:lastRenderedPageBreak/>
        <w:t>предлагает Совету МСЭ</w:t>
      </w:r>
    </w:p>
    <w:p w14:paraId="2E0E7E99" w14:textId="77777777" w:rsidR="00150FA6" w:rsidRPr="002B2BF7" w:rsidRDefault="00150FA6" w:rsidP="00150FA6">
      <w:pPr>
        <w:rPr>
          <w:lang w:val="ru-RU"/>
        </w:rPr>
      </w:pPr>
      <w:r w:rsidRPr="002B2BF7">
        <w:rPr>
          <w:lang w:val="ru-RU"/>
        </w:rPr>
        <w:t xml:space="preserve">рассмотреть отчет Директора, </w:t>
      </w:r>
    </w:p>
    <w:p w14:paraId="7D1B8A92" w14:textId="77777777" w:rsidR="00150FA6" w:rsidRPr="002B2BF7" w:rsidRDefault="00150FA6" w:rsidP="00150FA6">
      <w:pPr>
        <w:pStyle w:val="Call"/>
        <w:rPr>
          <w:lang w:val="ru-RU" w:eastAsia="es-EC"/>
        </w:rPr>
      </w:pPr>
      <w:r w:rsidRPr="002B2BF7">
        <w:rPr>
          <w:lang w:val="ru-RU"/>
        </w:rPr>
        <w:t>предлагает Государствам-Членам и Членам Сектора</w:t>
      </w:r>
    </w:p>
    <w:p w14:paraId="249FFED3" w14:textId="77777777" w:rsidR="00150FA6" w:rsidRPr="002B2BF7" w:rsidRDefault="00150FA6" w:rsidP="00150FA6">
      <w:pPr>
        <w:keepNext/>
        <w:keepLines/>
        <w:rPr>
          <w:lang w:val="ru-RU" w:eastAsia="es-EC"/>
        </w:rPr>
      </w:pPr>
      <w:r w:rsidRPr="002B2BF7">
        <w:rPr>
          <w:lang w:val="ru-RU" w:eastAsia="es-EC"/>
        </w:rPr>
        <w:t>1</w:t>
      </w:r>
      <w:r w:rsidRPr="002B2BF7">
        <w:rPr>
          <w:lang w:val="ru-RU" w:eastAsia="es-EC"/>
        </w:rPr>
        <w:tab/>
        <w:t>вносить вклад в осуществление настоящей Резолюции, в том числе путем:</w:t>
      </w:r>
    </w:p>
    <w:p w14:paraId="28FF9AD4" w14:textId="77777777" w:rsidR="00150FA6" w:rsidRPr="002B2BF7" w:rsidRDefault="00150FA6" w:rsidP="00150FA6">
      <w:pPr>
        <w:pStyle w:val="enumlev1"/>
        <w:rPr>
          <w:lang w:val="ru-RU" w:eastAsia="es-EC"/>
        </w:rPr>
      </w:pPr>
      <w:r w:rsidRPr="002B2BF7">
        <w:rPr>
          <w:lang w:val="ru-RU" w:eastAsia="es-EC"/>
        </w:rPr>
        <w:t>i)</w:t>
      </w:r>
      <w:r w:rsidRPr="002B2BF7">
        <w:rPr>
          <w:lang w:val="ru-RU" w:eastAsia="es-EC"/>
        </w:rPr>
        <w:tab/>
        <w:t>составления спецификации требований к проведению проверки на C&amp;I, активно представляя вклады в соответствующие исследовательские комиссии;</w:t>
      </w:r>
    </w:p>
    <w:p w14:paraId="70E37700" w14:textId="77777777" w:rsidR="00150FA6" w:rsidRPr="002B2BF7" w:rsidRDefault="00150FA6" w:rsidP="00150FA6">
      <w:pPr>
        <w:pStyle w:val="enumlev1"/>
        <w:rPr>
          <w:lang w:val="ru-RU" w:eastAsia="es-EC"/>
        </w:rPr>
      </w:pPr>
      <w:r w:rsidRPr="002B2BF7">
        <w:rPr>
          <w:lang w:val="ru-RU" w:eastAsia="es-EC"/>
        </w:rPr>
        <w:t>ii)</w:t>
      </w:r>
      <w:r w:rsidRPr="002B2BF7">
        <w:rPr>
          <w:lang w:val="ru-RU" w:eastAsia="es-EC"/>
        </w:rPr>
        <w:tab/>
        <w:t>рассмотрения возможности сотрудничества в деятельности по C&amp;I в будущем;</w:t>
      </w:r>
    </w:p>
    <w:p w14:paraId="61593FD9" w14:textId="77777777" w:rsidR="00150FA6" w:rsidRPr="002B2BF7" w:rsidRDefault="00150FA6" w:rsidP="00150FA6">
      <w:pPr>
        <w:rPr>
          <w:lang w:val="ru-RU"/>
        </w:rPr>
      </w:pPr>
      <w:r w:rsidRPr="002B2BF7">
        <w:rPr>
          <w:lang w:val="ru-RU" w:eastAsia="es-EC"/>
        </w:rPr>
        <w:t>2</w:t>
      </w:r>
      <w:r w:rsidRPr="002B2BF7">
        <w:rPr>
          <w:lang w:val="ru-RU" w:eastAsia="es-EC"/>
        </w:rPr>
        <w:tab/>
        <w:t>стимулировать национальные и региональные органы, ответственные за соответствие оборудования и систем ИКТ, к внесению вклада в выполнение настоящей Рекомендации;</w:t>
      </w:r>
    </w:p>
    <w:p w14:paraId="37F3439F" w14:textId="77777777" w:rsidR="00150FA6" w:rsidRPr="002B2BF7" w:rsidRDefault="00150FA6" w:rsidP="00150FA6">
      <w:pPr>
        <w:rPr>
          <w:lang w:val="ru-RU" w:eastAsia="zh-CN" w:bidi="ar-EG"/>
        </w:rPr>
      </w:pPr>
      <w:r w:rsidRPr="002B2BF7">
        <w:rPr>
          <w:lang w:val="ru-RU"/>
        </w:rPr>
        <w:t>3</w:t>
      </w:r>
      <w:r w:rsidRPr="002B2BF7">
        <w:rPr>
          <w:lang w:val="ru-RU"/>
        </w:rPr>
        <w:tab/>
        <w:t xml:space="preserve">обмениваться специальными знаниями и опытом </w:t>
      </w:r>
      <w:r w:rsidRPr="002B2BF7">
        <w:rPr>
          <w:lang w:val="ru-RU" w:eastAsia="zh-CN" w:bidi="ar-EG"/>
        </w:rPr>
        <w:t>по вопросам C&amp;I с целью наращивания знаний и обмена опытом,</w:t>
      </w:r>
    </w:p>
    <w:p w14:paraId="0A75F1CC" w14:textId="77777777" w:rsidR="00150FA6" w:rsidRPr="002B2BF7" w:rsidRDefault="00150FA6" w:rsidP="00150FA6">
      <w:pPr>
        <w:rPr>
          <w:lang w:val="ru-RU"/>
        </w:rPr>
      </w:pPr>
      <w:r w:rsidRPr="002B2BF7">
        <w:rPr>
          <w:lang w:val="ru-RU"/>
        </w:rPr>
        <w:t>4</w:t>
      </w:r>
      <w:r w:rsidRPr="002B2BF7">
        <w:rPr>
          <w:lang w:val="ru-RU"/>
        </w:rPr>
        <w:tab/>
        <w:t>создавать благоприятные условия, для того чтобы производители оборудования ИКТ рассматривали проектирование и производство оборудования на местном уровне в развивающихся странах;</w:t>
      </w:r>
    </w:p>
    <w:p w14:paraId="69C9DA13" w14:textId="77777777" w:rsidR="00150FA6" w:rsidRPr="002B2BF7" w:rsidRDefault="00150FA6" w:rsidP="00150FA6">
      <w:pPr>
        <w:rPr>
          <w:lang w:val="ru-RU"/>
        </w:rPr>
      </w:pPr>
      <w:r w:rsidRPr="002B2BF7">
        <w:rPr>
          <w:lang w:val="ru-RU"/>
        </w:rPr>
        <w:t>5</w:t>
      </w:r>
      <w:r w:rsidRPr="002B2BF7">
        <w:rPr>
          <w:lang w:val="ru-RU"/>
        </w:rPr>
        <w:tab/>
        <w:t xml:space="preserve">развивать и совершенствовать механизмы взаимного признания проверки на </w:t>
      </w:r>
      <w:r w:rsidRPr="002B2BF7">
        <w:rPr>
          <w:rFonts w:eastAsia="TimesNewRoman"/>
          <w:lang w:val="ru-RU" w:eastAsia="zh-CN"/>
        </w:rPr>
        <w:t>C&amp;I и результатов</w:t>
      </w:r>
      <w:r w:rsidRPr="002B2BF7">
        <w:rPr>
          <w:lang w:val="ru-RU"/>
        </w:rPr>
        <w:t>, включая механизмы и методы анализа данных между различными региональными центрами тестирования;</w:t>
      </w:r>
    </w:p>
    <w:p w14:paraId="7FC0093A" w14:textId="77777777" w:rsidR="00150FA6" w:rsidRPr="002B2BF7" w:rsidRDefault="00150FA6" w:rsidP="00150FA6">
      <w:pPr>
        <w:rPr>
          <w:lang w:val="ru-RU"/>
        </w:rPr>
      </w:pPr>
      <w:r w:rsidRPr="002B2BF7">
        <w:rPr>
          <w:rFonts w:eastAsia="TimesNewRoman"/>
          <w:lang w:val="ru-RU" w:eastAsia="zh-CN"/>
        </w:rPr>
        <w:t>6</w:t>
      </w:r>
      <w:r w:rsidRPr="002B2BF7">
        <w:rPr>
          <w:rFonts w:eastAsia="TimesNewRoman"/>
          <w:lang w:val="ru-RU" w:eastAsia="zh-CN"/>
        </w:rPr>
        <w:tab/>
      </w:r>
      <w:r w:rsidRPr="002B2BF7">
        <w:rPr>
          <w:lang w:val="ru-RU"/>
        </w:rPr>
        <w:t xml:space="preserve">работать сообща для борьбы с контрафактным оборудованием, используя созданные на национальном и/или региональном уровне системы оценки соответствия; </w:t>
      </w:r>
    </w:p>
    <w:p w14:paraId="052EFFB8" w14:textId="77777777" w:rsidR="00150FA6" w:rsidRPr="002B2BF7" w:rsidRDefault="00150FA6" w:rsidP="00150FA6">
      <w:pPr>
        <w:rPr>
          <w:lang w:val="ru-RU"/>
        </w:rPr>
      </w:pPr>
      <w:r w:rsidRPr="002B2BF7">
        <w:rPr>
          <w:lang w:val="ru-RU"/>
        </w:rPr>
        <w:t>7</w:t>
      </w:r>
      <w:r w:rsidRPr="002B2BF7">
        <w:rPr>
          <w:lang w:val="ru-RU"/>
        </w:rPr>
        <w:tab/>
      </w:r>
      <w:r w:rsidRPr="002B2BF7">
        <w:rPr>
          <w:lang w:val="ru-RU" w:eastAsia="es-EC"/>
        </w:rPr>
        <w:t>оценивать риски и затраты из-за отсутствия соответствия применимым международным стандартам, в особенности в развивающихся странах, и совместно использовать необходимую информацию и рекомендации относительно передового опыта для предотвращения убытков,</w:t>
      </w:r>
    </w:p>
    <w:p w14:paraId="7714DCE1" w14:textId="77777777" w:rsidR="00150FA6" w:rsidRPr="002B2BF7" w:rsidRDefault="00150FA6" w:rsidP="00150FA6">
      <w:pPr>
        <w:pStyle w:val="Call"/>
        <w:rPr>
          <w:lang w:val="ru-RU"/>
        </w:rPr>
      </w:pPr>
      <w:r w:rsidRPr="002B2BF7">
        <w:rPr>
          <w:lang w:val="ru-RU"/>
        </w:rPr>
        <w:t>предлагает организациям, аттестованным в соответствии с Рекомендацией МСЭ-Т А.5</w:t>
      </w:r>
      <w:r w:rsidRPr="002B2BF7">
        <w:rPr>
          <w:i w:val="0"/>
          <w:iCs/>
          <w:lang w:val="ru-RU"/>
        </w:rPr>
        <w:t>,</w:t>
      </w:r>
    </w:p>
    <w:p w14:paraId="766A95ED" w14:textId="77777777" w:rsidR="00150FA6" w:rsidRDefault="00150FA6" w:rsidP="00150FA6">
      <w:pPr>
        <w:rPr>
          <w:lang w:val="ru-RU"/>
        </w:rPr>
      </w:pPr>
      <w:r w:rsidRPr="002B2BF7">
        <w:rPr>
          <w:lang w:val="ru-RU"/>
        </w:rPr>
        <w:t xml:space="preserve">совместно с Директором БРЭ и Директором БСЭ, в соответствии с Резолюцией 177 (Пересм. Дубай, 2018 г.) о </w:t>
      </w:r>
      <w:r w:rsidRPr="002B2BF7">
        <w:rPr>
          <w:lang w:val="ru-RU" w:eastAsia="zh-CN" w:bidi="ar-EG"/>
        </w:rPr>
        <w:t>C&amp;I</w:t>
      </w:r>
      <w:r w:rsidRPr="002B2BF7">
        <w:rPr>
          <w:lang w:val="ru-RU"/>
        </w:rPr>
        <w:t>, работать над созданием в развивающихся странах потенциала в области проверки на C&amp;I, включая профессиональную подготовку.</w:t>
      </w:r>
    </w:p>
    <w:p w14:paraId="3FBB6BCD" w14:textId="77777777" w:rsidR="00E45F09" w:rsidRPr="00150FA6" w:rsidRDefault="00E45F09" w:rsidP="00150FA6">
      <w:pPr>
        <w:rPr>
          <w:lang w:val="ru-RU"/>
        </w:rPr>
      </w:pPr>
    </w:p>
    <w:sectPr w:rsidR="00E45F09" w:rsidRPr="00150FA6" w:rsidSect="003E584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AEC4" w14:textId="77777777" w:rsidR="003E584B" w:rsidRDefault="003E584B" w:rsidP="003E584B">
      <w:pPr>
        <w:spacing w:before="0"/>
      </w:pPr>
      <w:r>
        <w:separator/>
      </w:r>
    </w:p>
  </w:endnote>
  <w:endnote w:type="continuationSeparator" w:id="0">
    <w:p w14:paraId="55BD7F9B" w14:textId="77777777" w:rsidR="003E584B" w:rsidRDefault="003E584B" w:rsidP="003E58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2D65" w14:textId="77777777" w:rsidR="003E584B" w:rsidRDefault="003E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6E26" w14:textId="77777777" w:rsidR="003E584B" w:rsidRDefault="003E5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AAEB" w14:textId="77777777" w:rsidR="003E584B" w:rsidRDefault="003E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58AD" w14:textId="77777777" w:rsidR="003E584B" w:rsidRDefault="003E584B" w:rsidP="003E584B">
      <w:pPr>
        <w:spacing w:before="0"/>
      </w:pPr>
      <w:r>
        <w:separator/>
      </w:r>
    </w:p>
  </w:footnote>
  <w:footnote w:type="continuationSeparator" w:id="0">
    <w:p w14:paraId="72557AB2" w14:textId="77777777" w:rsidR="003E584B" w:rsidRDefault="003E584B" w:rsidP="003E584B">
      <w:pPr>
        <w:spacing w:before="0"/>
      </w:pPr>
      <w:r>
        <w:continuationSeparator/>
      </w:r>
    </w:p>
  </w:footnote>
  <w:footnote w:id="1">
    <w:p w14:paraId="72069E67" w14:textId="77777777" w:rsidR="00150FA6" w:rsidRPr="00FE2866" w:rsidRDefault="00150FA6" w:rsidP="00150FA6">
      <w:pPr>
        <w:pStyle w:val="FootnoteText"/>
        <w:tabs>
          <w:tab w:val="left" w:pos="568"/>
        </w:tabs>
        <w:spacing w:after="120"/>
        <w:rPr>
          <w:lang w:val="ru-RU"/>
        </w:rPr>
      </w:pPr>
      <w:r>
        <w:rPr>
          <w:rStyle w:val="FootnoteReference"/>
        </w:rPr>
        <w:footnoteRef/>
      </w:r>
      <w:r>
        <w:rPr>
          <w:rStyle w:val="FootnoteReference"/>
          <w:lang w:val="ru-RU"/>
        </w:rPr>
        <w:tab/>
      </w:r>
      <w:r w:rsidRPr="00FE2866">
        <w:rPr>
          <w:lang w:val="ru-RU"/>
        </w:rPr>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157714"/>
      <w:docPartObj>
        <w:docPartGallery w:val="Page Numbers (Top of Page)"/>
        <w:docPartUnique/>
      </w:docPartObj>
    </w:sdtPr>
    <w:sdtEndPr>
      <w:rPr>
        <w:noProof/>
        <w:szCs w:val="22"/>
      </w:rPr>
    </w:sdtEndPr>
    <w:sdtContent>
      <w:p w14:paraId="4EAB3C34" w14:textId="74BADA2C" w:rsidR="003E584B" w:rsidRPr="003E584B" w:rsidRDefault="003E584B" w:rsidP="003E584B">
        <w:pPr>
          <w:pStyle w:val="Header"/>
          <w:tabs>
            <w:tab w:val="clear" w:pos="4513"/>
            <w:tab w:val="left" w:pos="851"/>
          </w:tabs>
          <w:jc w:val="left"/>
          <w:rPr>
            <w:szCs w:val="22"/>
            <w:lang w:val="ru-RU"/>
          </w:rPr>
        </w:pPr>
        <w:r w:rsidRPr="00BF1EE0">
          <w:rPr>
            <w:szCs w:val="22"/>
          </w:rPr>
          <w:fldChar w:fldCharType="begin"/>
        </w:r>
        <w:r w:rsidRPr="00E3202A">
          <w:rPr>
            <w:szCs w:val="22"/>
            <w:lang w:val="ru-RU"/>
          </w:rPr>
          <w:instrText xml:space="preserve"> </w:instrText>
        </w:r>
        <w:r w:rsidRPr="00BF1EE0">
          <w:rPr>
            <w:szCs w:val="22"/>
          </w:rPr>
          <w:instrText>PAGE</w:instrText>
        </w:r>
        <w:r w:rsidRPr="00E3202A">
          <w:rPr>
            <w:szCs w:val="22"/>
            <w:lang w:val="ru-RU"/>
          </w:rPr>
          <w:instrText xml:space="preserve">   \* </w:instrText>
        </w:r>
        <w:r w:rsidRPr="00BF1EE0">
          <w:rPr>
            <w:szCs w:val="22"/>
          </w:rPr>
          <w:instrText>MERGEFORMAT</w:instrText>
        </w:r>
        <w:r w:rsidRPr="00E3202A">
          <w:rPr>
            <w:szCs w:val="22"/>
            <w:lang w:val="ru-RU"/>
          </w:rPr>
          <w:instrText xml:space="preserve"> </w:instrText>
        </w:r>
        <w:r w:rsidRPr="00BF1EE0">
          <w:rPr>
            <w:szCs w:val="22"/>
          </w:rPr>
          <w:fldChar w:fldCharType="separate"/>
        </w:r>
        <w:r w:rsidRPr="003E584B">
          <w:rPr>
            <w:szCs w:val="22"/>
            <w:lang w:val="ru-RU"/>
          </w:rPr>
          <w:t>144</w:t>
        </w:r>
        <w:r w:rsidRPr="00BF1EE0">
          <w:rPr>
            <w:noProof/>
            <w:szCs w:val="22"/>
          </w:rPr>
          <w:fldChar w:fldCharType="end"/>
        </w:r>
        <w:r w:rsidRPr="00E3202A">
          <w:rPr>
            <w:noProof/>
            <w:szCs w:val="22"/>
            <w:lang w:val="ru-RU"/>
          </w:rPr>
          <w:tab/>
        </w:r>
        <w:r w:rsidRPr="00E3202A">
          <w:rPr>
            <w:szCs w:val="22"/>
            <w:lang w:val="ru-RU"/>
          </w:rPr>
          <w:t xml:space="preserve">Заключительный отчет ВКРЭ-22 – Часть </w:t>
        </w:r>
        <w:r w:rsidRPr="00895A25">
          <w:rPr>
            <w:szCs w:val="22"/>
          </w:rPr>
          <w:t>IV</w:t>
        </w:r>
        <w:r w:rsidRPr="00E3202A">
          <w:rPr>
            <w:szCs w:val="22"/>
            <w:lang w:val="ru-RU"/>
          </w:rPr>
          <w:t xml:space="preserve"> – </w:t>
        </w:r>
        <w:r w:rsidRPr="00895A25">
          <w:rPr>
            <w:szCs w:val="22"/>
            <w:lang w:val="ru-RU"/>
          </w:rPr>
          <w:t>Резолюци</w:t>
        </w:r>
        <w:r>
          <w:rPr>
            <w:szCs w:val="22"/>
            <w:lang w:val="ru-RU"/>
          </w:rPr>
          <w:t xml:space="preserve">я </w:t>
        </w:r>
        <w:r w:rsidRPr="00F910FE">
          <w:rPr>
            <w:szCs w:val="22"/>
          </w:rPr>
          <w:fldChar w:fldCharType="begin"/>
        </w:r>
        <w:r w:rsidRPr="00F910FE">
          <w:rPr>
            <w:szCs w:val="22"/>
          </w:rPr>
          <w:instrText>styleref</w:instrText>
        </w:r>
        <w:r w:rsidRPr="00E3202A">
          <w:rPr>
            <w:szCs w:val="22"/>
            <w:lang w:val="ru-RU"/>
          </w:rPr>
          <w:instrText xml:space="preserve"> </w:instrText>
        </w:r>
        <w:r w:rsidRPr="00F910FE">
          <w:rPr>
            <w:szCs w:val="22"/>
          </w:rPr>
          <w:instrText>href</w:instrText>
        </w:r>
        <w:r w:rsidRPr="00F910FE">
          <w:rPr>
            <w:szCs w:val="22"/>
          </w:rPr>
          <w:fldChar w:fldCharType="separate"/>
        </w:r>
        <w:r w:rsidR="00150FA6">
          <w:rPr>
            <w:noProof/>
            <w:szCs w:val="22"/>
          </w:rPr>
          <w:t>47</w:t>
        </w:r>
        <w:r w:rsidRPr="00F910FE">
          <w:rPr>
            <w:szCs w:val="22"/>
            <w:lang w:val="ru-RU"/>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0513" w14:textId="1A8E97FF" w:rsidR="003E584B" w:rsidRPr="003E584B" w:rsidRDefault="003E584B" w:rsidP="003E584B">
    <w:pPr>
      <w:pStyle w:val="Header"/>
      <w:tabs>
        <w:tab w:val="clear" w:pos="4513"/>
        <w:tab w:val="clear" w:pos="9026"/>
        <w:tab w:val="right" w:pos="8789"/>
        <w:tab w:val="right" w:pos="9639"/>
      </w:tabs>
      <w:jc w:val="right"/>
      <w:rPr>
        <w:szCs w:val="22"/>
        <w:lang w:val="ru-RU"/>
      </w:rPr>
    </w:pPr>
    <w:r>
      <w:rPr>
        <w:szCs w:val="22"/>
      </w:rPr>
      <w:tab/>
    </w:r>
    <w:r w:rsidRPr="00E3202A">
      <w:rPr>
        <w:szCs w:val="22"/>
        <w:lang w:val="ru-RU"/>
      </w:rPr>
      <w:t xml:space="preserve">Заключительный отчет ВКРЭ-22 – Часть </w:t>
    </w:r>
    <w:r w:rsidRPr="00895A25">
      <w:rPr>
        <w:szCs w:val="22"/>
      </w:rPr>
      <w:t>IV</w:t>
    </w:r>
    <w:r w:rsidRPr="00895A25">
      <w:rPr>
        <w:szCs w:val="22"/>
        <w:lang w:val="ru-RU"/>
      </w:rPr>
      <w:t xml:space="preserve"> − Резолюци</w:t>
    </w:r>
    <w:r>
      <w:rPr>
        <w:szCs w:val="22"/>
        <w:lang w:val="ru-RU"/>
      </w:rPr>
      <w:t xml:space="preserve">я </w:t>
    </w:r>
    <w:r w:rsidRPr="00F910FE">
      <w:rPr>
        <w:szCs w:val="22"/>
      </w:rPr>
      <w:fldChar w:fldCharType="begin"/>
    </w:r>
    <w:r w:rsidRPr="00F910FE">
      <w:rPr>
        <w:szCs w:val="22"/>
      </w:rPr>
      <w:instrText>styleref</w:instrText>
    </w:r>
    <w:r w:rsidRPr="00E3202A">
      <w:rPr>
        <w:szCs w:val="22"/>
        <w:lang w:val="ru-RU"/>
      </w:rPr>
      <w:instrText xml:space="preserve"> </w:instrText>
    </w:r>
    <w:r w:rsidRPr="00F910FE">
      <w:rPr>
        <w:szCs w:val="22"/>
      </w:rPr>
      <w:instrText>href</w:instrText>
    </w:r>
    <w:r w:rsidRPr="00F910FE">
      <w:rPr>
        <w:szCs w:val="22"/>
      </w:rPr>
      <w:fldChar w:fldCharType="separate"/>
    </w:r>
    <w:r w:rsidR="00150FA6">
      <w:rPr>
        <w:noProof/>
        <w:szCs w:val="22"/>
      </w:rPr>
      <w:t>47</w:t>
    </w:r>
    <w:r w:rsidRPr="00F910FE">
      <w:rPr>
        <w:szCs w:val="22"/>
        <w:lang w:val="ru-RU"/>
      </w:rPr>
      <w:fldChar w:fldCharType="end"/>
    </w:r>
    <w:r w:rsidRPr="00E3202A">
      <w:rPr>
        <w:szCs w:val="22"/>
        <w:lang w:val="ru-RU"/>
      </w:rPr>
      <w:tab/>
    </w:r>
    <w:r w:rsidRPr="00763A31">
      <w:fldChar w:fldCharType="begin"/>
    </w:r>
    <w:r w:rsidRPr="00E3202A">
      <w:rPr>
        <w:lang w:val="ru-RU"/>
      </w:rPr>
      <w:instrText xml:space="preserve"> </w:instrText>
    </w:r>
    <w:r w:rsidRPr="00763A31">
      <w:instrText>PAGE</w:instrText>
    </w:r>
    <w:r w:rsidRPr="00E3202A">
      <w:rPr>
        <w:lang w:val="ru-RU"/>
      </w:rPr>
      <w:instrText xml:space="preserve">   \* </w:instrText>
    </w:r>
    <w:r w:rsidRPr="00763A31">
      <w:instrText>MERGEFORMAT</w:instrText>
    </w:r>
    <w:r w:rsidRPr="00E3202A">
      <w:rPr>
        <w:lang w:val="ru-RU"/>
      </w:rPr>
      <w:instrText xml:space="preserve"> </w:instrText>
    </w:r>
    <w:r w:rsidRPr="00763A31">
      <w:fldChar w:fldCharType="separate"/>
    </w:r>
    <w:r w:rsidRPr="003E584B">
      <w:rPr>
        <w:lang w:val="ru-RU"/>
      </w:rPr>
      <w:t>143</w:t>
    </w:r>
    <w:r w:rsidRPr="00763A3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7C37" w14:textId="77777777" w:rsidR="003E584B" w:rsidRDefault="003E58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4B"/>
    <w:rsid w:val="000D1BE4"/>
    <w:rsid w:val="000F689C"/>
    <w:rsid w:val="00150FA6"/>
    <w:rsid w:val="00155E4F"/>
    <w:rsid w:val="00373FF6"/>
    <w:rsid w:val="003E584B"/>
    <w:rsid w:val="00791A97"/>
    <w:rsid w:val="009D3EFE"/>
    <w:rsid w:val="00D90490"/>
    <w:rsid w:val="00DD3985"/>
    <w:rsid w:val="00E45F09"/>
    <w:rsid w:val="00FF5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12872"/>
  <w15:chartTrackingRefBased/>
  <w15:docId w15:val="{5D9E5091-FCB2-40A4-8374-0543ED67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4B"/>
    <w:pPr>
      <w:tabs>
        <w:tab w:val="left" w:pos="1134"/>
        <w:tab w:val="left" w:pos="1871"/>
        <w:tab w:val="left" w:pos="2268"/>
      </w:tabs>
      <w:overflowPunct w:val="0"/>
      <w:autoSpaceDE w:val="0"/>
      <w:autoSpaceDN w:val="0"/>
      <w:adjustRightInd w:val="0"/>
      <w:spacing w:before="120" w:after="0" w:line="240" w:lineRule="auto"/>
      <w:jc w:val="both"/>
      <w:textAlignment w:val="baseline"/>
    </w:pPr>
    <w:rPr>
      <w:rFonts w:ascii="Calibri" w:eastAsia="Times New Roman" w:hAnsi="Calibri" w:cs="Times New Roman"/>
      <w:kern w:val="0"/>
      <w:sz w:val="24"/>
      <w:szCs w:val="20"/>
      <w14:ligatures w14:val="none"/>
    </w:rPr>
  </w:style>
  <w:style w:type="paragraph" w:styleId="Heading2">
    <w:name w:val="heading 2"/>
    <w:basedOn w:val="Normal"/>
    <w:next w:val="Normal"/>
    <w:link w:val="Heading2Char"/>
    <w:uiPriority w:val="9"/>
    <w:semiHidden/>
    <w:unhideWhenUsed/>
    <w:qFormat/>
    <w:rsid w:val="003E58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3E584B"/>
    <w:pPr>
      <w:keepNext/>
      <w:keepLines/>
      <w:spacing w:before="160"/>
      <w:ind w:left="1134"/>
    </w:pPr>
    <w:rPr>
      <w:i/>
    </w:rPr>
  </w:style>
  <w:style w:type="paragraph" w:customStyle="1" w:styleId="Normalaftertitle">
    <w:name w:val="Normal after title"/>
    <w:basedOn w:val="Normal"/>
    <w:next w:val="Normal"/>
    <w:link w:val="NormalaftertitleChar"/>
    <w:rsid w:val="003E584B"/>
    <w:pPr>
      <w:spacing w:before="280"/>
    </w:pPr>
  </w:style>
  <w:style w:type="character" w:customStyle="1" w:styleId="NormalaftertitleChar">
    <w:name w:val="Normal after title Char"/>
    <w:basedOn w:val="DefaultParagraphFont"/>
    <w:link w:val="Normalaftertitle"/>
    <w:locked/>
    <w:rsid w:val="003E584B"/>
    <w:rPr>
      <w:rFonts w:ascii="Calibri" w:eastAsia="Times New Roman" w:hAnsi="Calibri" w:cs="Times New Roman"/>
      <w:kern w:val="0"/>
      <w:sz w:val="24"/>
      <w:szCs w:val="20"/>
      <w14:ligatures w14:val="none"/>
    </w:rPr>
  </w:style>
  <w:style w:type="paragraph" w:customStyle="1" w:styleId="Reasons">
    <w:name w:val="Reasons"/>
    <w:basedOn w:val="Normal"/>
    <w:qFormat/>
    <w:rsid w:val="003E584B"/>
    <w:pPr>
      <w:tabs>
        <w:tab w:val="clear" w:pos="2268"/>
        <w:tab w:val="left" w:pos="1588"/>
        <w:tab w:val="left" w:pos="1985"/>
      </w:tabs>
    </w:pPr>
  </w:style>
  <w:style w:type="paragraph" w:customStyle="1" w:styleId="ResNo">
    <w:name w:val="Res_No"/>
    <w:basedOn w:val="Heading2"/>
    <w:next w:val="Normal"/>
    <w:link w:val="ResNoChar"/>
    <w:rsid w:val="003E584B"/>
    <w:pPr>
      <w:spacing w:before="200"/>
      <w:ind w:left="1134" w:hanging="1134"/>
      <w:jc w:val="center"/>
      <w:outlineLvl w:val="0"/>
    </w:pPr>
    <w:rPr>
      <w:rFonts w:ascii="Calibri" w:eastAsia="Times New Roman" w:hAnsi="Calibri" w:cs="Times New Roman"/>
      <w:color w:val="auto"/>
      <w:sz w:val="28"/>
      <w:szCs w:val="20"/>
    </w:rPr>
  </w:style>
  <w:style w:type="paragraph" w:customStyle="1" w:styleId="Restitle">
    <w:name w:val="Res_title"/>
    <w:basedOn w:val="Heading2"/>
    <w:next w:val="Normal"/>
    <w:link w:val="RestitleChar"/>
    <w:rsid w:val="003E584B"/>
    <w:pPr>
      <w:tabs>
        <w:tab w:val="clear" w:pos="1134"/>
        <w:tab w:val="clear" w:pos="1871"/>
        <w:tab w:val="clear" w:pos="2268"/>
      </w:tabs>
      <w:spacing w:before="200"/>
      <w:jc w:val="center"/>
    </w:pPr>
    <w:rPr>
      <w:rFonts w:ascii="Calibri" w:eastAsia="Times New Roman" w:hAnsi="Calibri" w:cs="Times New Roman"/>
      <w:b/>
      <w:color w:val="auto"/>
      <w:sz w:val="28"/>
      <w:szCs w:val="20"/>
    </w:rPr>
  </w:style>
  <w:style w:type="character" w:customStyle="1" w:styleId="href">
    <w:name w:val="href"/>
    <w:basedOn w:val="DefaultParagraphFont"/>
    <w:rsid w:val="003E584B"/>
    <w:rPr>
      <w:color w:val="auto"/>
    </w:rPr>
  </w:style>
  <w:style w:type="character" w:customStyle="1" w:styleId="CallChar">
    <w:name w:val="Call Char"/>
    <w:basedOn w:val="DefaultParagraphFont"/>
    <w:link w:val="Call"/>
    <w:locked/>
    <w:rsid w:val="003E584B"/>
    <w:rPr>
      <w:rFonts w:ascii="Calibri" w:eastAsia="Times New Roman" w:hAnsi="Calibri" w:cs="Times New Roman"/>
      <w:i/>
      <w:kern w:val="0"/>
      <w:sz w:val="24"/>
      <w:szCs w:val="20"/>
      <w14:ligatures w14:val="none"/>
    </w:rPr>
  </w:style>
  <w:style w:type="character" w:customStyle="1" w:styleId="ResNoChar">
    <w:name w:val="Res_No Char"/>
    <w:basedOn w:val="DefaultParagraphFont"/>
    <w:link w:val="ResNo"/>
    <w:rsid w:val="003E584B"/>
    <w:rPr>
      <w:rFonts w:ascii="Calibri" w:eastAsia="Times New Roman" w:hAnsi="Calibri" w:cs="Times New Roman"/>
      <w:kern w:val="0"/>
      <w:sz w:val="28"/>
      <w:szCs w:val="20"/>
      <w14:ligatures w14:val="none"/>
    </w:rPr>
  </w:style>
  <w:style w:type="character" w:customStyle="1" w:styleId="RestitleChar">
    <w:name w:val="Res_title Char"/>
    <w:basedOn w:val="DefaultParagraphFont"/>
    <w:link w:val="Restitle"/>
    <w:rsid w:val="003E584B"/>
    <w:rPr>
      <w:rFonts w:ascii="Calibri" w:eastAsia="Times New Roman" w:hAnsi="Calibri" w:cs="Times New Roman"/>
      <w:b/>
      <w:kern w:val="0"/>
      <w:sz w:val="28"/>
      <w:szCs w:val="20"/>
      <w14:ligatures w14:val="none"/>
    </w:rPr>
  </w:style>
  <w:style w:type="character" w:customStyle="1" w:styleId="Heading2Char">
    <w:name w:val="Heading 2 Char"/>
    <w:basedOn w:val="DefaultParagraphFont"/>
    <w:link w:val="Heading2"/>
    <w:uiPriority w:val="9"/>
    <w:semiHidden/>
    <w:rsid w:val="003E584B"/>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3E584B"/>
    <w:pPr>
      <w:tabs>
        <w:tab w:val="clear" w:pos="1134"/>
        <w:tab w:val="clear" w:pos="1871"/>
        <w:tab w:val="clear" w:pos="2268"/>
        <w:tab w:val="center" w:pos="4513"/>
        <w:tab w:val="right" w:pos="9026"/>
      </w:tabs>
      <w:spacing w:before="0"/>
    </w:pPr>
    <w:rPr>
      <w:sz w:val="18"/>
    </w:rPr>
  </w:style>
  <w:style w:type="character" w:customStyle="1" w:styleId="HeaderChar">
    <w:name w:val="Header Char"/>
    <w:basedOn w:val="DefaultParagraphFont"/>
    <w:link w:val="Header"/>
    <w:uiPriority w:val="99"/>
    <w:rsid w:val="003E584B"/>
    <w:rPr>
      <w:rFonts w:ascii="Calibri" w:eastAsia="Times New Roman" w:hAnsi="Calibri" w:cs="Times New Roman"/>
      <w:kern w:val="0"/>
      <w:sz w:val="18"/>
      <w:szCs w:val="20"/>
      <w14:ligatures w14:val="none"/>
    </w:rPr>
  </w:style>
  <w:style w:type="paragraph" w:styleId="Footer">
    <w:name w:val="footer"/>
    <w:basedOn w:val="Normal"/>
    <w:link w:val="FooterChar"/>
    <w:uiPriority w:val="99"/>
    <w:unhideWhenUsed/>
    <w:rsid w:val="003E584B"/>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3E584B"/>
    <w:rPr>
      <w:rFonts w:ascii="Calibri" w:eastAsia="Times New Roman" w:hAnsi="Calibri" w:cs="Times New Roman"/>
      <w:kern w:val="0"/>
      <w:sz w:val="24"/>
      <w:szCs w:val="20"/>
      <w14:ligatures w14:val="none"/>
    </w:rPr>
  </w:style>
  <w:style w:type="paragraph" w:customStyle="1" w:styleId="Normalcenteraligned">
    <w:name w:val="Normal center aligned"/>
    <w:basedOn w:val="Normal"/>
    <w:rsid w:val="000D1BE4"/>
    <w:pPr>
      <w:jc w:val="center"/>
    </w:pPr>
    <w:rPr>
      <w:rFonts w:eastAsia="SimSun"/>
    </w:rPr>
  </w:style>
  <w:style w:type="character" w:styleId="FootnoteReference">
    <w:name w:val="footnote reference"/>
    <w:basedOn w:val="DefaultParagraphFont"/>
    <w:rsid w:val="00791A97"/>
    <w:rPr>
      <w:rFonts w:asciiTheme="minorHAnsi" w:hAnsiTheme="minorHAnsi"/>
      <w:position w:val="6"/>
      <w:sz w:val="18"/>
    </w:rPr>
  </w:style>
  <w:style w:type="paragraph" w:styleId="FootnoteText">
    <w:name w:val="footnote text"/>
    <w:basedOn w:val="Normal"/>
    <w:link w:val="FootnoteTextChar"/>
    <w:rsid w:val="00791A97"/>
    <w:pPr>
      <w:keepLines/>
      <w:tabs>
        <w:tab w:val="left" w:pos="255"/>
      </w:tabs>
    </w:pPr>
    <w:rPr>
      <w:sz w:val="22"/>
    </w:rPr>
  </w:style>
  <w:style w:type="character" w:customStyle="1" w:styleId="FootnoteTextChar">
    <w:name w:val="Footnote Text Char"/>
    <w:basedOn w:val="DefaultParagraphFont"/>
    <w:link w:val="FootnoteText"/>
    <w:rsid w:val="00791A97"/>
    <w:rPr>
      <w:rFonts w:ascii="Calibri" w:eastAsia="Times New Roman" w:hAnsi="Calibri" w:cs="Times New Roman"/>
      <w:kern w:val="0"/>
      <w:szCs w:val="20"/>
      <w14:ligatures w14:val="none"/>
    </w:rPr>
  </w:style>
  <w:style w:type="paragraph" w:customStyle="1" w:styleId="enumlev1">
    <w:name w:val="enumlev1"/>
    <w:basedOn w:val="Normal"/>
    <w:link w:val="enumlev1Char"/>
    <w:rsid w:val="00373FF6"/>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373FF6"/>
    <w:rPr>
      <w:rFonts w:ascii="Calibri" w:eastAsia="Times New Roman" w:hAnsi="Calibri"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0A771-F19C-48C8-A8DF-69AD9E90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2546</Words>
  <Characters>14516</Characters>
  <Application>Microsoft Office Word</Application>
  <DocSecurity>0</DocSecurity>
  <Lines>120</Lines>
  <Paragraphs>34</Paragraphs>
  <ScaleCrop>false</ScaleCrop>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Berdyeva, Elena</dc:creator>
  <cp:keywords/>
  <dc:description/>
  <cp:lastModifiedBy>Berdyeva, Elena</cp:lastModifiedBy>
  <cp:revision>8</cp:revision>
  <dcterms:created xsi:type="dcterms:W3CDTF">2023-10-16T12:49:00Z</dcterms:created>
  <dcterms:modified xsi:type="dcterms:W3CDTF">2023-10-16T13:07:00Z</dcterms:modified>
</cp:coreProperties>
</file>