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4C86" w14:textId="77777777" w:rsidR="00791A97" w:rsidRPr="002B2BF7" w:rsidRDefault="00791A97" w:rsidP="00791A97">
      <w:pPr>
        <w:pStyle w:val="ResNo"/>
        <w:rPr>
          <w:lang w:val="ru-RU"/>
        </w:rPr>
      </w:pPr>
      <w:bookmarkStart w:id="0" w:name="_Toc116554184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37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</w:t>
      </w:r>
      <w:bookmarkEnd w:id="0"/>
    </w:p>
    <w:p w14:paraId="5B86B0E2" w14:textId="77777777" w:rsidR="00791A97" w:rsidRPr="002B2BF7" w:rsidRDefault="00791A97" w:rsidP="00791A97">
      <w:pPr>
        <w:pStyle w:val="Restitle"/>
        <w:rPr>
          <w:lang w:val="ru-RU"/>
        </w:rPr>
      </w:pPr>
      <w:bookmarkStart w:id="1" w:name="_Toc116554185"/>
      <w:r w:rsidRPr="002B2BF7">
        <w:rPr>
          <w:lang w:val="ru-RU"/>
        </w:rPr>
        <w:t>Преодоление цифрового разрыва</w:t>
      </w:r>
      <w:bookmarkEnd w:id="1"/>
    </w:p>
    <w:p w14:paraId="593CB6C6" w14:textId="77777777" w:rsidR="00791A97" w:rsidRPr="002B2BF7" w:rsidRDefault="00791A97" w:rsidP="00791A97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(Кигали, 2022 г.),</w:t>
      </w:r>
    </w:p>
    <w:p w14:paraId="093CC09F" w14:textId="77777777" w:rsidR="00791A97" w:rsidRPr="002B2BF7" w:rsidRDefault="00791A97" w:rsidP="00791A97">
      <w:pPr>
        <w:pStyle w:val="Call"/>
        <w:rPr>
          <w:i w:val="0"/>
          <w:iCs/>
          <w:szCs w:val="22"/>
          <w:lang w:val="ru-RU"/>
        </w:rPr>
      </w:pPr>
      <w:r w:rsidRPr="002B2BF7">
        <w:rPr>
          <w:lang w:val="ru-RU"/>
        </w:rPr>
        <w:t>признавая</w:t>
      </w:r>
    </w:p>
    <w:p w14:paraId="7AB63C72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 xml:space="preserve">сохраняющееся неравенство между теми, кто имеет доступ к </w:t>
      </w:r>
      <w:r w:rsidRPr="002B2BF7">
        <w:rPr>
          <w:rFonts w:cstheme="minorHAnsi"/>
          <w:szCs w:val="22"/>
          <w:lang w:val="ru-RU"/>
        </w:rPr>
        <w:t>электросвязи/</w:t>
      </w:r>
      <w:r w:rsidRPr="002B2BF7">
        <w:rPr>
          <w:rFonts w:cstheme="minorHAnsi"/>
          <w:szCs w:val="22"/>
          <w:lang w:val="ru-RU"/>
        </w:rPr>
        <w:br/>
        <w:t>информационно-коммуникационным технологиям (</w:t>
      </w:r>
      <w:r w:rsidRPr="002B2BF7">
        <w:rPr>
          <w:lang w:val="ru-RU"/>
        </w:rPr>
        <w:t>ИКТ), и теми, кто лишен этого доступа, не может их себе позволить или не имеет навыков для их использования, получившее название "цифровой разрыв";</w:t>
      </w:r>
    </w:p>
    <w:p w14:paraId="3C39D375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развивающиеся страны</w:t>
      </w:r>
      <w:r w:rsidRPr="002B2BF7">
        <w:rPr>
          <w:rStyle w:val="FootnoteReference"/>
          <w:lang w:val="ru-RU"/>
        </w:rPr>
        <w:footnoteReference w:id="1"/>
      </w:r>
      <w:r w:rsidRPr="002B2BF7">
        <w:rPr>
          <w:lang w:val="ru-RU"/>
        </w:rPr>
        <w:t>, в отличие от развитых стран, а также различные слои населения внутри стран не получают причитающуюся им долю преимуществ, предлагаемых ИКТ и цифровой экономикой, учитывая обязательства, принятые на обоих этапах Всемирной встречи на высшем уровне по вопросам информационного общества (ВВУИО) относительно преодоления цифрового разрыва и превращения его в цифровые возможности;</w:t>
      </w:r>
    </w:p>
    <w:p w14:paraId="1171F4AA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что электросвязь/ИКТ и приложения ИКТ необходимы для политического, экономического, социального и культурного развития и что они играют важную роль в уменьшении масштабов нищеты, создании рабочих мест, охране окружающей среды, а также в предотвращении стихийных и других бедствий и смягчении их последствий (в дополнение к значимости прогнозирования бедствий) и должны использоваться для развития в других секторах, и поэтому возможности, открываемые ИКТ, следует увеличивать и в полной мере использовать для содействия охвату цифровыми технологиями в целях обеспечения устойчивого развития;</w:t>
      </w:r>
    </w:p>
    <w:p w14:paraId="5BC3EA55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разрывы в доступе к ИКТ и их внедрении приводят к крайнему усилению экономического и социального неравенства и оказывает отрицательное воздействие на социальную и экономическую ситуацию в различных регионах, лишенных доступа к ИКТ;</w:t>
      </w:r>
    </w:p>
    <w:p w14:paraId="0601B126" w14:textId="77777777" w:rsidR="00791A97" w:rsidRPr="002B2BF7" w:rsidRDefault="00791A97" w:rsidP="00791A97">
      <w:pPr>
        <w:rPr>
          <w:i/>
          <w:lang w:val="ru-RU"/>
        </w:rPr>
      </w:pPr>
      <w:r w:rsidRPr="002B2BF7">
        <w:rPr>
          <w:bCs/>
          <w:i/>
          <w:iCs/>
          <w:lang w:val="ru-RU"/>
        </w:rPr>
        <w:t>e)</w:t>
      </w:r>
      <w:r w:rsidRPr="002B2BF7">
        <w:rPr>
          <w:bCs/>
          <w:lang w:val="ru-RU"/>
        </w:rPr>
        <w:tab/>
        <w:t>что цифровой разрыв характеризуется неравенством в технической и экономической доступности объектов и услуг электросвязи/ИКТ, а также в уровне развития регуляторной среды, информированности и навыков, необходимых для их использования;</w:t>
      </w:r>
      <w:r w:rsidRPr="002B2BF7">
        <w:rPr>
          <w:i/>
          <w:lang w:val="ru-RU"/>
        </w:rPr>
        <w:br w:type="page"/>
      </w:r>
    </w:p>
    <w:p w14:paraId="09F5B25C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lang w:val="ru-RU"/>
        </w:rPr>
        <w:lastRenderedPageBreak/>
        <w:t>f)</w:t>
      </w:r>
      <w:r w:rsidRPr="002B2BF7">
        <w:rPr>
          <w:lang w:val="ru-RU"/>
        </w:rPr>
        <w:tab/>
        <w:t>что существует четкая связь между, в том числе, приемлемостью в ценовом отношении электросвязи/ИКТ в целом, доступа в интернет в частности, и уровнем их использования,</w:t>
      </w:r>
    </w:p>
    <w:p w14:paraId="31C825B3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665B194B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о Резолюции 70/1 Генеральной Ассамблеи Организации Объединенных Наций (ГА ООН) о преобразовании нашего мира: Повестка дня в области устойчивого развития на период до 2030 года;</w:t>
      </w:r>
    </w:p>
    <w:p w14:paraId="4FE64735" w14:textId="77777777" w:rsidR="00791A97" w:rsidRPr="002B2BF7" w:rsidRDefault="00791A97" w:rsidP="00791A97">
      <w:pPr>
        <w:rPr>
          <w:iCs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iCs/>
          <w:lang w:val="ru-RU"/>
        </w:rPr>
        <w:tab/>
        <w:t xml:space="preserve">о </w:t>
      </w:r>
      <w:r w:rsidRPr="002B2BF7">
        <w:rPr>
          <w:color w:val="000000"/>
          <w:lang w:val="ru-RU"/>
        </w:rPr>
        <w:t>Повестке дня Аддис-Абебы третьей Международной конференции финансирования для развития 2015 года</w:t>
      </w:r>
      <w:r w:rsidRPr="002B2BF7">
        <w:rPr>
          <w:lang w:val="ru-RU"/>
        </w:rPr>
        <w:t>, одобренной резолюцией 69/313 ГА ООН, и содержащемся в ней обязательстве по преодолению цифрового разрыва</w:t>
      </w:r>
      <w:r w:rsidRPr="002B2BF7">
        <w:rPr>
          <w:iCs/>
          <w:lang w:val="ru-RU"/>
        </w:rPr>
        <w:t>;</w:t>
      </w:r>
    </w:p>
    <w:p w14:paraId="5046AAD9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о резолюции 70/125 ГА ООН, содержащей Итоговый документ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 (ВВУИО);</w:t>
      </w:r>
    </w:p>
    <w:p w14:paraId="42152491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о Резолюции 25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 Полномочной конференции об укреплении регионального присутствия;</w:t>
      </w:r>
    </w:p>
    <w:p w14:paraId="4028B16E" w14:textId="77777777" w:rsidR="00791A97" w:rsidRPr="002B2BF7" w:rsidRDefault="00791A97" w:rsidP="00791A97">
      <w:pPr>
        <w:rPr>
          <w:iCs/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о Резолюции 135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 Полномочной конференции о роли МСЭ в надежном и устойчивом развитии электросвязи/ИКТ, в оказании технической помощи и консультаций развивающимся странам и в реализации соответствующих национальных, региональных и межрегиональных проектов;</w:t>
      </w:r>
    </w:p>
    <w:p w14:paraId="742BB23B" w14:textId="77777777" w:rsidR="00791A97" w:rsidRPr="002B2BF7" w:rsidRDefault="00791A97" w:rsidP="00791A97">
      <w:pPr>
        <w:rPr>
          <w:iCs/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iCs/>
          <w:lang w:val="ru-RU"/>
        </w:rPr>
        <w:tab/>
        <w:t>о Резолюции 139 (</w:t>
      </w:r>
      <w:proofErr w:type="spellStart"/>
      <w:r w:rsidRPr="002B2BF7">
        <w:rPr>
          <w:iCs/>
          <w:lang w:val="ru-RU"/>
        </w:rPr>
        <w:t>Пересм</w:t>
      </w:r>
      <w:proofErr w:type="spellEnd"/>
      <w:r w:rsidRPr="002B2BF7">
        <w:rPr>
          <w:iCs/>
          <w:lang w:val="ru-RU"/>
        </w:rPr>
        <w:t>. Дубай, 2018 г.) Полномочной конференции об использовании электросвязи/ИКТ для преодоления цифрового разрыва и построения открытого для всех информационного общества;</w:t>
      </w:r>
    </w:p>
    <w:p w14:paraId="4B618981" w14:textId="77777777" w:rsidR="00791A97" w:rsidRPr="002B2BF7" w:rsidRDefault="00791A97" w:rsidP="00791A97">
      <w:pPr>
        <w:rPr>
          <w:iCs/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iCs/>
          <w:lang w:val="ru-RU"/>
        </w:rPr>
        <w:tab/>
        <w:t>о Резолюции 191 (</w:t>
      </w:r>
      <w:proofErr w:type="spellStart"/>
      <w:r w:rsidRPr="002B2BF7">
        <w:rPr>
          <w:iCs/>
          <w:lang w:val="ru-RU"/>
        </w:rPr>
        <w:t>Пересм</w:t>
      </w:r>
      <w:proofErr w:type="spellEnd"/>
      <w:r w:rsidRPr="002B2BF7">
        <w:rPr>
          <w:iCs/>
          <w:lang w:val="ru-RU"/>
        </w:rPr>
        <w:t>. Дубай, 2018 г.) Полномочной конференции о стратегии координации усилий трех Секторов Союза;</w:t>
      </w:r>
    </w:p>
    <w:p w14:paraId="77E4EE4E" w14:textId="77777777" w:rsidR="00791A97" w:rsidRPr="002B2BF7" w:rsidRDefault="00791A97" w:rsidP="00791A97">
      <w:pPr>
        <w:rPr>
          <w:iCs/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iCs/>
          <w:lang w:val="ru-RU"/>
        </w:rPr>
        <w:tab/>
        <w:t>о Резолюции 200 (</w:t>
      </w:r>
      <w:proofErr w:type="spellStart"/>
      <w:r w:rsidRPr="002B2BF7">
        <w:rPr>
          <w:iCs/>
          <w:lang w:val="ru-RU"/>
        </w:rPr>
        <w:t>Пересм</w:t>
      </w:r>
      <w:proofErr w:type="spellEnd"/>
      <w:r w:rsidRPr="002B2BF7">
        <w:rPr>
          <w:iCs/>
          <w:lang w:val="ru-RU"/>
        </w:rPr>
        <w:t>. Дубай, 2018 г.) Полномочной конференции</w:t>
      </w:r>
      <w:r w:rsidRPr="002B2BF7">
        <w:rPr>
          <w:sz w:val="28"/>
          <w:lang w:val="ru-RU"/>
        </w:rPr>
        <w:t xml:space="preserve"> </w:t>
      </w:r>
      <w:r w:rsidRPr="002B2BF7">
        <w:rPr>
          <w:szCs w:val="22"/>
          <w:lang w:val="ru-RU"/>
        </w:rPr>
        <w:t>о</w:t>
      </w:r>
      <w:r w:rsidRPr="002B2BF7">
        <w:rPr>
          <w:sz w:val="28"/>
          <w:lang w:val="ru-RU"/>
        </w:rPr>
        <w:t xml:space="preserve"> </w:t>
      </w:r>
      <w:r w:rsidRPr="002B2BF7">
        <w:rPr>
          <w:szCs w:val="22"/>
          <w:lang w:val="ru-RU"/>
        </w:rPr>
        <w:t>п</w:t>
      </w:r>
      <w:r w:rsidRPr="002B2BF7">
        <w:rPr>
          <w:iCs/>
          <w:lang w:val="ru-RU"/>
        </w:rPr>
        <w:t xml:space="preserve">овестке дня </w:t>
      </w:r>
      <w:r w:rsidRPr="002B2BF7">
        <w:rPr>
          <w:bCs/>
          <w:iCs/>
          <w:lang w:val="ru-RU"/>
        </w:rPr>
        <w:t>"</w:t>
      </w:r>
      <w:r w:rsidRPr="002B2BF7">
        <w:rPr>
          <w:iCs/>
          <w:lang w:val="ru-RU"/>
        </w:rPr>
        <w:t>Соединим к 2030 году</w:t>
      </w:r>
      <w:r w:rsidRPr="002B2BF7">
        <w:rPr>
          <w:bCs/>
          <w:iCs/>
          <w:lang w:val="ru-RU"/>
        </w:rPr>
        <w:t xml:space="preserve">" </w:t>
      </w:r>
      <w:r w:rsidRPr="002B2BF7">
        <w:rPr>
          <w:iCs/>
          <w:lang w:val="ru-RU"/>
        </w:rPr>
        <w:t>в области глобального развития электросвязи/ИКТ, включая широкополосную связь, для обеспечения устойчивого развития</w:t>
      </w:r>
      <w:r w:rsidRPr="002B2BF7">
        <w:rPr>
          <w:bCs/>
          <w:iCs/>
          <w:lang w:val="ru-RU"/>
        </w:rPr>
        <w:t>;</w:t>
      </w:r>
    </w:p>
    <w:p w14:paraId="24971B60" w14:textId="77777777" w:rsidR="00791A97" w:rsidRPr="002B2BF7" w:rsidRDefault="00791A97" w:rsidP="00791A97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i)</w:t>
      </w:r>
      <w:r w:rsidRPr="002B2BF7">
        <w:rPr>
          <w:lang w:val="ru-RU"/>
        </w:rPr>
        <w:tab/>
        <w:t>о Резолюции 11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 настоящей Конференции об услугах электросвязи/ИКТ в сельских, изолированных и недостаточно обслуживаемых районах;</w:t>
      </w:r>
      <w:r w:rsidRPr="002B2BF7">
        <w:rPr>
          <w:i/>
          <w:iCs/>
          <w:lang w:val="ru-RU"/>
        </w:rPr>
        <w:br w:type="page"/>
      </w:r>
    </w:p>
    <w:p w14:paraId="54020139" w14:textId="77777777" w:rsidR="00791A97" w:rsidRPr="002B2BF7" w:rsidRDefault="00791A97" w:rsidP="00791A97">
      <w:pPr>
        <w:rPr>
          <w:iCs/>
          <w:lang w:val="ru-RU"/>
        </w:rPr>
      </w:pPr>
      <w:r w:rsidRPr="002B2BF7">
        <w:rPr>
          <w:i/>
          <w:iCs/>
          <w:lang w:val="ru-RU"/>
        </w:rPr>
        <w:lastRenderedPageBreak/>
        <w:t>j)</w:t>
      </w:r>
      <w:r w:rsidRPr="002B2BF7">
        <w:rPr>
          <w:lang w:val="ru-RU"/>
        </w:rPr>
        <w:tab/>
        <w:t>о Резолюции 16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 г.) Всемирной конференции по развитию электросвязи (ВКРЭ) о с</w:t>
      </w:r>
      <w:r w:rsidRPr="002B2BF7">
        <w:rPr>
          <w:szCs w:val="26"/>
          <w:lang w:val="ru-RU"/>
        </w:rPr>
        <w:t>пециальных действиях и мерах для наименее развитых стран (НРС),</w:t>
      </w:r>
      <w:r w:rsidRPr="002B2BF7">
        <w:rPr>
          <w:lang w:val="ru-RU"/>
        </w:rPr>
        <w:t xml:space="preserve"> малых островных развивающихся государств (СИДС), развивающихся стран, не имеющих выхода к морю (ЛЛДС), и стран с переходной экономикой;</w:t>
      </w:r>
    </w:p>
    <w:p w14:paraId="6BF5CF41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k)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 Резолюции 23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 г.) ВКРЭ о доступе к интернету и его доступности для развивающихся стран, а также о принципах начисления платы за международные интернет-соединения;</w:t>
      </w:r>
    </w:p>
    <w:p w14:paraId="501CF1DD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l)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о Резолюции 46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 настоящей Конференции об оказании помощи коренным народам и их сообществам с помощью ИКТ;</w:t>
      </w:r>
    </w:p>
    <w:p w14:paraId="017791DE" w14:textId="77777777" w:rsidR="00791A97" w:rsidRPr="002B2BF7" w:rsidRDefault="00791A97" w:rsidP="00791A97">
      <w:pPr>
        <w:rPr>
          <w:iCs/>
          <w:lang w:val="ru-RU"/>
        </w:rPr>
      </w:pPr>
      <w:r w:rsidRPr="002B2BF7">
        <w:rPr>
          <w:i/>
          <w:szCs w:val="24"/>
          <w:lang w:val="ru-RU"/>
        </w:rPr>
        <w:t>m)</w:t>
      </w:r>
      <w:r w:rsidRPr="002B2BF7">
        <w:rPr>
          <w:iCs/>
          <w:szCs w:val="24"/>
          <w:lang w:val="ru-RU"/>
        </w:rPr>
        <w:tab/>
        <w:t>о Рекомендации МСЭ-</w:t>
      </w:r>
      <w:r w:rsidRPr="002B2BF7">
        <w:rPr>
          <w:iCs/>
          <w:szCs w:val="24"/>
        </w:rPr>
        <w:t>D</w:t>
      </w:r>
      <w:r w:rsidRPr="002B2BF7">
        <w:rPr>
          <w:iCs/>
          <w:szCs w:val="24"/>
          <w:lang w:val="ru-RU"/>
        </w:rPr>
        <w:t xml:space="preserve"> 19 (Дубай, 2014 г.) ВКРЭ об электросвязи для сельских и отдаленных районов; </w:t>
      </w:r>
    </w:p>
    <w:p w14:paraId="6323984F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</w:rPr>
        <w:t>n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о Резолюции 30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 Полномочной конференции o специальных мерах, касающихся НРС, СИДС, ЛЛДС и стран с переходной экономикой;</w:t>
      </w:r>
    </w:p>
    <w:p w14:paraId="67970469" w14:textId="77777777" w:rsidR="00791A97" w:rsidRPr="002B2BF7" w:rsidRDefault="00791A97" w:rsidP="00791A97">
      <w:pPr>
        <w:rPr>
          <w:rFonts w:eastAsia="Calibri"/>
          <w:lang w:val="ru-RU"/>
        </w:rPr>
      </w:pPr>
      <w:r w:rsidRPr="002B2BF7">
        <w:rPr>
          <w:rFonts w:eastAsia="Calibri"/>
          <w:i/>
        </w:rPr>
        <w:t>o</w:t>
      </w:r>
      <w:r w:rsidRPr="002B2BF7">
        <w:rPr>
          <w:rFonts w:eastAsia="Calibri"/>
          <w:i/>
          <w:lang w:val="ru-RU"/>
        </w:rPr>
        <w:t>)</w:t>
      </w:r>
      <w:r w:rsidRPr="002B2BF7">
        <w:rPr>
          <w:rFonts w:eastAsia="Calibri"/>
          <w:lang w:val="ru-RU"/>
        </w:rPr>
        <w:tab/>
        <w:t xml:space="preserve">о </w:t>
      </w:r>
      <w:r w:rsidRPr="002B2BF7">
        <w:rPr>
          <w:lang w:val="ru-RU"/>
        </w:rPr>
        <w:t>Резолюции 58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Кигали, 2022 г.)</w:t>
      </w:r>
      <w:r w:rsidRPr="002B2BF7">
        <w:rPr>
          <w:rFonts w:eastAsia="Calibri"/>
          <w:lang w:val="ru-RU"/>
        </w:rPr>
        <w:t xml:space="preserve"> настоящей Конференции о</w:t>
      </w:r>
      <w:r w:rsidRPr="002B2BF7">
        <w:rPr>
          <w:lang w:val="ru-RU"/>
        </w:rPr>
        <w:t xml:space="preserve"> доступности средств электросвязи/ИКТ для лиц с ограниченными возможностями и лиц с особыми потребностями</w:t>
      </w:r>
      <w:r w:rsidRPr="002B2BF7">
        <w:rPr>
          <w:rFonts w:eastAsia="Calibri"/>
          <w:lang w:val="ru-RU"/>
        </w:rPr>
        <w:t>;</w:t>
      </w:r>
    </w:p>
    <w:p w14:paraId="27912329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</w:rPr>
        <w:t>p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о Резолюции 201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Дубай, 2018 г.) Полномочной конференции о создании благоприятной среды для развертывания и использования приложений на базе ИКТ;</w:t>
      </w:r>
    </w:p>
    <w:p w14:paraId="05FEAEC5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</w:rPr>
        <w:t>q</w:t>
      </w:r>
      <w:r w:rsidRPr="002B2BF7">
        <w:rPr>
          <w:i/>
          <w:iCs/>
          <w:lang w:val="ru-RU"/>
        </w:rPr>
        <w:t>)</w:t>
      </w:r>
      <w:r w:rsidRPr="002B2BF7">
        <w:rPr>
          <w:lang w:val="ru-RU"/>
        </w:rPr>
        <w:tab/>
        <w:t>о Резолюции МСЭ-R 69-1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Шарм-эль-Шейх, 2019 г.) Ассамблеи радиосвязи о развитии и развертывании международной электросвязи общего пользования, осуществляемой через спутник, в развивающихся странах,</w:t>
      </w:r>
    </w:p>
    <w:p w14:paraId="16836B00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t>отмечая,</w:t>
      </w:r>
    </w:p>
    <w:p w14:paraId="4AAC91A7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широкополосные соединения имеют критическое значение для ускорения цифровой трансформации с целью преодоления цифрового разрыва и достижения, в том числе, охвата цифровыми технологиями;</w:t>
      </w:r>
    </w:p>
    <w:p w14:paraId="595C856A" w14:textId="77777777" w:rsidR="00791A97" w:rsidRPr="002B2BF7" w:rsidRDefault="00791A97" w:rsidP="00791A97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пандемия коронавирусной болезни (COVID-19) увеличила глобальный спрос на доступ к интернету, скорость и приемлемость в ценовом отношении после масштабных изменений в использовании интернета и схемах трафика, в результате чего ИКТ дали миллиардам людей возможность продолжать работать, учиться, совершать покупки, осуществлять операции, заботиться о других и поддерживать связь с близкими людьми в виртуальном формате;</w:t>
      </w:r>
      <w:r w:rsidRPr="002B2BF7">
        <w:rPr>
          <w:i/>
          <w:iCs/>
          <w:lang w:val="ru-RU"/>
        </w:rPr>
        <w:br w:type="page"/>
      </w:r>
    </w:p>
    <w:p w14:paraId="4D7713DD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c)</w:t>
      </w:r>
      <w:r w:rsidRPr="002B2BF7">
        <w:rPr>
          <w:lang w:val="ru-RU"/>
        </w:rPr>
        <w:tab/>
        <w:t>что цифровая грамотность является одним из условий преодоления цифрового разрыва;</w:t>
      </w:r>
    </w:p>
    <w:p w14:paraId="6C41F5C0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 xml:space="preserve">что цифровая трансформация создаст преимущества для всех слоев общества, в особенности для женщин и девушек, молодежи, детей, лиц с ограниченными возможностями, лиц с особыми потребностями, пожилых людей, коренных народов, а также людей, проживающих в отдаленных районах; </w:t>
      </w:r>
    </w:p>
    <w:p w14:paraId="397DB93E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что цифровая трансформация является одним из необходимых условий преодоления цифрового разрыва и обеспечения устойчивого восстановления после глобальных пандемий и кризисов, и она приведет к повышению уровня образования и качества жизни и будет способствовать соединению всех граждан в мире, а также содействовать использованию национальных ресурсов эффективным образом в интересах будущего общества,</w:t>
      </w:r>
    </w:p>
    <w:p w14:paraId="273847FB" w14:textId="77777777" w:rsidR="00791A97" w:rsidRPr="002B2BF7" w:rsidRDefault="00791A97" w:rsidP="00791A97">
      <w:pPr>
        <w:pStyle w:val="Call"/>
        <w:rPr>
          <w:rFonts w:cstheme="minorHAnsi"/>
          <w:i w:val="0"/>
          <w:szCs w:val="22"/>
          <w:lang w:val="ru-RU"/>
        </w:rPr>
      </w:pPr>
      <w:r w:rsidRPr="002B2BF7">
        <w:rPr>
          <w:rFonts w:cstheme="minorHAnsi"/>
          <w:szCs w:val="22"/>
          <w:lang w:val="ru-RU"/>
        </w:rPr>
        <w:t>отмечая далее</w:t>
      </w:r>
    </w:p>
    <w:p w14:paraId="352E3476" w14:textId="77777777" w:rsidR="00791A97" w:rsidRPr="002B2BF7" w:rsidRDefault="00791A97" w:rsidP="00791A97">
      <w:pPr>
        <w:rPr>
          <w:rFonts w:cstheme="minorHAnsi"/>
          <w:iCs/>
          <w:szCs w:val="22"/>
          <w:lang w:val="ru-RU"/>
        </w:rPr>
      </w:pPr>
      <w:r w:rsidRPr="002B2BF7">
        <w:rPr>
          <w:rFonts w:cstheme="minorHAnsi"/>
          <w:i/>
          <w:iCs/>
          <w:szCs w:val="22"/>
          <w:lang w:val="ru-RU"/>
        </w:rPr>
        <w:t>a)</w:t>
      </w:r>
      <w:r w:rsidRPr="002B2BF7">
        <w:rPr>
          <w:rFonts w:cstheme="minorHAnsi"/>
          <w:i/>
          <w:iCs/>
          <w:szCs w:val="22"/>
          <w:lang w:val="ru-RU"/>
        </w:rPr>
        <w:tab/>
      </w:r>
      <w:r w:rsidRPr="002B2BF7">
        <w:rPr>
          <w:lang w:val="ru-RU"/>
        </w:rPr>
        <w:t>положения</w:t>
      </w:r>
      <w:r w:rsidRPr="002B2BF7">
        <w:rPr>
          <w:rFonts w:cstheme="minorHAnsi"/>
          <w:iCs/>
          <w:szCs w:val="22"/>
          <w:lang w:val="ru-RU"/>
        </w:rPr>
        <w:t xml:space="preserve"> Тунисской программы для информационного общества, определяющие Направления деятельности ВВУИО, относящиеся к сфере ответственности МСЭ;</w:t>
      </w:r>
    </w:p>
    <w:p w14:paraId="489F6942" w14:textId="77777777" w:rsidR="00791A97" w:rsidRPr="002B2BF7" w:rsidRDefault="00791A97" w:rsidP="00791A97">
      <w:pPr>
        <w:rPr>
          <w:bCs/>
          <w:lang w:val="ru-RU"/>
        </w:rPr>
      </w:pPr>
      <w:r w:rsidRPr="002B2BF7">
        <w:rPr>
          <w:bCs/>
          <w:i/>
          <w:iCs/>
          <w:lang w:val="ru-RU"/>
        </w:rPr>
        <w:t>b)</w:t>
      </w:r>
      <w:r w:rsidRPr="002B2BF7">
        <w:rPr>
          <w:lang w:val="ru-RU"/>
        </w:rPr>
        <w:tab/>
        <w:t>Заявление ВВУИО+10 о выполнении решений ВВУИО и разработанную ВВУИО+10 Концепцию ВВУИО на период после 2015 года, принятые на координировавшемся МСЭ мероприятии высокого уровня ВВУИО+10 (Женева, 2014 г.) и одобренные Полномочной конференцией (Пусан, 2014 г.);</w:t>
      </w:r>
    </w:p>
    <w:p w14:paraId="2695F360" w14:textId="77777777" w:rsidR="00791A97" w:rsidRPr="002B2BF7" w:rsidRDefault="00791A97" w:rsidP="00791A97">
      <w:pPr>
        <w:rPr>
          <w:rFonts w:cstheme="minorHAnsi"/>
          <w:iCs/>
          <w:szCs w:val="22"/>
          <w:lang w:val="ru-RU"/>
        </w:rPr>
      </w:pPr>
      <w:r w:rsidRPr="002B2BF7">
        <w:rPr>
          <w:rFonts w:cstheme="minorHAnsi"/>
          <w:i/>
          <w:iCs/>
          <w:szCs w:val="22"/>
          <w:lang w:val="ru-RU"/>
        </w:rPr>
        <w:t>c)</w:t>
      </w:r>
      <w:r w:rsidRPr="002B2BF7">
        <w:rPr>
          <w:rFonts w:cstheme="minorHAnsi"/>
          <w:i/>
          <w:iCs/>
          <w:szCs w:val="22"/>
          <w:lang w:val="ru-RU"/>
        </w:rPr>
        <w:tab/>
      </w:r>
      <w:r w:rsidRPr="002B2BF7">
        <w:rPr>
          <w:lang w:val="ru-RU"/>
        </w:rPr>
        <w:t>глобальные цели, определенные Комиссией по широкополосной связи в интересах устойчивого развития, которые планируется достичь к 2025 году</w:t>
      </w:r>
      <w:r w:rsidRPr="002B2BF7">
        <w:rPr>
          <w:rFonts w:cstheme="minorHAnsi"/>
          <w:iCs/>
          <w:szCs w:val="22"/>
          <w:lang w:val="ru-RU"/>
        </w:rPr>
        <w:t>,</w:t>
      </w:r>
    </w:p>
    <w:p w14:paraId="61A68104" w14:textId="77777777" w:rsidR="00791A97" w:rsidRPr="002B2BF7" w:rsidRDefault="00791A97" w:rsidP="00791A97">
      <w:pPr>
        <w:pStyle w:val="Call"/>
        <w:rPr>
          <w:i w:val="0"/>
          <w:iCs/>
          <w:szCs w:val="22"/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iCs/>
          <w:lang w:val="ru-RU"/>
        </w:rPr>
        <w:t>,</w:t>
      </w:r>
    </w:p>
    <w:p w14:paraId="4BB059CF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что среда электросвязи претерпела существенные изменения ввиду глобального подъема спроса на установление соединений, вызванного пандемией COVID-19, в ходе которой использование и трафик интернета переместились из офисов в жилые помещения;</w:t>
      </w:r>
    </w:p>
    <w:p w14:paraId="47722E7E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пандемия COVID-19 увеличила цифровые разрывы между странами и внутри стран, по признаку пола, возраста, ограниченности возможностей, социально-экономического статуса и географического местоположения;</w:t>
      </w:r>
    </w:p>
    <w:p w14:paraId="026E7EE1" w14:textId="77777777" w:rsidR="00791A97" w:rsidRPr="002B2BF7" w:rsidRDefault="00791A97" w:rsidP="00791A97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что развитие электросвязи/ИКТ и повышение спроса на них внесло вклад в снижение стоимости соответствующего оборудования и услуг и должно продолжать способствовать этому снижению для обеспечения равного доступа к ИКТ и использования ИКТ для всех;</w:t>
      </w:r>
      <w:r w:rsidRPr="002B2BF7">
        <w:rPr>
          <w:i/>
          <w:iCs/>
          <w:lang w:val="ru-RU"/>
        </w:rPr>
        <w:br w:type="page"/>
      </w:r>
    </w:p>
    <w:p w14:paraId="64062ED0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d)</w:t>
      </w:r>
      <w:r w:rsidRPr="002B2BF7">
        <w:rPr>
          <w:lang w:val="ru-RU"/>
        </w:rPr>
        <w:tab/>
        <w:t>что существует безотлагательная потребность продолжать создавать цифровые возможности и ускорять внедрение электросвязи/ИКТ в развивающихся странах, включая НРС, СИДС, ЛЛДС и страны с переходной экономикой, пользуясь преимуществами революционных преобразований, которые происходили и продолжают происходить в сфере ИКТ, и признавая роль, которую ИКТ будут играть в обеспечении устойчивого восстановления после глобальных пандемий и кризисов;</w:t>
      </w:r>
    </w:p>
    <w:p w14:paraId="5C3EE0CB" w14:textId="77777777" w:rsidR="00791A97" w:rsidRPr="002B2BF7" w:rsidRDefault="00791A97" w:rsidP="00791A97">
      <w:pPr>
        <w:rPr>
          <w:iCs/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соответствующие виды деятельности исследовательских комиссий МСЭ-D включали исследования по дополнительным сетям и вариантам доступа к электросвязи/ИКТ и их возможной актуальности для экосистемы соединений и помощи в преодолении цифрового разрыва</w:t>
      </w:r>
      <w:r w:rsidRPr="002B2BF7">
        <w:rPr>
          <w:iCs/>
          <w:lang w:val="ru-RU"/>
        </w:rPr>
        <w:t>;</w:t>
      </w:r>
    </w:p>
    <w:p w14:paraId="7342A68E" w14:textId="77777777" w:rsidR="00791A97" w:rsidRPr="002B2BF7" w:rsidRDefault="00791A97" w:rsidP="00791A97">
      <w:pPr>
        <w:rPr>
          <w:rFonts w:cstheme="minorHAnsi"/>
          <w:iCs/>
          <w:szCs w:val="22"/>
          <w:lang w:val="ru-RU"/>
        </w:rPr>
      </w:pPr>
      <w:r w:rsidRPr="002B2BF7">
        <w:rPr>
          <w:rFonts w:cstheme="minorHAnsi"/>
          <w:i/>
          <w:iCs/>
          <w:szCs w:val="22"/>
          <w:lang w:val="ru-RU"/>
        </w:rPr>
        <w:t>f)</w:t>
      </w:r>
      <w:r w:rsidRPr="002B2BF7">
        <w:rPr>
          <w:rFonts w:cstheme="minorHAnsi"/>
          <w:i/>
          <w:iCs/>
          <w:szCs w:val="22"/>
          <w:lang w:val="ru-RU"/>
        </w:rPr>
        <w:tab/>
      </w:r>
      <w:r w:rsidRPr="002B2BF7">
        <w:rPr>
          <w:rFonts w:cstheme="minorHAnsi"/>
          <w:iCs/>
          <w:szCs w:val="22"/>
          <w:lang w:val="ru-RU"/>
        </w:rPr>
        <w:t>что МСЭ взял на себя обязательства по сокращению цифрового разрыва в соответствии с решениями ВВУИО, а также по соответствующим Целям в области устойчивого развития (ЦУР);</w:t>
      </w:r>
    </w:p>
    <w:p w14:paraId="5EFC9B7B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ab/>
        <w:t>что для МСЭ важно содействовать в преодолении цифрового разрыва в электросвязи/ИКТ и приложениях ИКТ на национальном, региональном и международном уровнях, способствуя обеспечению функциональной совместимости, присоединения и глобальной возможности установления соединений в отношении сетей и услуг электросвязи и играя ведущую роль в последующей деятельности и реализации соответствующих целей и задач ВВУИО, а также уделяя основное внимание преодолению цифрового разрыва и обеспечению широкополосной связи для всех;</w:t>
      </w:r>
    </w:p>
    <w:p w14:paraId="1BE5AE4E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h)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ГА ООН даст оценку конечным результатам и реализации как ЦУР – в 2030 году, так и решений ВВУИО – в 2025 году,</w:t>
      </w:r>
    </w:p>
    <w:p w14:paraId="555C9A09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t>учитывая</w:t>
      </w:r>
    </w:p>
    <w:p w14:paraId="5C8E31D8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каталитическую роль МСЭ, в частности роль Сектора развития электросвязи МСЭ (МСЭ-D) как координатора и посредника рационального использования ресурсов в контексте различных проектов, направленных на сокращение цифрового разрыва;</w:t>
      </w:r>
    </w:p>
    <w:p w14:paraId="561B1EDB" w14:textId="77777777" w:rsidR="00791A97" w:rsidRPr="002B2BF7" w:rsidRDefault="00791A97" w:rsidP="00791A97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в рамках программ Бюро развития электросвязи (БРЭ), определенных в его планах действий и относящихся к развитию информационно-коммуникационной инфраструктуры и технологий, была оказана помощь развивающимся странам в области управления использованием спектра и в эффективном и экономически рентабельном развитии сельских, национальных и международных широкополосных сетей электросвязи, в том числе спутниковых;</w:t>
      </w:r>
      <w:r w:rsidRPr="002B2BF7">
        <w:rPr>
          <w:i/>
          <w:iCs/>
          <w:lang w:val="ru-RU"/>
        </w:rPr>
        <w:br w:type="page"/>
      </w:r>
    </w:p>
    <w:p w14:paraId="697BAD45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c)</w:t>
      </w:r>
      <w:r w:rsidRPr="002B2BF7">
        <w:rPr>
          <w:lang w:val="ru-RU"/>
        </w:rPr>
        <w:tab/>
        <w:t>что многие международные и региональные организации, такие как Организация экономического сотрудничества и развития (ОЭСР), Организация Объединенных Наций по вопросам образования, науки и культуры (ЮНЕСКО), Программа развития Организации Объединенных Наций (ПРООН), Конференция Организации Объединенных Наций по торговле и развитию (ЮНКТАД), Экономический и Социальный Совет Организации Объединенных Наций (ЭКОСОС), экономические комиссии Организации Объединенных Наций, Всемирный банк, Азиатско-Тихоокеанское сообщество электросвязи (АТСЭ), региональные экономические сообщества, региональные банки развития и многие другие в дополнение к МСЭ осуществляют различные виды деятельности, направленные на преодоление цифрового разрыва, и что масштаб такой деятельности увеличился после завершения ВВУИО и принятия Тунисской программы, в особенности в отношении выполнения решений и последующей деятельности;</w:t>
      </w:r>
    </w:p>
    <w:p w14:paraId="48B3179E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что многие заинтересованные стороны, среди которых государственные, частные, научные, неправительственные организации, а также многосторонние учреждения, стремятся преодолеть этот разрыв;</w:t>
      </w:r>
    </w:p>
    <w:p w14:paraId="199DE34A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  <w:t>что развитие технологий радиосвязи и развертывание наземных, стратосферных (например, станций на высотных платформах) и космических служб и приложений позволяет обеспечить устойчивый и приемлемый в ценовом отношении доступ к информации и знаниям, путем предоставления услуг связи с высокой плотностью соединений (широкополосная связь) и широким покрытием (региональный или глобальный охват), что существенно способствует преодолению цифрового разрыва, эффективно дополняя другие технологии и давая странам возможность обеспечивать прямые, быстрые и надежные соединения;</w:t>
      </w:r>
    </w:p>
    <w:p w14:paraId="59254E05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f)</w:t>
      </w:r>
      <w:r w:rsidRPr="002B2BF7">
        <w:rPr>
          <w:lang w:val="ru-RU"/>
        </w:rPr>
        <w:tab/>
        <w:t>что использование таких систем, как недорогие проводные и беспроводные технологии, включая дополнительные сети и варианты доступа к электросвязи/ИКТ, может стать эффективным способом подключения сообществ в сельских, отдаленных и недостаточно обслуживаемых районах;</w:t>
      </w:r>
    </w:p>
    <w:p w14:paraId="072F023E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g)</w:t>
      </w:r>
      <w:r w:rsidRPr="002B2BF7">
        <w:rPr>
          <w:lang w:val="ru-RU"/>
        </w:rPr>
        <w:tab/>
        <w:t>что во многих Государствах – Членах МСЭ введены нормативно-правовые положения, касающиеся таких регуляторных вопросов, как присоединение, определение тарифов, универсальное обслуживание и т. д., предназначенные для преодоления цифрового разрыва на национальном уровне;</w:t>
      </w:r>
    </w:p>
    <w:p w14:paraId="3175B1A2" w14:textId="77777777" w:rsidR="00791A97" w:rsidRPr="002B2BF7" w:rsidRDefault="00791A97" w:rsidP="00791A97">
      <w:pPr>
        <w:rPr>
          <w:lang w:val="ru-RU"/>
        </w:rPr>
      </w:pPr>
      <w:r w:rsidRPr="002B2BF7">
        <w:rPr>
          <w:rFonts w:eastAsia="SimSun"/>
          <w:i/>
          <w:iCs/>
          <w:lang w:val="ru-RU"/>
        </w:rPr>
        <w:t>h)</w:t>
      </w:r>
      <w:r w:rsidRPr="002B2BF7">
        <w:rPr>
          <w:rFonts w:eastAsia="SimSun"/>
          <w:lang w:val="ru-RU"/>
        </w:rPr>
        <w:tab/>
      </w:r>
      <w:r w:rsidRPr="002B2BF7">
        <w:rPr>
          <w:lang w:val="ru-RU"/>
        </w:rPr>
        <w:t>что необходимо координировать усилия как государственного, так и частного секторов для обеспечения того, чтобы возможности, предоставляемые информационным обществом, приносили плоды, особенно для лиц, находящихся в наиболее неблагоприятном положении;</w:t>
      </w:r>
    </w:p>
    <w:p w14:paraId="0B2C54AB" w14:textId="77777777" w:rsidR="00791A97" w:rsidRPr="002B2BF7" w:rsidRDefault="00791A97" w:rsidP="00791A97">
      <w:pPr>
        <w:rPr>
          <w:i/>
          <w:iCs/>
          <w:lang w:val="ru-RU"/>
        </w:rPr>
      </w:pPr>
      <w:r w:rsidRPr="002B2BF7">
        <w:rPr>
          <w:i/>
          <w:iCs/>
          <w:lang w:val="ru-RU"/>
        </w:rPr>
        <w:t>i)</w:t>
      </w:r>
      <w:r w:rsidRPr="002B2BF7">
        <w:rPr>
          <w:lang w:val="ru-RU"/>
        </w:rPr>
        <w:tab/>
        <w:t>что в каждом регионе, стране и районе следует решать собственные, конкретные вопросы, касающиеся цифрового разрыва, и при этом должно подчеркиваться значение сотрудничества в этой области на региональном и международном уровнях в целях использования накопленного опыта;</w:t>
      </w:r>
      <w:r w:rsidRPr="002B2BF7">
        <w:rPr>
          <w:i/>
          <w:iCs/>
          <w:lang w:val="ru-RU"/>
        </w:rPr>
        <w:br w:type="page"/>
      </w:r>
    </w:p>
    <w:p w14:paraId="3EB8DC2B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lastRenderedPageBreak/>
        <w:t>j)</w:t>
      </w:r>
      <w:r w:rsidRPr="002B2BF7">
        <w:rPr>
          <w:lang w:val="ru-RU"/>
        </w:rPr>
        <w:tab/>
        <w:t>что национальные стратегии предоставления услуг электросвязи в развивающихся странах способствуют снижению затрат пользователей и преодолению цифрового разрыва,</w:t>
      </w:r>
    </w:p>
    <w:p w14:paraId="54E3325D" w14:textId="77777777" w:rsidR="00791A97" w:rsidRPr="002B2BF7" w:rsidRDefault="00791A97" w:rsidP="00791A97">
      <w:pPr>
        <w:pStyle w:val="Call"/>
        <w:rPr>
          <w:rFonts w:cstheme="minorHAnsi"/>
          <w:i w:val="0"/>
          <w:iCs/>
          <w:szCs w:val="22"/>
          <w:lang w:val="ru-RU"/>
        </w:rPr>
      </w:pPr>
      <w:r w:rsidRPr="002B2BF7">
        <w:rPr>
          <w:lang w:val="ru-RU"/>
        </w:rPr>
        <w:t>учитывая</w:t>
      </w:r>
      <w:r w:rsidRPr="002B2BF7">
        <w:rPr>
          <w:rFonts w:cstheme="minorHAnsi"/>
          <w:szCs w:val="22"/>
          <w:lang w:val="ru-RU"/>
        </w:rPr>
        <w:t xml:space="preserve"> далее</w:t>
      </w:r>
      <w:r w:rsidRPr="002B2BF7">
        <w:rPr>
          <w:rFonts w:cstheme="minorHAnsi"/>
          <w:i w:val="0"/>
          <w:iCs/>
          <w:szCs w:val="22"/>
          <w:lang w:val="ru-RU"/>
        </w:rPr>
        <w:t>,</w:t>
      </w:r>
    </w:p>
    <w:p w14:paraId="2B100456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интеграция ИКТ и ускорение цифровой трансформации имеют целью повышение качества всех аспектов нашей повседневной жизни и что справедливый и приемлемый в ценовом отношении доступ к ИКТ имеет решающее значение для охвата цифровыми технологиями, а также устойчивого восстановления после глобальных пандемий и кризисов</w:t>
      </w:r>
      <w:r w:rsidRPr="002B2BF7">
        <w:rPr>
          <w:rFonts w:eastAsia="Batang"/>
          <w:lang w:val="ru-RU"/>
        </w:rPr>
        <w:t>;</w:t>
      </w:r>
    </w:p>
    <w:p w14:paraId="208315F6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для обеспечения безопасности этих приложений требуется укрепление доверия и уверенности при использовании электросвязи/ИКТ</w:t>
      </w:r>
      <w:r w:rsidRPr="002B2BF7">
        <w:rPr>
          <w:lang w:val="ru-RU" w:bidi="ar-EG"/>
        </w:rPr>
        <w:t>;</w:t>
      </w:r>
    </w:p>
    <w:p w14:paraId="5FEE331D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i/>
          <w:iCs/>
          <w:lang w:val="ru-RU"/>
        </w:rPr>
        <w:tab/>
      </w:r>
      <w:r w:rsidRPr="002B2BF7">
        <w:rPr>
          <w:szCs w:val="22"/>
          <w:lang w:val="ru-RU"/>
        </w:rPr>
        <w:t xml:space="preserve">что по мере того, как ИКТ стремительно внедряются во все секторы общества, применение приложений, упомянутых в </w:t>
      </w:r>
      <w:r w:rsidRPr="002B2BF7">
        <w:rPr>
          <w:rFonts w:cs="Segoe UI"/>
          <w:color w:val="000000"/>
          <w:szCs w:val="22"/>
          <w:lang w:val="ru-RU"/>
        </w:rPr>
        <w:t xml:space="preserve">Направлении деятельности C7 ВВУИО, приводит к глубоким изменениям в сфере общественной производительности, </w:t>
      </w:r>
      <w:r w:rsidRPr="002B2BF7">
        <w:rPr>
          <w:lang w:val="ru-RU"/>
        </w:rPr>
        <w:t>приближая скачок в росте производительности в промышленности, таким образом создавая хорошую возможность для развивающихся стран повысить свой уровень промышленного развития и улучшить показатели социально-экономического развития, а также восстановиться после глобальных пандемий и кризисов</w:t>
      </w:r>
      <w:r w:rsidRPr="002B2BF7">
        <w:rPr>
          <w:szCs w:val="22"/>
          <w:lang w:val="ru-RU"/>
        </w:rPr>
        <w:t>;</w:t>
      </w:r>
    </w:p>
    <w:p w14:paraId="502BDAF1" w14:textId="77777777" w:rsidR="00791A97" w:rsidRPr="002B2BF7" w:rsidRDefault="00791A97" w:rsidP="00791A97">
      <w:pPr>
        <w:rPr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что совместное использование накопленного опыта и передовых методов работы в области электросвязи/ИКТ членами МСЭ будет способствовать цифровой трансформации и ускорять ее;</w:t>
      </w:r>
    </w:p>
    <w:p w14:paraId="3D7B2F9C" w14:textId="77777777" w:rsidR="00791A97" w:rsidRPr="002B2BF7" w:rsidRDefault="00791A97" w:rsidP="00791A97">
      <w:pPr>
        <w:rPr>
          <w:i/>
          <w:lang w:val="ru-RU"/>
        </w:rPr>
      </w:pPr>
      <w:r w:rsidRPr="002B2BF7">
        <w:rPr>
          <w:i/>
          <w:iCs/>
          <w:lang w:val="ru-RU"/>
        </w:rPr>
        <w:t>e)</w:t>
      </w:r>
      <w:r w:rsidRPr="002B2BF7">
        <w:rPr>
          <w:lang w:val="ru-RU"/>
        </w:rPr>
        <w:tab/>
      </w:r>
      <w:r w:rsidRPr="002B2BF7">
        <w:rPr>
          <w:rFonts w:cstheme="minorHAnsi"/>
          <w:szCs w:val="22"/>
          <w:lang w:val="ru-RU"/>
        </w:rPr>
        <w:t xml:space="preserve">что несмотря на достижения предыдущего десятилетия в области установления соединений на базе ИКТ, цифровые разрывы сохраняются как между странами, так и внутри них, в частности, </w:t>
      </w:r>
      <w:r w:rsidRPr="002B2BF7">
        <w:rPr>
          <w:lang w:val="ru-RU"/>
        </w:rPr>
        <w:t xml:space="preserve">что во многих развивающихся странах отсутствуют необходимая базовая инфраструктура, долгосрочные планы, законы, надлежащие нормативно-правовые положения и т. п. для развития электросвязи/ИКТ, </w:t>
      </w:r>
      <w:r w:rsidRPr="002B2BF7">
        <w:rPr>
          <w:rFonts w:cstheme="minorHAnsi"/>
          <w:szCs w:val="22"/>
          <w:lang w:val="ru-RU"/>
        </w:rPr>
        <w:t>что требует принятия мер, в частности, путем закрепления благоприятных политических условий и расширения международного сотрудничества, направленных на повышение приемлемости в ценовом отношении, улучшение доступа, образование, создание потенциала, обеспечение многоязычия, сохранение культурных традиций, привлечение инвестиций и обеспечение надлежащего финансирования, а также мер, направленных на ускорение развития цифровой грамотности и навыков и на содействие сохранению культурного многообразия,</w:t>
      </w:r>
      <w:r w:rsidRPr="002B2BF7">
        <w:rPr>
          <w:lang w:val="ru-RU"/>
        </w:rPr>
        <w:br w:type="page"/>
      </w:r>
    </w:p>
    <w:p w14:paraId="39DE4844" w14:textId="77777777" w:rsidR="00791A97" w:rsidRPr="002B2BF7" w:rsidRDefault="00791A97" w:rsidP="00791A97">
      <w:pPr>
        <w:pStyle w:val="Call"/>
        <w:rPr>
          <w:i w:val="0"/>
          <w:iCs/>
          <w:szCs w:val="22"/>
          <w:lang w:val="ru-RU"/>
        </w:rPr>
      </w:pPr>
      <w:r w:rsidRPr="002B2BF7">
        <w:rPr>
          <w:lang w:val="ru-RU"/>
        </w:rPr>
        <w:lastRenderedPageBreak/>
        <w:t>подтверждает</w:t>
      </w:r>
    </w:p>
    <w:p w14:paraId="1F873551" w14:textId="77777777" w:rsidR="00791A97" w:rsidRPr="002B2BF7" w:rsidRDefault="00791A97" w:rsidP="00791A97">
      <w:pPr>
        <w:rPr>
          <w:rFonts w:cstheme="minorHAnsi"/>
          <w:szCs w:val="22"/>
          <w:lang w:val="ru-RU"/>
        </w:rPr>
      </w:pPr>
      <w:r w:rsidRPr="002B2BF7">
        <w:rPr>
          <w:rFonts w:cstheme="minorHAnsi"/>
          <w:i/>
          <w:iCs/>
          <w:szCs w:val="22"/>
          <w:lang w:val="ru-RU"/>
        </w:rPr>
        <w:t>a)</w:t>
      </w:r>
      <w:r w:rsidRPr="002B2BF7">
        <w:rPr>
          <w:rFonts w:cstheme="minorHAnsi"/>
          <w:szCs w:val="22"/>
          <w:lang w:val="ru-RU"/>
        </w:rPr>
        <w:tab/>
        <w:t>значение подходов к прозрачному финансированию преодоления цифрового разрыва, принятых в Женевском плане действий, Тунисской программе и Стратегическом плане Союза, и их преобразования в справедливые механизмы действий, в частности в отношении вопросов, связанных с управлением использованием интернета, при учете интересов женщин и девушек, молодежи и уязвимых групп населения, коренных народов, пожилых людей и лиц с ограниченными возможностями и особыми потребностями, электросвязью/ИКТ для оказания помощи при бедствиях и смягчения их последствий, а также инициативы "Защита ребенка в онлайновой среде";</w:t>
      </w:r>
    </w:p>
    <w:p w14:paraId="21152B63" w14:textId="77777777" w:rsidR="00791A97" w:rsidRPr="002B2BF7" w:rsidRDefault="00791A97" w:rsidP="00791A97">
      <w:pPr>
        <w:rPr>
          <w:rFonts w:cstheme="minorHAnsi"/>
          <w:szCs w:val="22"/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международные и региональные финансовые учреждения и другие организации имеют программы, направленные на преодоление цифрового разрыва, и что эти программы финансирования и технической помощи необходимы для преодоления этого разрыва в развивающихся странах, в первую очередь НРС, ЛЛДС и СИДС</w:t>
      </w:r>
      <w:r w:rsidRPr="002B2BF7">
        <w:rPr>
          <w:rFonts w:cstheme="minorHAnsi"/>
          <w:szCs w:val="22"/>
          <w:lang w:val="ru-RU"/>
        </w:rPr>
        <w:t>,</w:t>
      </w:r>
    </w:p>
    <w:p w14:paraId="442E28F7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t>берет на себя обязательство</w:t>
      </w:r>
    </w:p>
    <w:p w14:paraId="39E667D1" w14:textId="77777777" w:rsidR="00791A97" w:rsidRPr="002B2BF7" w:rsidRDefault="00791A97" w:rsidP="00791A97">
      <w:pPr>
        <w:rPr>
          <w:rFonts w:cstheme="minorHAnsi"/>
          <w:szCs w:val="22"/>
          <w:lang w:val="ru-RU"/>
        </w:rPr>
      </w:pPr>
      <w:r w:rsidRPr="002B2BF7">
        <w:rPr>
          <w:rFonts w:cstheme="minorHAnsi"/>
          <w:szCs w:val="22"/>
          <w:lang w:val="ru-RU"/>
        </w:rPr>
        <w:t xml:space="preserve">ускорять и </w:t>
      </w:r>
      <w:proofErr w:type="spellStart"/>
      <w:r w:rsidRPr="002B2BF7">
        <w:rPr>
          <w:rFonts w:cstheme="minorHAnsi"/>
          <w:szCs w:val="22"/>
          <w:lang w:val="ru-RU"/>
        </w:rPr>
        <w:t>приоритизировать</w:t>
      </w:r>
      <w:proofErr w:type="spellEnd"/>
      <w:r w:rsidRPr="002B2BF7">
        <w:rPr>
          <w:rFonts w:cstheme="minorHAnsi"/>
          <w:szCs w:val="22"/>
          <w:lang w:val="ru-RU"/>
        </w:rPr>
        <w:t xml:space="preserve"> работу, которая приносила бы пользу всем странам, в особенности развивающимся странам, с целью внедрения международных методов и конкретных механизмов для укрепления международного сотрудничества в уменьшении цифрового разрыва с помощью технических решений по установлению соединений и цифровой грамотности, а также цифровой трансформации, в целях повышения темпов предоставления устойчивого и приемлемого в ценовом отношении доступа к электросвязи/ИКТ для всех, и в то же время продолжать сокращать сроки выполнения Повестки дня цифровой солидарности, начиная с Женевского плана действий, результатов Встреч на высшем уровне "Соединим мир", Тунисской программы и Стратегического плана, а также неотложных первоочередных задач Союза,</w:t>
      </w:r>
    </w:p>
    <w:p w14:paraId="57299FD4" w14:textId="77777777" w:rsidR="00791A97" w:rsidRPr="002B2BF7" w:rsidRDefault="00791A97" w:rsidP="00791A97">
      <w:pPr>
        <w:rPr>
          <w:rFonts w:cstheme="minorHAnsi"/>
          <w:szCs w:val="22"/>
          <w:lang w:val="ru-RU"/>
        </w:rPr>
      </w:pPr>
    </w:p>
    <w:p w14:paraId="72E57F39" w14:textId="77777777" w:rsidR="00791A97" w:rsidRPr="002B2BF7" w:rsidRDefault="00791A97" w:rsidP="00791A97">
      <w:pPr>
        <w:rPr>
          <w:i/>
          <w:lang w:val="ru-RU"/>
        </w:rPr>
      </w:pPr>
      <w:r w:rsidRPr="002B2BF7">
        <w:rPr>
          <w:lang w:val="ru-RU"/>
        </w:rPr>
        <w:br w:type="page"/>
      </w:r>
    </w:p>
    <w:p w14:paraId="694EAD88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решает</w:t>
      </w:r>
      <w:r w:rsidRPr="002B2BF7">
        <w:rPr>
          <w:i w:val="0"/>
          <w:iCs/>
          <w:lang w:val="ru-RU"/>
        </w:rPr>
        <w:t>,</w:t>
      </w:r>
    </w:p>
    <w:p w14:paraId="0A64361E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чтобы БРЭ в сотрудничестве с Бюро стандартизации электросвязи и Бюро радиосвязи продолжало принимать необходимые меры для ускорения реализации региональных проектов для активного объединения всех заинтересованных сторон, организаций и учреждений различных секторов в рамках постоянно осуществляемого сотрудничества, при котором информация распространяется по сетям для преодоления цифрового разрыва в соответствии с решениями, принятыми на первом и втором этапах ВВУИО, и вносило свой вклад в повестку дня "Соединим к 2030 году" и работало над ее осуществлением, а также над 10 неотложными первоочередными задачами Организации Объединенных Наций на 2021 год, для решения которых, в частности, необходимо использовать возможности цифровых технологий посредством реализации Дорожной карты Генерального секретаря Организации Объединенных Наций по цифровому сотрудничеству, презентация которой состоялась в 2020 году,</w:t>
      </w:r>
    </w:p>
    <w:p w14:paraId="417CCC1A" w14:textId="77777777" w:rsidR="00791A97" w:rsidRPr="002B2BF7" w:rsidRDefault="00791A97" w:rsidP="00791A97">
      <w:pPr>
        <w:pStyle w:val="Call"/>
        <w:rPr>
          <w:i w:val="0"/>
          <w:iCs/>
          <w:szCs w:val="22"/>
          <w:lang w:val="ru-RU"/>
        </w:rPr>
      </w:pPr>
      <w:r w:rsidRPr="002B2BF7">
        <w:rPr>
          <w:lang w:val="ru-RU"/>
        </w:rPr>
        <w:t xml:space="preserve">решает поручить Директору Бюро развития электросвязи </w:t>
      </w:r>
    </w:p>
    <w:p w14:paraId="6BAEEBEB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продолжать оказывать помощь Государствам-Членам и Членам Сектора в разработке способствующей конкуренции политики и нормативно-правовой базы для электросвязи/ИКТ для целей преодоления цифрового разрыва, включая онлайновые услуги и электронную торговлю, а также создание потенциала в отношении обеспечения соединений и доступности, с учетом особых потребностей женщин и</w:t>
      </w:r>
      <w:r w:rsidRPr="002B2BF7">
        <w:rPr>
          <w:color w:val="000000"/>
          <w:lang w:val="ru-RU"/>
        </w:rPr>
        <w:t xml:space="preserve"> маргинальных, уязвимых</w:t>
      </w:r>
      <w:r w:rsidRPr="002B2BF7">
        <w:rPr>
          <w:lang w:val="ru-RU"/>
        </w:rPr>
        <w:t xml:space="preserve"> и находящихся в неблагоприятных условиях групп населения;</w:t>
      </w:r>
    </w:p>
    <w:p w14:paraId="309D747B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продолжать принимать последующие меры в рамках работы БРЭ в соответствии с Резолюцией 8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 xml:space="preserve">. Кигали, 2022 г.) настоящей Конференции для создания показателей цифрового разрыва, характеризующих возможность установления социальных связей, стандартных показателей для каждой страны и единого индекса, в сотрудничестве с компетентными организациями и соответствующими учреждениями Организации Объединенных Наций, используя для этого имеющиеся статистические данные, </w:t>
      </w:r>
      <w:r w:rsidRPr="002B2BF7">
        <w:rPr>
          <w:rFonts w:cstheme="minorHAnsi"/>
          <w:szCs w:val="22"/>
          <w:lang w:val="ru-RU"/>
        </w:rPr>
        <w:t>с тем чтобы информация о текущей ситуации для каждой страны и региона в аспекте цифрового разрыва была непрерывно доступна онлайн на сайте МСЭ в наглядном и удобном для пользователей виде</w:t>
      </w:r>
      <w:r w:rsidRPr="002B2BF7">
        <w:rPr>
          <w:lang w:val="ru-RU"/>
        </w:rPr>
        <w:t>;</w:t>
      </w:r>
    </w:p>
    <w:p w14:paraId="238A71EB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</w:r>
      <w:r w:rsidRPr="002B2BF7">
        <w:rPr>
          <w:rFonts w:cstheme="minorHAnsi"/>
          <w:szCs w:val="22"/>
          <w:lang w:val="ru-RU"/>
        </w:rPr>
        <w:t>продолжать выявлять преимущества разработки недорогого, современного, высококачественного пользовательского оборудования для работы со средствами электросвязи/ИКТ, которое можно напрямую подключать к действующим сетям, поддерживающим интернет, а также услуги и приложения интернета, с тем чтобы благодаря возможности применения компьютеров в глобальных масштабах можно было бы получить экономию и социальную выгоду, с учетом возможности использования наземных, стратосферных и космических услуг и приложений, а также содействовать применению ориентированных на человека подходов к нормативно-правовым и политическим рамкам;</w:t>
      </w:r>
      <w:r w:rsidRPr="002B2BF7">
        <w:rPr>
          <w:lang w:val="ru-RU"/>
        </w:rPr>
        <w:br w:type="page"/>
      </w:r>
    </w:p>
    <w:p w14:paraId="1141190B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lastRenderedPageBreak/>
        <w:t>4</w:t>
      </w:r>
      <w:r w:rsidRPr="002B2BF7">
        <w:rPr>
          <w:lang w:val="ru-RU"/>
        </w:rPr>
        <w:tab/>
        <w:t>продолжать оказывать помощь в развертывании кампании по повышению осведомленности пользователей, с тем чтобы завоевать доверие и признание пользователей в отношении услуг и приложений ИКТ;</w:t>
      </w:r>
    </w:p>
    <w:p w14:paraId="096A7837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поощрять использование новых и появляющихся технологий, а также разработку бизнес-моделей и других способов оказания помощи разнообразной экосистеме операторов электросвязи в снижении затрат и тем самым в преодолении цифрового разрыва;</w:t>
      </w:r>
    </w:p>
    <w:p w14:paraId="549298D1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6</w:t>
      </w:r>
      <w:r w:rsidRPr="002B2BF7">
        <w:rPr>
          <w:lang w:val="ru-RU"/>
        </w:rPr>
        <w:tab/>
        <w:t xml:space="preserve">продолжать настаивать на необходимости обеспечивать приемлемые в ценовом отношении устройства и услуги и содействовать в снижении стоимости доступа, </w:t>
      </w:r>
      <w:r w:rsidRPr="002B2BF7">
        <w:rPr>
          <w:rFonts w:cstheme="minorHAnsi"/>
          <w:szCs w:val="22"/>
          <w:lang w:val="ru-RU"/>
        </w:rPr>
        <w:t xml:space="preserve">предлагая Членам Сектора </w:t>
      </w:r>
      <w:r w:rsidRPr="002B2BF7">
        <w:rPr>
          <w:lang w:val="ru-RU"/>
        </w:rPr>
        <w:t>разрабатывать соответствующие технологии, которые возможно использовать в приложениях широкополосной связи и которые сопряжены с низкими эксплуатационными расходами и расходами на техническое обслуживание, что было признано в качестве одной из основных задач Союза в целом и МСЭ-D в частности;</w:t>
      </w:r>
    </w:p>
    <w:p w14:paraId="16FD64AB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7</w:t>
      </w:r>
      <w:r w:rsidRPr="002B2BF7">
        <w:rPr>
          <w:lang w:val="ru-RU"/>
        </w:rPr>
        <w:tab/>
        <w:t>продолжать способствовать развитию инновационных моделей и цифровой трансформации для успешного сокращения масштабов нищеты и преодоления цифрового разрыва в развивающихся странах;</w:t>
      </w:r>
    </w:p>
    <w:p w14:paraId="120BA654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8</w:t>
      </w:r>
      <w:r w:rsidRPr="002B2BF7">
        <w:rPr>
          <w:lang w:val="ru-RU"/>
        </w:rPr>
        <w:tab/>
        <w:t>продолжать обеспечивать, чтобы эти приложения являлись одним из основных направлений деятельности в рамках соответствующей программы БРЭ, уделяя основное внимание ее ключевой роли в проведении деятельности по исследуемым Вопросам, относящимся к приложениям ИКТ для предыдущего и последующего исследовательских периодов;</w:t>
      </w:r>
    </w:p>
    <w:p w14:paraId="63F88C73" w14:textId="77777777" w:rsidR="00791A97" w:rsidRPr="002B2BF7" w:rsidRDefault="00791A97" w:rsidP="00791A97">
      <w:pPr>
        <w:rPr>
          <w:lang w:val="ru-RU"/>
        </w:rPr>
      </w:pPr>
      <w:r w:rsidRPr="002B2BF7">
        <w:rPr>
          <w:rFonts w:cstheme="minorHAnsi"/>
          <w:szCs w:val="22"/>
          <w:lang w:val="ru-RU"/>
        </w:rPr>
        <w:t>9</w:t>
      </w:r>
      <w:r w:rsidRPr="002B2BF7">
        <w:rPr>
          <w:rFonts w:cstheme="minorHAnsi"/>
          <w:szCs w:val="22"/>
          <w:lang w:val="ru-RU"/>
        </w:rPr>
        <w:tab/>
        <w:t>продолжать оказывать помощь в преодолении цифрового разрыва между городским и сельским населением</w:t>
      </w:r>
      <w:r w:rsidRPr="002B2BF7">
        <w:rPr>
          <w:lang w:val="ru-RU"/>
        </w:rPr>
        <w:t>;</w:t>
      </w:r>
    </w:p>
    <w:p w14:paraId="513110DC" w14:textId="77777777" w:rsidR="00791A97" w:rsidRPr="002B2BF7" w:rsidRDefault="00791A97" w:rsidP="00791A97">
      <w:pPr>
        <w:rPr>
          <w:lang w:val="ru-RU"/>
        </w:rPr>
      </w:pPr>
      <w:r w:rsidRPr="002B2BF7">
        <w:rPr>
          <w:rFonts w:cstheme="minorHAnsi"/>
          <w:szCs w:val="22"/>
          <w:lang w:val="ru-RU"/>
        </w:rPr>
        <w:t>10</w:t>
      </w:r>
      <w:r w:rsidRPr="002B2BF7">
        <w:rPr>
          <w:rFonts w:cstheme="minorHAnsi"/>
          <w:szCs w:val="22"/>
          <w:lang w:val="ru-RU"/>
        </w:rPr>
        <w:tab/>
        <w:t>продолжать поддерживать и координировать усилия, направленные на соединение женщин и девушек, молодежи и уязвимых групп населения, коренных народов, лиц пожилого возраста и лиц с ограниченными возможностями и особыми потребностями, используя услуги и приложения электросвязи/ИКТ</w:t>
      </w:r>
      <w:r w:rsidRPr="002B2BF7">
        <w:rPr>
          <w:lang w:val="ru-RU"/>
        </w:rPr>
        <w:t>;</w:t>
      </w:r>
    </w:p>
    <w:p w14:paraId="6260B624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11</w:t>
      </w:r>
      <w:r w:rsidRPr="002B2BF7" w:rsidDel="00FC315A">
        <w:rPr>
          <w:lang w:val="ru-RU"/>
        </w:rPr>
        <w:tab/>
        <w:t>обеспечить</w:t>
      </w:r>
      <w:r w:rsidRPr="002B2BF7">
        <w:rPr>
          <w:lang w:val="ru-RU"/>
        </w:rPr>
        <w:t>, чтобы</w:t>
      </w:r>
      <w:r w:rsidRPr="002B2BF7" w:rsidDel="00FC315A">
        <w:rPr>
          <w:lang w:val="ru-RU"/>
        </w:rPr>
        <w:t xml:space="preserve"> специальны</w:t>
      </w:r>
      <w:r w:rsidRPr="002B2BF7">
        <w:rPr>
          <w:lang w:val="ru-RU"/>
        </w:rPr>
        <w:t>е</w:t>
      </w:r>
      <w:r w:rsidRPr="002B2BF7" w:rsidDel="00FC315A">
        <w:rPr>
          <w:lang w:val="ru-RU"/>
        </w:rPr>
        <w:t xml:space="preserve"> программ</w:t>
      </w:r>
      <w:r w:rsidRPr="002B2BF7">
        <w:rPr>
          <w:lang w:val="ru-RU"/>
        </w:rPr>
        <w:t>ы</w:t>
      </w:r>
      <w:r w:rsidRPr="002B2BF7" w:rsidDel="00FC315A">
        <w:rPr>
          <w:lang w:val="ru-RU"/>
        </w:rPr>
        <w:t xml:space="preserve"> в рамках </w:t>
      </w:r>
      <w:r w:rsidRPr="002B2BF7">
        <w:rPr>
          <w:lang w:val="ru-RU"/>
        </w:rPr>
        <w:t>Ц</w:t>
      </w:r>
      <w:r w:rsidRPr="002B2BF7" w:rsidDel="00FC315A">
        <w:rPr>
          <w:lang w:val="ru-RU"/>
        </w:rPr>
        <w:t>ентров профессионально</w:t>
      </w:r>
      <w:r w:rsidRPr="002B2BF7">
        <w:rPr>
          <w:lang w:val="ru-RU"/>
        </w:rPr>
        <w:t>й</w:t>
      </w:r>
      <w:r w:rsidRPr="002B2BF7" w:rsidDel="00FC315A">
        <w:rPr>
          <w:lang w:val="ru-RU"/>
        </w:rPr>
        <w:t xml:space="preserve"> </w:t>
      </w:r>
      <w:r w:rsidRPr="002B2BF7">
        <w:rPr>
          <w:lang w:val="ru-RU"/>
        </w:rPr>
        <w:t>подготовки Академии МСЭ</w:t>
      </w:r>
      <w:r w:rsidRPr="002B2BF7" w:rsidDel="00FC315A">
        <w:rPr>
          <w:lang w:val="ru-RU"/>
        </w:rPr>
        <w:t xml:space="preserve"> (</w:t>
      </w:r>
      <w:r w:rsidRPr="002B2BF7">
        <w:rPr>
          <w:lang w:val="ru-RU"/>
        </w:rPr>
        <w:t>АТС</w:t>
      </w:r>
      <w:r w:rsidRPr="002B2BF7" w:rsidDel="00FC315A">
        <w:rPr>
          <w:lang w:val="ru-RU"/>
        </w:rPr>
        <w:t xml:space="preserve">) </w:t>
      </w:r>
      <w:r w:rsidRPr="002B2BF7">
        <w:rPr>
          <w:lang w:val="ru-RU"/>
        </w:rPr>
        <w:t>и центров цифровой трансформации (DTC) и далее занимались</w:t>
      </w:r>
      <w:r w:rsidRPr="002B2BF7" w:rsidDel="00FC315A">
        <w:rPr>
          <w:lang w:val="ru-RU"/>
        </w:rPr>
        <w:t xml:space="preserve"> конкретн</w:t>
      </w:r>
      <w:r w:rsidRPr="002B2BF7">
        <w:rPr>
          <w:lang w:val="ru-RU"/>
        </w:rPr>
        <w:t>ыми</w:t>
      </w:r>
      <w:r w:rsidRPr="002B2BF7" w:rsidDel="00FC315A">
        <w:rPr>
          <w:lang w:val="ru-RU"/>
        </w:rPr>
        <w:t xml:space="preserve"> вопро</w:t>
      </w:r>
      <w:r w:rsidRPr="002B2BF7">
        <w:rPr>
          <w:lang w:val="ru-RU"/>
        </w:rPr>
        <w:t>сами</w:t>
      </w:r>
      <w:r w:rsidRPr="002B2BF7" w:rsidDel="00FC315A">
        <w:rPr>
          <w:lang w:val="ru-RU"/>
        </w:rPr>
        <w:t xml:space="preserve"> профессиональной подготовки в области ИКТ </w:t>
      </w:r>
      <w:r w:rsidRPr="002B2BF7">
        <w:rPr>
          <w:lang w:val="ru-RU"/>
        </w:rPr>
        <w:t xml:space="preserve">и развития цифровой грамотности и навыков </w:t>
      </w:r>
      <w:r w:rsidRPr="002B2BF7" w:rsidDel="00FC315A">
        <w:rPr>
          <w:lang w:val="ru-RU"/>
        </w:rPr>
        <w:t>для сокращения масштабов нищеты</w:t>
      </w:r>
      <w:r w:rsidRPr="002B2BF7">
        <w:rPr>
          <w:lang w:val="ru-RU"/>
        </w:rPr>
        <w:t xml:space="preserve"> и повышения качества жизни, </w:t>
      </w:r>
      <w:r w:rsidRPr="002B2BF7" w:rsidDel="00FC315A">
        <w:rPr>
          <w:lang w:val="ru-RU"/>
        </w:rPr>
        <w:t>и уделять этим центрам первоочередное внимание</w:t>
      </w:r>
      <w:r w:rsidRPr="002B2BF7">
        <w:rPr>
          <w:lang w:val="ru-RU"/>
        </w:rPr>
        <w:t>;</w:t>
      </w:r>
      <w:r w:rsidRPr="002B2BF7">
        <w:rPr>
          <w:lang w:val="ru-RU"/>
        </w:rPr>
        <w:br w:type="page"/>
      </w:r>
    </w:p>
    <w:p w14:paraId="33386456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lastRenderedPageBreak/>
        <w:t>12</w:t>
      </w:r>
      <w:r w:rsidRPr="002B2BF7">
        <w:rPr>
          <w:lang w:val="ru-RU"/>
        </w:rPr>
        <w:tab/>
        <w:t xml:space="preserve">обеспечивать, чтобы БРЭ играло основную, активную и отвечающую поставленным целям роль в </w:t>
      </w:r>
      <w:r w:rsidRPr="002B2BF7">
        <w:rPr>
          <w:rFonts w:cstheme="minorHAnsi"/>
          <w:szCs w:val="22"/>
          <w:lang w:val="ru-RU"/>
        </w:rPr>
        <w:t>деятельности по преодолению цифрового разрыва</w:t>
      </w:r>
      <w:r w:rsidRPr="002B2BF7" w:rsidDel="00B91998">
        <w:rPr>
          <w:rFonts w:cstheme="minorHAnsi"/>
          <w:szCs w:val="22"/>
          <w:lang w:val="ru-RU"/>
        </w:rPr>
        <w:t xml:space="preserve"> </w:t>
      </w:r>
      <w:r w:rsidRPr="002B2BF7">
        <w:rPr>
          <w:lang w:val="ru-RU"/>
        </w:rPr>
        <w:t>и тесно сотрудничало с Государствами – Членами МСЭ через региональные отделения МСЭ для реализации соответствующих программ и проектов, наряду с поддержанием активного канала связи между стратегическими заинтересованными сторонами;</w:t>
      </w:r>
    </w:p>
    <w:p w14:paraId="156E083E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13</w:t>
      </w:r>
      <w:r w:rsidRPr="002B2BF7">
        <w:rPr>
          <w:lang w:val="ru-RU"/>
        </w:rPr>
        <w:tab/>
        <w:t>содействовать обсуждению примеров передового опыта и обмену ими в том, что касается проблем и преимуществ, связанных с осуществлением в рамках стратегических партнерств проектов и видов деятельности, которые имеют отношение к приложениям ИКТ, упомянутым в Направлении деятельности С7 ВВУИО;</w:t>
      </w:r>
    </w:p>
    <w:p w14:paraId="393EF390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14</w:t>
      </w:r>
      <w:r w:rsidRPr="002B2BF7">
        <w:rPr>
          <w:lang w:val="ru-RU"/>
        </w:rPr>
        <w:tab/>
      </w:r>
      <w:r w:rsidRPr="002B2BF7">
        <w:rPr>
          <w:rFonts w:cstheme="minorHAnsi"/>
          <w:szCs w:val="22"/>
          <w:lang w:val="ru-RU"/>
        </w:rPr>
        <w:t>продолжать определять ключевые, отвечающие поставленным целям приложения электросвязи/ИКТ в сельских районах и сотрудничать со специализированными организациями, национальными инициативами и исследовательскими комиссиями Сектора стандартизации электросвязи МСЭ (МСЭ</w:t>
      </w:r>
      <w:r w:rsidRPr="002B2BF7">
        <w:rPr>
          <w:rFonts w:cstheme="minorHAnsi"/>
          <w:szCs w:val="22"/>
          <w:lang w:val="ru-RU"/>
        </w:rPr>
        <w:noBreakHyphen/>
        <w:t>T) в области преодоления разрыва в стандартизации между развивающимися и развитыми странами для создания стандартизированного и удобного для пользователя формата контента, который преодолеет барьеры, возникающие в связи с низким уровнем цифровой грамотности и языковыми различиями</w:t>
      </w:r>
      <w:r w:rsidRPr="002B2BF7">
        <w:rPr>
          <w:lang w:val="ru-RU"/>
        </w:rPr>
        <w:t>;</w:t>
      </w:r>
    </w:p>
    <w:p w14:paraId="3F12A844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15</w:t>
      </w:r>
      <w:r w:rsidRPr="002B2BF7">
        <w:rPr>
          <w:lang w:val="ru-RU"/>
        </w:rPr>
        <w:tab/>
        <w:t>поощрять инновации и наращивать темпы использования и внедрения появляющихся цифровых технологий, а также разработку бизнес-моделей и других инновационных способов оказания помощи операторам электросвязи, а также операторам дополнительных сетей и вариантов доступа к электросвязи/ИКТ в снижении затрат и преодолении препятствий географического характера, что приводит к повышению темпов охвата цифровыми технологиями и преодолению цифрового разрыва;</w:t>
      </w:r>
    </w:p>
    <w:p w14:paraId="49CE0115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16</w:t>
      </w:r>
      <w:r w:rsidRPr="002B2BF7">
        <w:rPr>
          <w:lang w:val="ru-RU"/>
        </w:rPr>
        <w:tab/>
        <w:t>принимать во внимание важность обеспечения безопасности и конфиденциальности приложений ИКТ, отмеченных в Направлении деятельности С7 ВВУИО, и обеспечения неприкосновенности частной жизни, с тем чтобы содействовать обсуждению руководящих указаний, инструментов и механизмов; совершенствовать сотрудничество между государственными органами; внедрять удобные для пользователя государственные услуги посредством интеграции и персонализации услуг; улучшать качество и опыт использования услуг электронного правительства и повышать уровень информированности о таких услугах;</w:t>
      </w:r>
    </w:p>
    <w:p w14:paraId="7F0C6E4C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17</w:t>
      </w:r>
      <w:r w:rsidRPr="002B2BF7">
        <w:rPr>
          <w:lang w:val="ru-RU"/>
        </w:rPr>
        <w:tab/>
        <w:t>в случае поступления запроса продолжать оказывать Государствам-Членам содействие в разработке политических и нормативно-правовых баз, которые будут способствовать расширению и поддержке вовлечения дополнительных сетей и вариантов доступа к электросвязи/ИКТ в деятельность по преодолению цифрового разрыва;</w:t>
      </w:r>
    </w:p>
    <w:p w14:paraId="1AF05A7D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18</w:t>
      </w:r>
      <w:r w:rsidRPr="002B2BF7">
        <w:rPr>
          <w:lang w:val="ru-RU"/>
        </w:rPr>
        <w:tab/>
        <w:t xml:space="preserve">продолжать оказывать помощь в содействии более широкому участию женщин и девушек, молодежи, детей, лиц с ограниченными возможностями, лиц с особыми потребностями, лиц пожилого возраста, коренных народов, </w:t>
      </w:r>
      <w:r w:rsidRPr="002B2BF7">
        <w:rPr>
          <w:color w:val="000000"/>
          <w:lang w:val="ru-RU"/>
        </w:rPr>
        <w:t>а также лиц, проживающих в отдаленных районах, в реализации инициатив по обеспечению цифровой трансформации</w:t>
      </w:r>
      <w:r w:rsidRPr="002B2BF7">
        <w:rPr>
          <w:lang w:val="ru-RU"/>
        </w:rPr>
        <w:t>;</w:t>
      </w:r>
      <w:r w:rsidRPr="002B2BF7">
        <w:rPr>
          <w:lang w:val="ru-RU"/>
        </w:rPr>
        <w:br w:type="page"/>
      </w:r>
    </w:p>
    <w:p w14:paraId="11CC3113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lastRenderedPageBreak/>
        <w:t>19</w:t>
      </w:r>
      <w:r w:rsidRPr="002B2BF7">
        <w:rPr>
          <w:lang w:val="ru-RU"/>
        </w:rPr>
        <w:tab/>
        <w:t xml:space="preserve">содействовать проведению исследований или осуществлению проектов и видов деятельности, в сотрудничестве с Сектором радиосвязи МСЭ (МСЭ-R), в целях создания потенциала для эффективного использования </w:t>
      </w:r>
      <w:proofErr w:type="spellStart"/>
      <w:r w:rsidRPr="002B2BF7">
        <w:rPr>
          <w:lang w:val="ru-RU"/>
        </w:rPr>
        <w:t>орбитально</w:t>
      </w:r>
      <w:proofErr w:type="spellEnd"/>
      <w:r w:rsidRPr="002B2BF7">
        <w:rPr>
          <w:lang w:val="ru-RU"/>
        </w:rPr>
        <w:t xml:space="preserve">-частотного ресурса для предоставления наземных, стратосферных и космических технологий, включая появляющиеся технологии радиосвязи, с тем чтобы оказать поддержку в использовании </w:t>
      </w:r>
      <w:proofErr w:type="spellStart"/>
      <w:r w:rsidRPr="002B2BF7">
        <w:rPr>
          <w:lang w:val="ru-RU"/>
        </w:rPr>
        <w:t>орбитально</w:t>
      </w:r>
      <w:proofErr w:type="spellEnd"/>
      <w:r w:rsidRPr="002B2BF7">
        <w:rPr>
          <w:lang w:val="ru-RU"/>
        </w:rPr>
        <w:t>-частотного ресурса для стимулирования развития широкополосной связи и преодоления цифрового разрыва, особенно в развивающихся странах;</w:t>
      </w:r>
    </w:p>
    <w:p w14:paraId="61835A33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20</w:t>
      </w:r>
      <w:r w:rsidRPr="002B2BF7">
        <w:rPr>
          <w:lang w:val="ru-RU"/>
        </w:rPr>
        <w:tab/>
        <w:t>продолжать определять ключевые приложения электросвязи/ИКТ в сельских районах и сотрудничать с МСЭ-Т для преодоления разрыва в стандартизации между развивающимися и развитыми странами;</w:t>
      </w:r>
    </w:p>
    <w:p w14:paraId="07284E7E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21</w:t>
      </w:r>
      <w:r w:rsidRPr="002B2BF7">
        <w:rPr>
          <w:lang w:val="ru-RU"/>
        </w:rPr>
        <w:tab/>
        <w:t>что БРЭ продолжает играть центральную роль в преодолении цифрового разрыва и через региональные отделения МСЭ тесно сотрудничает с Государствами – Членами МСЭ в целях реализации соответствующих программ и проектов, поддерживая при этом активный канал связи между стратегическими заинтересованными сторонами и играя центральную, активную и отвечающую поставленным целям роль;</w:t>
      </w:r>
    </w:p>
    <w:p w14:paraId="3057E3D5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22</w:t>
      </w:r>
      <w:r w:rsidRPr="002B2BF7">
        <w:rPr>
          <w:lang w:val="ru-RU"/>
        </w:rPr>
        <w:tab/>
        <w:t>способствовать изучению, обмену и внедрению моделей государственно-частного партнерства (ГЧП) для развития цифровой инфраструктуры, а также моделей центров, обеспечивающих доступ к интернету и развитие цифрового потенциала в сельских и изолированных районах;</w:t>
      </w:r>
    </w:p>
    <w:p w14:paraId="36CC34BA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23</w:t>
      </w:r>
      <w:r w:rsidRPr="002B2BF7">
        <w:rPr>
          <w:lang w:val="ru-RU"/>
        </w:rPr>
        <w:tab/>
        <w:t>продолжать принимать меры по развертыванию сотрудничества, при обеспечении высокого уровня прозрачности, с международными финансовыми учреждениями, учреждениями-донорами и объединениями частного сектора в отношении проектов, имеющих целью преодоление цифрового разрыва, информировать Государства-Членов о статусе этих усилий на регулярной основе, а также создать и поддерживать информационный раздел на веб-сайте МСЭ, где члены Союза могут найти информацию о сотрудничающих с МСЭ институтах и учреждениях системы Организации Объединенных Наций, которые ведут программы по техническому содействию и финансированию усилий, имеющих отношение к преодолению цифрового разрыва;</w:t>
      </w:r>
    </w:p>
    <w:p w14:paraId="530F8EF3" w14:textId="77777777" w:rsidR="00791A97" w:rsidRPr="002B2BF7" w:rsidRDefault="00791A97" w:rsidP="00791A97">
      <w:pPr>
        <w:rPr>
          <w:rFonts w:cstheme="minorHAnsi"/>
          <w:szCs w:val="22"/>
          <w:lang w:val="ru-RU"/>
        </w:rPr>
      </w:pPr>
      <w:r w:rsidRPr="002B2BF7">
        <w:rPr>
          <w:rFonts w:cstheme="minorHAnsi"/>
          <w:szCs w:val="22"/>
          <w:lang w:val="ru-RU"/>
        </w:rPr>
        <w:t>24</w:t>
      </w:r>
      <w:r w:rsidRPr="002B2BF7">
        <w:rPr>
          <w:rFonts w:cstheme="minorHAnsi"/>
          <w:szCs w:val="22"/>
          <w:lang w:val="ru-RU"/>
        </w:rPr>
        <w:tab/>
        <w:t>обеспечить выделение, в рамках бюджетных ограничений, необходимых ресурсов для выполнения данной Резолюции;</w:t>
      </w:r>
    </w:p>
    <w:p w14:paraId="16EBCFC7" w14:textId="77777777" w:rsidR="00791A97" w:rsidRPr="002B2BF7" w:rsidRDefault="00791A97" w:rsidP="00791A97">
      <w:pPr>
        <w:rPr>
          <w:i/>
          <w:lang w:val="ru-RU"/>
        </w:rPr>
      </w:pPr>
      <w:r w:rsidRPr="002B2BF7">
        <w:rPr>
          <w:rFonts w:cstheme="minorHAnsi"/>
          <w:szCs w:val="22"/>
          <w:lang w:val="ru-RU"/>
        </w:rPr>
        <w:t>25</w:t>
      </w:r>
      <w:r w:rsidRPr="002B2BF7">
        <w:rPr>
          <w:rFonts w:cstheme="minorHAnsi"/>
          <w:szCs w:val="22"/>
          <w:lang w:val="ru-RU"/>
        </w:rPr>
        <w:tab/>
        <w:t>регулярно распространять результаты выполнения данной Резолюции среди всех Государств</w:t>
      </w:r>
      <w:r w:rsidRPr="002B2BF7">
        <w:rPr>
          <w:rFonts w:cstheme="minorHAnsi"/>
          <w:szCs w:val="22"/>
          <w:lang w:val="ru-RU"/>
        </w:rPr>
        <w:noBreakHyphen/>
        <w:t>Членов,</w:t>
      </w:r>
      <w:r w:rsidRPr="002B2BF7">
        <w:rPr>
          <w:lang w:val="ru-RU"/>
        </w:rPr>
        <w:br w:type="page"/>
      </w:r>
    </w:p>
    <w:p w14:paraId="6F8ED46A" w14:textId="77777777" w:rsidR="00791A97" w:rsidRPr="002B2BF7" w:rsidRDefault="00791A97" w:rsidP="00791A97">
      <w:pPr>
        <w:pStyle w:val="Call"/>
        <w:rPr>
          <w:rFonts w:eastAsia="Calibri"/>
          <w:lang w:val="ru-RU"/>
        </w:rPr>
      </w:pPr>
      <w:r w:rsidRPr="002B2BF7">
        <w:rPr>
          <w:lang w:val="ru-RU"/>
        </w:rPr>
        <w:lastRenderedPageBreak/>
        <w:t>решает поручить</w:t>
      </w:r>
      <w:r w:rsidRPr="002B2BF7">
        <w:rPr>
          <w:rFonts w:eastAsia="Calibri"/>
          <w:lang w:val="ru-RU"/>
        </w:rPr>
        <w:t xml:space="preserve"> </w:t>
      </w:r>
      <w:r w:rsidRPr="002B2BF7">
        <w:rPr>
          <w:lang w:val="ru-RU"/>
        </w:rPr>
        <w:t>Директору Бюро развития электросвязи</w:t>
      </w:r>
      <w:r w:rsidRPr="002B2BF7">
        <w:rPr>
          <w:rFonts w:cstheme="minorHAnsi"/>
          <w:szCs w:val="22"/>
          <w:lang w:val="ru-RU"/>
        </w:rPr>
        <w:t xml:space="preserve"> в сотрудничестве с Директором Бюро радиосвязи и Директором Бюро стандартизации электросвязи</w:t>
      </w:r>
    </w:p>
    <w:p w14:paraId="5577DF84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поддерживать Государства-Членов, в частности развивающиеся страны, в повышении осведомленности и понимания дезагрегированных</w:t>
      </w:r>
      <w:r w:rsidRPr="002B2BF7">
        <w:rPr>
          <w:rStyle w:val="FootnoteReference"/>
          <w:lang w:val="ru-RU"/>
        </w:rPr>
        <w:footnoteReference w:id="2"/>
      </w:r>
      <w:r w:rsidRPr="002B2BF7">
        <w:rPr>
          <w:lang w:val="ru-RU"/>
        </w:rPr>
        <w:t>, открытых</w:t>
      </w:r>
      <w:r w:rsidRPr="002B2BF7">
        <w:rPr>
          <w:rStyle w:val="FootnoteReference"/>
          <w:lang w:val="ru-RU"/>
        </w:rPr>
        <w:footnoteReference w:id="3"/>
      </w:r>
      <w:r w:rsidRPr="002B2BF7">
        <w:rPr>
          <w:lang w:val="ru-RU"/>
        </w:rPr>
        <w:t xml:space="preserve"> и функционально совместимых сетевых технологий, таких как сети открытого радиодоступа (Open RAN) и другие, путем организации семинаров-практикумов и других мероприятий по развитию потенциала;</w:t>
      </w:r>
    </w:p>
    <w:p w14:paraId="72C6B247" w14:textId="77777777" w:rsidR="00791A97" w:rsidRPr="002B2BF7" w:rsidRDefault="00791A97" w:rsidP="00791A97">
      <w:pPr>
        <w:rPr>
          <w:lang w:val="ru-RU"/>
        </w:rPr>
      </w:pPr>
      <w:r w:rsidRPr="002B2BF7">
        <w:rPr>
          <w:rFonts w:eastAsia="Calibri"/>
          <w:lang w:val="ru-RU"/>
        </w:rPr>
        <w:t>2</w:t>
      </w:r>
      <w:r w:rsidRPr="002B2BF7">
        <w:rPr>
          <w:lang w:val="ru-RU"/>
        </w:rPr>
        <w:tab/>
        <w:t xml:space="preserve">работать в сотрудничестве с Государствами-Членами, Членами Секторов и другими заинтересованными сторонами для содействия обмену информацией о разработке и внедрении таких технологий и решений, упомянутых в п. 1 раздела </w:t>
      </w:r>
      <w:r w:rsidRPr="002B2BF7">
        <w:rPr>
          <w:i/>
          <w:iCs/>
          <w:lang w:val="ru-RU"/>
        </w:rPr>
        <w:t>решает</w:t>
      </w:r>
      <w:r w:rsidRPr="002B2BF7">
        <w:rPr>
          <w:lang w:val="ru-RU"/>
        </w:rPr>
        <w:t>,</w:t>
      </w:r>
      <w:r w:rsidRPr="002B2BF7">
        <w:rPr>
          <w:i/>
          <w:iCs/>
          <w:lang w:val="ru-RU"/>
        </w:rPr>
        <w:t xml:space="preserve"> </w:t>
      </w:r>
      <w:r w:rsidRPr="002B2BF7">
        <w:rPr>
          <w:lang w:val="ru-RU"/>
        </w:rPr>
        <w:t>выше, а также других, с целью продвижения надежного и приемлемого в ценовом отношении широкополосного доступа, в частности, в необслуживаемых и в недостаточной степени обслуживаемых районах и сообществах,</w:t>
      </w:r>
    </w:p>
    <w:p w14:paraId="4BB23A24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t>предлагает Генеральному секретарю</w:t>
      </w:r>
    </w:p>
    <w:p w14:paraId="0F6D43BC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включить тему цифрового разрыва в перечень областей, представляющих взаимный интерес для трех Секторов и Генерального секретариата</w:t>
      </w:r>
      <w:r w:rsidRPr="002B2BF7">
        <w:rPr>
          <w:rStyle w:val="FootnoteReference"/>
          <w:lang w:val="ru-RU"/>
        </w:rPr>
        <w:footnoteReference w:id="4"/>
      </w:r>
      <w:r w:rsidRPr="002B2BF7">
        <w:rPr>
          <w:lang w:val="ru-RU"/>
        </w:rPr>
        <w:t>;</w:t>
      </w:r>
    </w:p>
    <w:p w14:paraId="6DCC2FCD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 xml:space="preserve">предложить </w:t>
      </w:r>
      <w:proofErr w:type="spellStart"/>
      <w:r w:rsidRPr="002B2BF7">
        <w:rPr>
          <w:lang w:val="ru-RU"/>
        </w:rPr>
        <w:t>Межсекторальной</w:t>
      </w:r>
      <w:proofErr w:type="spellEnd"/>
      <w:r w:rsidRPr="002B2BF7">
        <w:rPr>
          <w:lang w:val="ru-RU"/>
        </w:rPr>
        <w:t xml:space="preserve"> координационной группе по вопросам, представляющим взаимный интерес (МСКГ), считать цифровой разрыв темой, представляющий взаимный интерес для трех Секторов,</w:t>
      </w:r>
    </w:p>
    <w:p w14:paraId="4D52C7A1" w14:textId="77777777" w:rsidR="00791A97" w:rsidRPr="002B2BF7" w:rsidRDefault="00791A97" w:rsidP="00791A97">
      <w:pPr>
        <w:pStyle w:val="Call"/>
        <w:rPr>
          <w:i w:val="0"/>
          <w:lang w:val="ru-RU"/>
        </w:rPr>
      </w:pPr>
      <w:r w:rsidRPr="002B2BF7">
        <w:rPr>
          <w:lang w:val="ru-RU"/>
        </w:rPr>
        <w:t>призывает</w:t>
      </w:r>
      <w:r w:rsidRPr="002B2BF7">
        <w:rPr>
          <w:rFonts w:cstheme="minorHAnsi"/>
          <w:szCs w:val="22"/>
          <w:lang w:val="ru-RU"/>
        </w:rPr>
        <w:t xml:space="preserve"> международные финансовые учреждения, учреждения-доноры и объединения частного сектора</w:t>
      </w:r>
    </w:p>
    <w:p w14:paraId="7BC14493" w14:textId="77777777" w:rsidR="00791A97" w:rsidRPr="002B2BF7" w:rsidRDefault="00791A97" w:rsidP="00791A97">
      <w:pPr>
        <w:rPr>
          <w:i/>
          <w:lang w:val="ru-RU"/>
        </w:rPr>
      </w:pPr>
      <w:r w:rsidRPr="002B2BF7">
        <w:rPr>
          <w:rFonts w:cstheme="minorHAnsi"/>
          <w:szCs w:val="22"/>
          <w:lang w:val="ru-RU"/>
        </w:rPr>
        <w:t>оказывать помощь в развитии потенциала для преодоления цифрового разрыва, а также различных открытых для всех, отвечающих своему назначению и устойчивых бизнес-моделей для разработки приложений электросвязи/ИКТ в интересах цифровой трансформации, в том числе прозрачным образом через проекты и программы ГЧП в развивающихся странах</w:t>
      </w:r>
      <w:r w:rsidRPr="002B2BF7">
        <w:rPr>
          <w:lang w:val="ru-RU"/>
        </w:rPr>
        <w:t>,</w:t>
      </w:r>
      <w:r w:rsidRPr="002B2BF7">
        <w:rPr>
          <w:lang w:val="ru-RU"/>
        </w:rPr>
        <w:br w:type="page"/>
      </w:r>
    </w:p>
    <w:p w14:paraId="4070BA7B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предлагает Государствам-Членам</w:t>
      </w:r>
    </w:p>
    <w:p w14:paraId="3FAEDCEC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разрабатывать и поощрять соответствующую политику для содействия государственным и частным инвестициям в развитие и создание появляющихся наземных, стратосферных и космических технологий, в своих странах и регионах, а также рассмотреть вопрос о включении использования таких систем в свои национальные и/или региональные планы в области широкополосной связи как дополнительного инструмента, который будет способствовать преодолению цифрового разрыва и удовлетворению потребностей в цифровой трансформации, в особенности в развивающихся странах;</w:t>
      </w:r>
    </w:p>
    <w:p w14:paraId="325E1437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при выполнении Резолюции 17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 xml:space="preserve">. Кигали, 2022 г.) настоящей Конференции об осуществлении на национальном, региональном, межрегиональном и глобальном уровнях одобренных региональных инициатив и сотрудничестве по ним, </w:t>
      </w:r>
      <w:r w:rsidRPr="002B2BF7">
        <w:rPr>
          <w:rFonts w:cstheme="minorHAnsi"/>
          <w:szCs w:val="22"/>
          <w:lang w:val="ru-RU"/>
        </w:rPr>
        <w:t>рассмотреть возможность реализации проектов в рамках региональных инициатив по тематике преодоления цифрового разрыва, в которых отражаются вопросы оптимальной интеграции электросвязи/ИКТ</w:t>
      </w:r>
      <w:r w:rsidRPr="002B2BF7">
        <w:rPr>
          <w:lang w:val="ru-RU"/>
        </w:rPr>
        <w:t>;</w:t>
      </w:r>
    </w:p>
    <w:p w14:paraId="5E3A4A96" w14:textId="77777777" w:rsidR="00791A97" w:rsidRPr="002B2BF7" w:rsidRDefault="00791A97" w:rsidP="00791A97">
      <w:pPr>
        <w:rPr>
          <w:lang w:val="ru-RU" w:eastAsia="zh-CN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  <w:t xml:space="preserve">рассмотреть возможность внедрения политики и механизмов обеспечения цифровой грамотности в качестве средства, помогающего преодолеть цифровой разрыв; а также </w:t>
      </w:r>
      <w:r w:rsidRPr="002B2BF7">
        <w:rPr>
          <w:color w:val="000000"/>
          <w:lang w:val="ru-RU"/>
        </w:rPr>
        <w:t>принимать активное участие в региональных и глобальных совместных форумах, посвященных обмену опытом и передовой практикой по осуществлению стратегий и программ электронного правительства</w:t>
      </w:r>
      <w:r w:rsidRPr="002B2BF7">
        <w:rPr>
          <w:lang w:val="ru-RU" w:eastAsia="zh-CN"/>
        </w:rPr>
        <w:t>;</w:t>
      </w:r>
    </w:p>
    <w:p w14:paraId="7D4C36B4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4</w:t>
      </w:r>
      <w:r w:rsidRPr="002B2BF7">
        <w:rPr>
          <w:lang w:val="ru-RU"/>
        </w:rPr>
        <w:tab/>
        <w:t>создать политические условия для эффективной конкуренции на внутреннем рынке услуг по предоставлению доступа к интернету как важного фактора снижения стоимости доступа к интернету для потребителей и поставщиков услуг;</w:t>
      </w:r>
    </w:p>
    <w:p w14:paraId="6FDB8BE7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5</w:t>
      </w:r>
      <w:r w:rsidRPr="002B2BF7">
        <w:rPr>
          <w:lang w:val="ru-RU"/>
        </w:rPr>
        <w:tab/>
        <w:t>рассмотреть возможность внедрения всеохватной и инновационной политики для преодоления цифрового разрыва, принимая во внимание инициативы на национальном уровне, дополнительные сети и варианты доступа к электросвязи/ИКТ,</w:t>
      </w:r>
    </w:p>
    <w:p w14:paraId="54930824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 и Членам Сектора</w:t>
      </w:r>
    </w:p>
    <w:p w14:paraId="27AC2439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включить в свои стратегии и программы в области электронного правительства меры по повышению темпов использования ИКТ для укрепления сотрудничества между государственными органами, меры по ускорению внедрения удобных для пользователя цифровых услуг, включая, возможно, интеграцию и персонализацию услуг для улучшения качества и опыта использования услуг электронного правительства, а также меры по повышению уровня информированности о таких услугах;</w:t>
      </w:r>
      <w:r w:rsidRPr="002B2BF7">
        <w:rPr>
          <w:lang w:val="ru-RU"/>
        </w:rPr>
        <w:br w:type="page"/>
      </w:r>
    </w:p>
    <w:p w14:paraId="11F65BB4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lastRenderedPageBreak/>
        <w:t>2</w:t>
      </w:r>
      <w:r w:rsidRPr="002B2BF7">
        <w:rPr>
          <w:lang w:val="ru-RU"/>
        </w:rPr>
        <w:tab/>
        <w:t xml:space="preserve">поддерживать сбор и анализ сведений и статистических данных о приложениях и услугах электросвязи/ИКТ, в том числе в сельском хозяйстве, образовании, здравоохранении, производстве и обработке, индустрии развлечений и СМИ, нефтегазовой промышленности, транспорте, туризме и "умных" устойчивых городах, что будет способствовать разработке и осуществлению государственной политики и, а также создаст возможности для проведения </w:t>
      </w:r>
      <w:proofErr w:type="spellStart"/>
      <w:r w:rsidRPr="002B2BF7">
        <w:rPr>
          <w:lang w:val="ru-RU"/>
        </w:rPr>
        <w:t>межстрановых</w:t>
      </w:r>
      <w:proofErr w:type="spellEnd"/>
      <w:r w:rsidRPr="002B2BF7">
        <w:rPr>
          <w:lang w:val="ru-RU"/>
        </w:rPr>
        <w:t xml:space="preserve"> сопоставлений;</w:t>
      </w:r>
    </w:p>
    <w:p w14:paraId="3328B653" w14:textId="77777777" w:rsidR="00791A97" w:rsidRPr="002B2BF7" w:rsidRDefault="00791A97" w:rsidP="00791A97">
      <w:pPr>
        <w:rPr>
          <w:lang w:val="ru-RU" w:eastAsia="zh-CN"/>
        </w:rPr>
      </w:pPr>
      <w:r w:rsidRPr="002B2BF7">
        <w:rPr>
          <w:lang w:val="ru-RU"/>
        </w:rPr>
        <w:t>3</w:t>
      </w:r>
      <w:r w:rsidRPr="002B2BF7">
        <w:rPr>
          <w:lang w:val="ru-RU"/>
        </w:rPr>
        <w:tab/>
      </w:r>
      <w:r w:rsidRPr="002B2BF7">
        <w:rPr>
          <w:color w:val="000000"/>
          <w:lang w:val="ru-RU"/>
        </w:rPr>
        <w:t>принимать активное участие в региональных и глобальных совместных форумах, посвященных обмену опытом и передовой практикой по осуществлению стратегий и программ электронного правительства</w:t>
      </w:r>
      <w:r w:rsidRPr="002B2BF7">
        <w:rPr>
          <w:lang w:val="ru-RU" w:eastAsia="zh-CN"/>
        </w:rPr>
        <w:t>;</w:t>
      </w:r>
    </w:p>
    <w:p w14:paraId="3BE74EE4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 w:eastAsia="zh-CN"/>
        </w:rPr>
        <w:t>4</w:t>
      </w:r>
      <w:r w:rsidRPr="002B2BF7">
        <w:rPr>
          <w:lang w:val="ru-RU" w:eastAsia="zh-CN"/>
        </w:rPr>
        <w:tab/>
      </w:r>
      <w:r w:rsidRPr="002B2BF7">
        <w:rPr>
          <w:rFonts w:cstheme="minorHAnsi"/>
          <w:color w:val="000000"/>
          <w:szCs w:val="22"/>
          <w:lang w:val="ru-RU"/>
        </w:rPr>
        <w:t xml:space="preserve">принимать участие в исследовании роли </w:t>
      </w:r>
      <w:r w:rsidRPr="002B2BF7">
        <w:rPr>
          <w:rFonts w:cstheme="minorHAnsi"/>
          <w:szCs w:val="22"/>
          <w:lang w:val="ru-RU"/>
        </w:rPr>
        <w:t>электросвязи/</w:t>
      </w:r>
      <w:r w:rsidRPr="002B2BF7">
        <w:rPr>
          <w:rFonts w:cstheme="minorHAnsi"/>
          <w:color w:val="000000"/>
          <w:szCs w:val="22"/>
          <w:lang w:val="ru-RU"/>
        </w:rPr>
        <w:t xml:space="preserve">ИКТ в системах образования и представлять собственный опыт внедрения </w:t>
      </w:r>
      <w:r w:rsidRPr="002B2BF7">
        <w:rPr>
          <w:rFonts w:cstheme="minorHAnsi"/>
          <w:szCs w:val="22"/>
          <w:lang w:val="ru-RU"/>
        </w:rPr>
        <w:t>электросвязи/</w:t>
      </w:r>
      <w:r w:rsidRPr="002B2BF7">
        <w:rPr>
          <w:rFonts w:cstheme="minorHAnsi"/>
          <w:color w:val="000000"/>
          <w:szCs w:val="22"/>
          <w:lang w:val="ru-RU"/>
        </w:rPr>
        <w:t>ИКТ для обеспечения всеобщего образования во всем мире;</w:t>
      </w:r>
    </w:p>
    <w:p w14:paraId="33CA5845" w14:textId="77777777" w:rsidR="00791A97" w:rsidRPr="002B2BF7" w:rsidRDefault="00791A97" w:rsidP="00791A97">
      <w:pPr>
        <w:rPr>
          <w:color w:val="000000"/>
          <w:lang w:val="ru-RU"/>
        </w:rPr>
      </w:pPr>
      <w:r w:rsidRPr="002B2BF7">
        <w:rPr>
          <w:color w:val="000000"/>
          <w:lang w:val="ru-RU"/>
        </w:rPr>
        <w:t>5</w:t>
      </w:r>
      <w:r w:rsidRPr="002B2BF7">
        <w:rPr>
          <w:color w:val="000000"/>
          <w:lang w:val="ru-RU"/>
        </w:rPr>
        <w:tab/>
        <w:t>рассмотреть возможность расширения реализации проектов и программ содействия развитию сектора электросвязи/ИКТ, в том числе с участием МСЭ, в целях преодоления цифрового разрыва и предоставлять БРЭ информацию о таких проектах и программах;</w:t>
      </w:r>
    </w:p>
    <w:p w14:paraId="74A927EE" w14:textId="77777777" w:rsidR="00791A97" w:rsidRPr="002B2BF7" w:rsidRDefault="00791A97" w:rsidP="00791A97">
      <w:pPr>
        <w:rPr>
          <w:color w:val="000000"/>
          <w:lang w:val="ru-RU"/>
        </w:rPr>
      </w:pPr>
      <w:r w:rsidRPr="002B2BF7">
        <w:rPr>
          <w:color w:val="000000"/>
          <w:lang w:val="ru-RU"/>
        </w:rPr>
        <w:t>6</w:t>
      </w:r>
      <w:r w:rsidRPr="002B2BF7">
        <w:rPr>
          <w:color w:val="000000"/>
          <w:lang w:val="ru-RU"/>
        </w:rPr>
        <w:tab/>
        <w:t>предоставлять МСЭ материалы по опыту установления соединений на базе ИКТ и примеры из сельских районов, которые можно будет затем разместить на веб-сайте МСЭ</w:t>
      </w:r>
      <w:r w:rsidRPr="002B2BF7">
        <w:rPr>
          <w:color w:val="000000"/>
          <w:lang w:val="ru-RU"/>
        </w:rPr>
        <w:noBreakHyphen/>
        <w:t>D,</w:t>
      </w:r>
    </w:p>
    <w:p w14:paraId="186DBFA3" w14:textId="77777777" w:rsidR="00791A97" w:rsidRPr="002B2BF7" w:rsidRDefault="00791A97" w:rsidP="00791A97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Государствам-Членам, Членам Сектора и другим заинтересованным сторонам</w:t>
      </w:r>
    </w:p>
    <w:p w14:paraId="455D9287" w14:textId="77777777" w:rsidR="00791A97" w:rsidRPr="002B2BF7" w:rsidRDefault="00791A97" w:rsidP="00791A97">
      <w:pPr>
        <w:rPr>
          <w:lang w:val="ru-RU"/>
        </w:rPr>
      </w:pPr>
      <w:r w:rsidRPr="002B2BF7">
        <w:rPr>
          <w:lang w:val="ru-RU"/>
        </w:rPr>
        <w:t xml:space="preserve">участвовать в деятельности, указанной в </w:t>
      </w:r>
      <w:proofErr w:type="spellStart"/>
      <w:r w:rsidRPr="002B2BF7">
        <w:rPr>
          <w:lang w:val="ru-RU"/>
        </w:rPr>
        <w:t>пп</w:t>
      </w:r>
      <w:proofErr w:type="spellEnd"/>
      <w:r w:rsidRPr="002B2BF7">
        <w:rPr>
          <w:lang w:val="ru-RU"/>
        </w:rPr>
        <w:t xml:space="preserve">. 1 и 2 раздела </w:t>
      </w:r>
      <w:r w:rsidRPr="002B2BF7">
        <w:rPr>
          <w:i/>
          <w:iCs/>
          <w:lang w:val="ru-RU"/>
        </w:rPr>
        <w:t>решает поручить Директору Бюро развития электросвязи в сотрудничестве с Директором Бюро радиосвязи и Директором Бюро стандартизации электросвязи</w:t>
      </w:r>
      <w:r w:rsidRPr="002B2BF7">
        <w:rPr>
          <w:lang w:val="ru-RU"/>
        </w:rPr>
        <w:t>, выше, вносить в нее свой вклад и принять все меры к обеспечению благоприятной среды для более активного роста и развития технологически нейтральных широкополосных соединений, особенно в развивающихся странах</w:t>
      </w:r>
      <w:r w:rsidRPr="002B2BF7">
        <w:rPr>
          <w:rFonts w:eastAsia="Calibri"/>
          <w:lang w:val="ru-RU"/>
        </w:rPr>
        <w:t>.</w:t>
      </w:r>
    </w:p>
    <w:p w14:paraId="3FBB6BCD" w14:textId="77777777" w:rsidR="00E45F09" w:rsidRPr="00791A97" w:rsidRDefault="00E45F09" w:rsidP="00791A97">
      <w:pPr>
        <w:rPr>
          <w:lang w:val="ru-RU"/>
        </w:rPr>
      </w:pPr>
    </w:p>
    <w:sectPr w:rsidR="00E45F09" w:rsidRPr="00791A97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  <w:footnote w:id="1">
    <w:p w14:paraId="31CB155E" w14:textId="77777777" w:rsidR="00791A97" w:rsidRPr="001355DC" w:rsidRDefault="00791A97" w:rsidP="00791A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54520C">
        <w:rPr>
          <w:lang w:val="ru-RU"/>
        </w:rPr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  <w:footnote w:id="2">
    <w:p w14:paraId="56FF8632" w14:textId="77777777" w:rsidR="00791A97" w:rsidRPr="00053FE2" w:rsidRDefault="00791A97" w:rsidP="00791A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053FE2">
        <w:rPr>
          <w:lang w:val="ru-RU"/>
        </w:rPr>
        <w:t>Дезагрегирован</w:t>
      </w:r>
      <w:r>
        <w:rPr>
          <w:lang w:val="ru-RU"/>
        </w:rPr>
        <w:t>ие</w:t>
      </w:r>
      <w:r w:rsidRPr="00053FE2">
        <w:rPr>
          <w:lang w:val="ru-RU"/>
        </w:rPr>
        <w:t xml:space="preserve"> означает разделение аппаратного и программного обеспечения.</w:t>
      </w:r>
    </w:p>
  </w:footnote>
  <w:footnote w:id="3">
    <w:p w14:paraId="23CC1E35" w14:textId="77777777" w:rsidR="00791A97" w:rsidRPr="00053FE2" w:rsidRDefault="00791A97" w:rsidP="00791A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053FE2">
        <w:rPr>
          <w:lang w:val="ru-RU"/>
        </w:rPr>
        <w:t xml:space="preserve">Открытость может </w:t>
      </w:r>
      <w:r>
        <w:rPr>
          <w:lang w:val="ru-RU"/>
        </w:rPr>
        <w:t>означать</w:t>
      </w:r>
      <w:r w:rsidRPr="00053FE2">
        <w:rPr>
          <w:lang w:val="ru-RU"/>
        </w:rPr>
        <w:t>, в частности, открыты</w:t>
      </w:r>
      <w:r>
        <w:rPr>
          <w:lang w:val="ru-RU"/>
        </w:rPr>
        <w:t>е</w:t>
      </w:r>
      <w:r w:rsidRPr="00053FE2">
        <w:rPr>
          <w:lang w:val="ru-RU"/>
        </w:rPr>
        <w:t xml:space="preserve"> стандарт</w:t>
      </w:r>
      <w:r>
        <w:rPr>
          <w:lang w:val="ru-RU"/>
        </w:rPr>
        <w:t>ы</w:t>
      </w:r>
      <w:r w:rsidRPr="00053FE2">
        <w:rPr>
          <w:lang w:val="ru-RU"/>
        </w:rPr>
        <w:t xml:space="preserve"> и открыты</w:t>
      </w:r>
      <w:r>
        <w:rPr>
          <w:lang w:val="ru-RU"/>
        </w:rPr>
        <w:t>е</w:t>
      </w:r>
      <w:r w:rsidRPr="00053FE2">
        <w:rPr>
          <w:lang w:val="ru-RU"/>
        </w:rPr>
        <w:t xml:space="preserve"> интерфейс</w:t>
      </w:r>
      <w:r>
        <w:rPr>
          <w:lang w:val="ru-RU"/>
        </w:rPr>
        <w:t>ы</w:t>
      </w:r>
      <w:r w:rsidRPr="00053FE2">
        <w:rPr>
          <w:lang w:val="ru-RU"/>
        </w:rPr>
        <w:t xml:space="preserve"> для поддержки </w:t>
      </w:r>
      <w:r>
        <w:rPr>
          <w:lang w:val="ru-RU"/>
        </w:rPr>
        <w:t>функционально совместимых</w:t>
      </w:r>
      <w:r w:rsidRPr="00053FE2">
        <w:rPr>
          <w:lang w:val="ru-RU"/>
        </w:rPr>
        <w:t xml:space="preserve"> сетевых технологий.</w:t>
      </w:r>
    </w:p>
  </w:footnote>
  <w:footnote w:id="4">
    <w:p w14:paraId="68AF9C43" w14:textId="77777777" w:rsidR="00791A97" w:rsidRPr="00053FE2" w:rsidRDefault="00791A97" w:rsidP="00791A9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Такой</w:t>
      </w:r>
      <w:r w:rsidRPr="00F92C9C">
        <w:rPr>
          <w:lang w:val="ru-RU"/>
        </w:rPr>
        <w:t xml:space="preserve"> </w:t>
      </w:r>
      <w:r>
        <w:rPr>
          <w:lang w:val="ru-RU"/>
        </w:rPr>
        <w:t>перечень ведет</w:t>
      </w:r>
      <w:r w:rsidRPr="00F92C9C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F92C9C">
        <w:rPr>
          <w:lang w:val="ru-RU"/>
        </w:rPr>
        <w:t xml:space="preserve"> </w:t>
      </w:r>
      <w:r>
        <w:rPr>
          <w:lang w:val="ru-RU"/>
        </w:rPr>
        <w:t>секретарь</w:t>
      </w:r>
      <w:r w:rsidRPr="00F92C9C">
        <w:rPr>
          <w:lang w:val="ru-RU"/>
        </w:rPr>
        <w:t xml:space="preserve"> </w:t>
      </w:r>
      <w:r>
        <w:rPr>
          <w:lang w:val="ru-RU"/>
        </w:rPr>
        <w:t>МСЭ</w:t>
      </w:r>
      <w:r w:rsidRPr="00F92C9C">
        <w:rPr>
          <w:lang w:val="ru-RU"/>
        </w:rPr>
        <w:t xml:space="preserve"> </w:t>
      </w:r>
      <w:r>
        <w:rPr>
          <w:lang w:val="ru-RU"/>
        </w:rPr>
        <w:t>в</w:t>
      </w:r>
      <w:r w:rsidRPr="00F92C9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92C9C">
        <w:rPr>
          <w:lang w:val="ru-RU"/>
        </w:rPr>
        <w:t xml:space="preserve"> </w:t>
      </w:r>
      <w:r>
        <w:rPr>
          <w:lang w:val="ru-RU"/>
        </w:rPr>
        <w:t>с</w:t>
      </w:r>
      <w:r w:rsidRPr="00F92C9C">
        <w:rPr>
          <w:lang w:val="ru-RU"/>
        </w:rPr>
        <w:t xml:space="preserve"> </w:t>
      </w:r>
      <w:r>
        <w:rPr>
          <w:lang w:val="ru-RU"/>
        </w:rPr>
        <w:t>Резолюцией </w:t>
      </w:r>
      <w:r w:rsidRPr="00053FE2">
        <w:rPr>
          <w:lang w:val="ru-RU"/>
        </w:rPr>
        <w:t xml:space="preserve">191 </w:t>
      </w:r>
      <w:r>
        <w:rPr>
          <w:lang w:val="ru-RU"/>
        </w:rPr>
        <w:t>(Пересм. Дубай, 2018 г.) Полномочной конференции МСЭ</w:t>
      </w:r>
      <w:r w:rsidRPr="00F92C9C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4D70A367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791A97">
          <w:rPr>
            <w:noProof/>
            <w:szCs w:val="22"/>
          </w:rPr>
          <w:t>37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387906FB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791A97">
      <w:rPr>
        <w:noProof/>
        <w:szCs w:val="22"/>
      </w:rPr>
      <w:t>37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3E584B"/>
    <w:rsid w:val="00791A97"/>
    <w:rsid w:val="00DD3985"/>
    <w:rsid w:val="00E45F0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styleId="FootnoteReference">
    <w:name w:val="footnote reference"/>
    <w:basedOn w:val="DefaultParagraphFont"/>
    <w:rsid w:val="00791A97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91A97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791A97"/>
    <w:rPr>
      <w:rFonts w:ascii="Calibri" w:eastAsia="Times New Roman" w:hAnsi="Calibri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4839</Words>
  <Characters>27588</Characters>
  <Application>Microsoft Office Word</Application>
  <DocSecurity>0</DocSecurity>
  <Lines>229</Lines>
  <Paragraphs>64</Paragraphs>
  <ScaleCrop>false</ScaleCrop>
  <Company/>
  <LinksUpToDate>false</LinksUpToDate>
  <CharactersWithSpaces>32363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3</cp:revision>
  <dcterms:created xsi:type="dcterms:W3CDTF">2023-10-16T12:49:00Z</dcterms:created>
  <dcterms:modified xsi:type="dcterms:W3CDTF">2023-10-16T13:02:00Z</dcterms:modified>
</cp:coreProperties>
</file>