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853D5" w14:textId="77777777" w:rsidR="000941F7" w:rsidRPr="00E17456" w:rsidRDefault="000941F7" w:rsidP="000941F7">
      <w:pPr>
        <w:pStyle w:val="ResNo"/>
        <w:rPr>
          <w:lang w:val="es-ES_tradnl"/>
        </w:rPr>
      </w:pPr>
      <w:bookmarkStart w:id="0" w:name="_Toc116916995"/>
      <w:bookmarkStart w:id="1" w:name="_Toc116918564"/>
      <w:bookmarkStart w:id="2" w:name="_Toc116919055"/>
      <w:bookmarkStart w:id="3" w:name="_Toc116919542"/>
      <w:r w:rsidRPr="00E17456">
        <w:rPr>
          <w:lang w:val="es-ES_tradnl"/>
        </w:rPr>
        <w:t xml:space="preserve">RESOLUCIÓN </w:t>
      </w:r>
      <w:r w:rsidRPr="00E17456">
        <w:rPr>
          <w:rStyle w:val="href"/>
          <w:lang w:val="es-ES_tradnl"/>
        </w:rPr>
        <w:t>36</w:t>
      </w:r>
      <w:r w:rsidRPr="00E17456">
        <w:rPr>
          <w:lang w:val="es-ES_tradnl"/>
        </w:rPr>
        <w:t xml:space="preserve"> (Rev. Kigali, 2022)</w:t>
      </w:r>
      <w:bookmarkEnd w:id="0"/>
      <w:bookmarkEnd w:id="1"/>
      <w:bookmarkEnd w:id="2"/>
      <w:bookmarkEnd w:id="3"/>
    </w:p>
    <w:p w14:paraId="71D4FFFF" w14:textId="77777777" w:rsidR="000941F7" w:rsidRPr="00E17456" w:rsidRDefault="000941F7" w:rsidP="000941F7">
      <w:pPr>
        <w:pStyle w:val="Restitle"/>
        <w:rPr>
          <w:lang w:val="es-ES_tradnl"/>
        </w:rPr>
      </w:pPr>
      <w:bookmarkStart w:id="4" w:name="_Toc116916996"/>
      <w:bookmarkStart w:id="5" w:name="_Toc116918565"/>
      <w:bookmarkStart w:id="6" w:name="_Toc116919056"/>
      <w:bookmarkStart w:id="7" w:name="_Toc116919543"/>
      <w:r w:rsidRPr="00E17456">
        <w:rPr>
          <w:lang w:val="es-ES_tradnl"/>
        </w:rPr>
        <w:t>Apoyo a la Unión Africana de Telecomunicaciones</w:t>
      </w:r>
      <w:bookmarkEnd w:id="4"/>
      <w:bookmarkEnd w:id="5"/>
      <w:bookmarkEnd w:id="6"/>
      <w:bookmarkEnd w:id="7"/>
    </w:p>
    <w:p w14:paraId="136DCFE0" w14:textId="77777777" w:rsidR="000941F7" w:rsidRPr="00E17456" w:rsidRDefault="000941F7" w:rsidP="000941F7">
      <w:pPr>
        <w:pStyle w:val="Normalaftertitle"/>
        <w:rPr>
          <w:lang w:val="es-ES"/>
        </w:rPr>
      </w:pPr>
      <w:r w:rsidRPr="00E17456">
        <w:rPr>
          <w:lang w:val="es-ES"/>
        </w:rPr>
        <w:t>La Conferencia Mundial de Desarrollo de las Telecomunicaciones (Kigali, 2022),</w:t>
      </w:r>
    </w:p>
    <w:p w14:paraId="76CC9020" w14:textId="77777777" w:rsidR="000941F7" w:rsidRPr="00E17456" w:rsidRDefault="000941F7" w:rsidP="000941F7">
      <w:pPr>
        <w:pStyle w:val="Call"/>
        <w:rPr>
          <w:lang w:val="es-ES"/>
        </w:rPr>
      </w:pPr>
      <w:r w:rsidRPr="00E17456">
        <w:rPr>
          <w:lang w:val="es-ES"/>
        </w:rPr>
        <w:t>recordando</w:t>
      </w:r>
    </w:p>
    <w:p w14:paraId="20C20DF8" w14:textId="77777777" w:rsidR="000941F7" w:rsidRPr="00E17456" w:rsidRDefault="000941F7" w:rsidP="000941F7">
      <w:pPr>
        <w:rPr>
          <w:lang w:val="es-ES"/>
        </w:rPr>
      </w:pPr>
      <w:r w:rsidRPr="00E17456">
        <w:rPr>
          <w:i/>
          <w:lang w:val="es-ES"/>
        </w:rPr>
        <w:t>a)</w:t>
      </w:r>
      <w:r w:rsidRPr="00E17456">
        <w:rPr>
          <w:lang w:val="es-ES"/>
        </w:rPr>
        <w:tab/>
        <w:t>la Resolución 70/1, Transformar nuestro mundo: la Agenda 2030 para el Desarrollo Sostenible, de la Asamblea General de las Naciones Unidas (AGNU);</w:t>
      </w:r>
    </w:p>
    <w:p w14:paraId="4F9E9DC3" w14:textId="77777777" w:rsidR="000941F7" w:rsidRPr="00E17456" w:rsidRDefault="000941F7" w:rsidP="000941F7">
      <w:pPr>
        <w:rPr>
          <w:lang w:val="es-ES"/>
        </w:rPr>
      </w:pPr>
      <w:r w:rsidRPr="00E17456">
        <w:rPr>
          <w:i/>
          <w:lang w:val="es-ES"/>
        </w:rPr>
        <w:t>b)</w:t>
      </w:r>
      <w:r w:rsidRPr="00E17456">
        <w:rPr>
          <w:lang w:val="es-ES"/>
        </w:rPr>
        <w:tab/>
        <w:t>la Resolución 73/291, Documento final de Buenos Aires de la segunda Conferencia de Alto Nivel de las Naciones Unidas sobre la Cooperación Sur-Sur, de la AGNU;</w:t>
      </w:r>
    </w:p>
    <w:p w14:paraId="1317244C" w14:textId="77777777" w:rsidR="000941F7" w:rsidRPr="00E17456" w:rsidRDefault="000941F7" w:rsidP="000941F7">
      <w:pPr>
        <w:rPr>
          <w:lang w:val="es-ES"/>
        </w:rPr>
      </w:pPr>
      <w:r w:rsidRPr="00E17456">
        <w:rPr>
          <w:i/>
          <w:lang w:val="es-ES"/>
        </w:rPr>
        <w:t>c)</w:t>
      </w:r>
      <w:r w:rsidRPr="00E17456">
        <w:rPr>
          <w:lang w:val="es-ES"/>
        </w:rPr>
        <w:tab/>
        <w:t>la Resolución 25 (Rev. Dubái, 2018), Fortalecimiento de la presencia regional, de la Conferencia de Plenipotenciarios;</w:t>
      </w:r>
    </w:p>
    <w:p w14:paraId="79D84502" w14:textId="77777777" w:rsidR="000941F7" w:rsidRPr="00E17456" w:rsidRDefault="000941F7" w:rsidP="000941F7">
      <w:pPr>
        <w:rPr>
          <w:lang w:val="es-ES"/>
        </w:rPr>
      </w:pPr>
      <w:r w:rsidRPr="00E17456">
        <w:rPr>
          <w:i/>
          <w:lang w:val="es-ES"/>
        </w:rPr>
        <w:t>d)</w:t>
      </w:r>
      <w:r w:rsidRPr="00E17456">
        <w:rPr>
          <w:lang w:val="es-ES"/>
        </w:rPr>
        <w:tab/>
        <w:t xml:space="preserve">la Resolución 58 (Rev. Busán, 2014) de la Conferencia de Plenipotenciarios, en particular su </w:t>
      </w:r>
      <w:r w:rsidRPr="00E17456">
        <w:rPr>
          <w:i/>
          <w:iCs/>
          <w:lang w:val="es-ES"/>
        </w:rPr>
        <w:t>resuelve</w:t>
      </w:r>
      <w:r w:rsidRPr="00E17456">
        <w:rPr>
          <w:iCs/>
          <w:lang w:val="es-ES"/>
        </w:rPr>
        <w:t>;</w:t>
      </w:r>
    </w:p>
    <w:p w14:paraId="78DC4FEA" w14:textId="77777777" w:rsidR="000941F7" w:rsidRPr="00E17456" w:rsidRDefault="000941F7" w:rsidP="000941F7">
      <w:pPr>
        <w:rPr>
          <w:lang w:val="es-ES"/>
        </w:rPr>
      </w:pPr>
      <w:r w:rsidRPr="00E17456">
        <w:rPr>
          <w:i/>
          <w:lang w:val="es-ES"/>
        </w:rPr>
        <w:t>e)</w:t>
      </w:r>
      <w:r w:rsidRPr="00E17456">
        <w:rPr>
          <w:lang w:val="es-ES"/>
        </w:rPr>
        <w:tab/>
        <w:t>la Resolución 21 (Rev. Kigali, 2022), Coordinación y colaboración con organizaciones regionales y subregionales, de la presente Conferencia,</w:t>
      </w:r>
    </w:p>
    <w:p w14:paraId="36F2BD51" w14:textId="77777777" w:rsidR="000941F7" w:rsidRPr="00E17456" w:rsidRDefault="000941F7" w:rsidP="000941F7">
      <w:pPr>
        <w:pStyle w:val="Call"/>
        <w:rPr>
          <w:lang w:val="es-ES"/>
        </w:rPr>
      </w:pPr>
      <w:proofErr w:type="gramStart"/>
      <w:r w:rsidRPr="00E17456">
        <w:rPr>
          <w:lang w:val="es-ES"/>
        </w:rPr>
        <w:t>recordando</w:t>
      </w:r>
      <w:proofErr w:type="gramEnd"/>
      <w:r w:rsidRPr="00E17456">
        <w:rPr>
          <w:lang w:val="es-ES"/>
        </w:rPr>
        <w:t xml:space="preserve"> además</w:t>
      </w:r>
    </w:p>
    <w:p w14:paraId="1955A944" w14:textId="77777777" w:rsidR="000941F7" w:rsidRPr="00E17456" w:rsidRDefault="000941F7" w:rsidP="000941F7">
      <w:pPr>
        <w:rPr>
          <w:lang w:val="es-ES"/>
        </w:rPr>
      </w:pPr>
      <w:r w:rsidRPr="00E17456">
        <w:rPr>
          <w:i/>
          <w:lang w:val="es-ES"/>
        </w:rPr>
        <w:t>a)</w:t>
      </w:r>
      <w:r w:rsidRPr="00E17456">
        <w:rPr>
          <w:lang w:val="es-ES"/>
        </w:rPr>
        <w:tab/>
        <w:t>la Resolución 68/198, Las tecnologías de la información y las comunicaciones para el desarrollo, de la AGNU;</w:t>
      </w:r>
    </w:p>
    <w:p w14:paraId="064B4B35" w14:textId="77777777" w:rsidR="000941F7" w:rsidRPr="00E17456" w:rsidRDefault="000941F7" w:rsidP="000941F7">
      <w:pPr>
        <w:rPr>
          <w:lang w:val="es-ES"/>
        </w:rPr>
      </w:pPr>
      <w:r w:rsidRPr="00E17456">
        <w:rPr>
          <w:i/>
          <w:lang w:val="es-ES"/>
        </w:rPr>
        <w:t>b)</w:t>
      </w:r>
      <w:r w:rsidRPr="00E17456">
        <w:rPr>
          <w:lang w:val="es-ES"/>
        </w:rPr>
        <w:tab/>
        <w:t>la Resolución 135 (Rev. Dubái 2018), Función de la UIT en el desarrollo duradero y sostenible de las telecomunicaciones/tecnologías de la información y la comunicación, en la prestación de asistencia y asesoramiento técnicos a los países en desarrollo y en la realización de proyectos nacionales, regionales e interregionales pertinentes, de la Conferencia de Plenipotenciarios;</w:t>
      </w:r>
    </w:p>
    <w:p w14:paraId="1190D7E5" w14:textId="77777777" w:rsidR="000941F7" w:rsidRPr="00E17456" w:rsidRDefault="000941F7" w:rsidP="000941F7">
      <w:pPr>
        <w:rPr>
          <w:lang w:val="es-ES"/>
        </w:rPr>
      </w:pPr>
      <w:r w:rsidRPr="00E17456">
        <w:rPr>
          <w:i/>
          <w:lang w:val="es-ES"/>
        </w:rPr>
        <w:t>c)</w:t>
      </w:r>
      <w:r w:rsidRPr="00E17456">
        <w:rPr>
          <w:lang w:val="es-ES"/>
        </w:rPr>
        <w:tab/>
        <w:t>la primera estrategia para todo el sistema de las Naciones Unidas sobre la cooperación Sur-Sur y triangular para el desarrollo sostenible, que muestra el camino hacia una utilización aún más extensiva de este valioso vehículo,</w:t>
      </w:r>
    </w:p>
    <w:p w14:paraId="7CB72309" w14:textId="77777777" w:rsidR="000941F7" w:rsidRPr="00E17456" w:rsidRDefault="000941F7" w:rsidP="000941F7">
      <w:pPr>
        <w:rPr>
          <w:lang w:val="es-ES"/>
        </w:rPr>
      </w:pPr>
      <w:r w:rsidRPr="00E17456">
        <w:rPr>
          <w:lang w:val="es-ES"/>
        </w:rPr>
        <w:br w:type="page"/>
      </w:r>
    </w:p>
    <w:p w14:paraId="18C80EFA" w14:textId="77777777" w:rsidR="000941F7" w:rsidRPr="00E17456" w:rsidRDefault="000941F7" w:rsidP="000941F7">
      <w:pPr>
        <w:pStyle w:val="Call"/>
        <w:rPr>
          <w:lang w:val="es-ES"/>
        </w:rPr>
      </w:pPr>
      <w:r w:rsidRPr="00E17456">
        <w:rPr>
          <w:lang w:val="es-ES"/>
        </w:rPr>
        <w:lastRenderedPageBreak/>
        <w:t>considerando</w:t>
      </w:r>
    </w:p>
    <w:p w14:paraId="4DF3464A" w14:textId="77777777" w:rsidR="000941F7" w:rsidRPr="00E17456" w:rsidRDefault="000941F7" w:rsidP="000941F7">
      <w:pPr>
        <w:rPr>
          <w:lang w:val="es-ES"/>
        </w:rPr>
      </w:pPr>
      <w:r w:rsidRPr="00E17456">
        <w:rPr>
          <w:i/>
          <w:lang w:val="es-ES"/>
        </w:rPr>
        <w:t>a)</w:t>
      </w:r>
      <w:r w:rsidRPr="00E17456">
        <w:rPr>
          <w:lang w:val="es-ES"/>
        </w:rPr>
        <w:tab/>
        <w:t>el papel fundamental de la Unión Africana de Telecomunicaciones (UAT) en la coordinación continental y como motor de la aplicación de los resultados de las conferencias y asambleas de la UIT;</w:t>
      </w:r>
    </w:p>
    <w:p w14:paraId="08DC6AF0" w14:textId="77777777" w:rsidR="000941F7" w:rsidRPr="00E17456" w:rsidRDefault="000941F7" w:rsidP="000941F7">
      <w:pPr>
        <w:rPr>
          <w:lang w:val="es-ES"/>
        </w:rPr>
      </w:pPr>
      <w:r w:rsidRPr="00E17456">
        <w:rPr>
          <w:i/>
          <w:lang w:val="es-ES"/>
        </w:rPr>
        <w:t>b)</w:t>
      </w:r>
      <w:r w:rsidRPr="00E17456">
        <w:rPr>
          <w:lang w:val="es-ES"/>
        </w:rPr>
        <w:tab/>
        <w:t>la necesidad continua y urgente de prestar asistencia, apoyo y cooperación a la UAT;</w:t>
      </w:r>
    </w:p>
    <w:p w14:paraId="0AFF3BCD" w14:textId="77777777" w:rsidR="000941F7" w:rsidRPr="00E17456" w:rsidRDefault="000941F7" w:rsidP="000941F7">
      <w:pPr>
        <w:rPr>
          <w:lang w:val="es-ES"/>
        </w:rPr>
      </w:pPr>
      <w:r w:rsidRPr="00E17456">
        <w:rPr>
          <w:i/>
          <w:lang w:val="es-ES"/>
        </w:rPr>
        <w:t>c)</w:t>
      </w:r>
      <w:r w:rsidRPr="00E17456">
        <w:rPr>
          <w:lang w:val="es-ES"/>
        </w:rPr>
        <w:tab/>
        <w:t>la rápida evolución del entorno de telecomunicaciones/TIC, que requiere que la UAT se adapte a esos cambios para servir a sus miembros teniendo en cuenta sus recursos humanos y financieros actuales;</w:t>
      </w:r>
    </w:p>
    <w:p w14:paraId="7CA5ED4D" w14:textId="77777777" w:rsidR="000941F7" w:rsidRPr="00E17456" w:rsidRDefault="000941F7" w:rsidP="000941F7">
      <w:pPr>
        <w:rPr>
          <w:lang w:val="es-ES"/>
        </w:rPr>
      </w:pPr>
      <w:r w:rsidRPr="00E17456">
        <w:rPr>
          <w:i/>
          <w:lang w:val="es-ES"/>
        </w:rPr>
        <w:t>d)</w:t>
      </w:r>
      <w:r w:rsidRPr="00E17456">
        <w:rPr>
          <w:lang w:val="es-ES"/>
        </w:rPr>
        <w:tab/>
        <w:t>que, en el ámbito de la transformación digital, las telecomunicaciones/TIC se han convertido en uno de los principales catalizadores del crecimiento económico de los países en desarrollo</w:t>
      </w:r>
      <w:r>
        <w:rPr>
          <w:rStyle w:val="FootnoteReference"/>
          <w:lang w:val="es-ES"/>
        </w:rPr>
        <w:footnoteReference w:customMarkFollows="1" w:id="1"/>
        <w:t>1</w:t>
      </w:r>
      <w:r w:rsidRPr="00E17456">
        <w:rPr>
          <w:lang w:val="es-ES"/>
        </w:rPr>
        <w:t>;</w:t>
      </w:r>
    </w:p>
    <w:p w14:paraId="048DAE45" w14:textId="77777777" w:rsidR="000941F7" w:rsidRPr="00E17456" w:rsidRDefault="000941F7" w:rsidP="000941F7">
      <w:pPr>
        <w:rPr>
          <w:lang w:val="es-ES"/>
        </w:rPr>
      </w:pPr>
      <w:r w:rsidRPr="00E17456">
        <w:rPr>
          <w:i/>
          <w:lang w:val="es-ES"/>
        </w:rPr>
        <w:t>e)</w:t>
      </w:r>
      <w:r w:rsidRPr="00E17456">
        <w:rPr>
          <w:lang w:val="es-ES"/>
        </w:rPr>
        <w:tab/>
        <w:t>la necesidad de disponer de una plataforma africana que permita coordinar, uniformizar y aunar los esfuerzos por acelerar el desarrollo de las telecomunicaciones/TIC en los planos regional, interregional y mundial, con miras a alcanzar los objetivos y las metas adoptados en el Plan Estratégico de la UIT, la Agenda 2030 para el Desarrollo Sostenible, y la Agenda 2063 de la Unión Africana;</w:t>
      </w:r>
    </w:p>
    <w:p w14:paraId="4A6333F4" w14:textId="77777777" w:rsidR="000941F7" w:rsidRPr="00E17456" w:rsidRDefault="000941F7" w:rsidP="000941F7">
      <w:pPr>
        <w:rPr>
          <w:lang w:val="es-ES"/>
        </w:rPr>
      </w:pPr>
      <w:r w:rsidRPr="00E17456">
        <w:rPr>
          <w:i/>
          <w:lang w:val="es-ES"/>
        </w:rPr>
        <w:t>f)</w:t>
      </w:r>
      <w:r w:rsidRPr="00E17456">
        <w:rPr>
          <w:lang w:val="es-ES"/>
        </w:rPr>
        <w:tab/>
        <w:t>que el Sector de Desarrollo de las Telecomunicaciones de la UIT debe proporcionar apoyo suficiente a las organizaciones de telecomunicaciones regionales y subregionales a fin de facilitar su participación activa en las diferentes etapas de la gestión de proyectos definidas por la UIT, así como en la creación de alianzas y la movilización de recursos, para contribuir a la ejecución de las Iniciativas Regionales,</w:t>
      </w:r>
    </w:p>
    <w:p w14:paraId="5ACCFBE5" w14:textId="77777777" w:rsidR="000941F7" w:rsidRPr="00E17456" w:rsidRDefault="000941F7" w:rsidP="000941F7">
      <w:pPr>
        <w:pStyle w:val="Call"/>
        <w:rPr>
          <w:lang w:val="es-ES"/>
        </w:rPr>
      </w:pPr>
      <w:r w:rsidRPr="00E17456">
        <w:rPr>
          <w:lang w:val="es-ES"/>
        </w:rPr>
        <w:t>reconociendo</w:t>
      </w:r>
    </w:p>
    <w:p w14:paraId="04E85B62" w14:textId="77777777" w:rsidR="000941F7" w:rsidRPr="00E17456" w:rsidRDefault="000941F7" w:rsidP="000941F7">
      <w:pPr>
        <w:rPr>
          <w:lang w:val="es-ES"/>
        </w:rPr>
      </w:pPr>
      <w:r w:rsidRPr="00E17456">
        <w:rPr>
          <w:i/>
          <w:lang w:val="es-ES"/>
        </w:rPr>
        <w:t>a)</w:t>
      </w:r>
      <w:r w:rsidRPr="00E17456">
        <w:rPr>
          <w:lang w:val="es-ES"/>
        </w:rPr>
        <w:tab/>
        <w:t>que las organizaciones regionales conocen más a fondo los problemas y desafíos reales que afrontan los Estados Miembros de la región y pueden idear métodos más eficaces y efectivos para superar esas dificultades;</w:t>
      </w:r>
    </w:p>
    <w:p w14:paraId="61067440" w14:textId="77777777" w:rsidR="000941F7" w:rsidRPr="00E17456" w:rsidRDefault="000941F7" w:rsidP="000941F7">
      <w:pPr>
        <w:rPr>
          <w:lang w:val="es-ES" w:eastAsia="es-ES"/>
        </w:rPr>
      </w:pPr>
      <w:r w:rsidRPr="00E17456">
        <w:rPr>
          <w:i/>
          <w:iCs/>
          <w:lang w:val="es-ES"/>
        </w:rPr>
        <w:t>b)</w:t>
      </w:r>
      <w:r w:rsidRPr="00E17456">
        <w:rPr>
          <w:lang w:val="es-ES"/>
        </w:rPr>
        <w:tab/>
      </w:r>
      <w:r w:rsidRPr="00E17456">
        <w:rPr>
          <w:lang w:val="es-ES" w:eastAsia="es-ES"/>
        </w:rPr>
        <w:t>que la UIT y las organizaciones regionales comparten la creencia de que una cooperación estrecha puede promover las telecomunicaciones/TIC regionales, a fin de prestar apoyo a los Estados Miembros de la región;</w:t>
      </w:r>
    </w:p>
    <w:p w14:paraId="4FA69730" w14:textId="77777777" w:rsidR="000941F7" w:rsidRPr="00E17456" w:rsidRDefault="000941F7" w:rsidP="000941F7">
      <w:pPr>
        <w:rPr>
          <w:i/>
          <w:iCs/>
          <w:lang w:val="es-ES"/>
        </w:rPr>
      </w:pPr>
      <w:r w:rsidRPr="00E17456">
        <w:rPr>
          <w:i/>
          <w:iCs/>
          <w:lang w:val="es-ES"/>
        </w:rPr>
        <w:br w:type="page"/>
      </w:r>
    </w:p>
    <w:p w14:paraId="4502E168" w14:textId="77777777" w:rsidR="000941F7" w:rsidRPr="00E17456" w:rsidRDefault="000941F7" w:rsidP="000941F7">
      <w:pPr>
        <w:rPr>
          <w:lang w:val="es-ES"/>
        </w:rPr>
      </w:pPr>
      <w:r w:rsidRPr="00E17456">
        <w:rPr>
          <w:i/>
          <w:iCs/>
          <w:lang w:val="es-ES"/>
        </w:rPr>
        <w:lastRenderedPageBreak/>
        <w:t>c)</w:t>
      </w:r>
      <w:r w:rsidRPr="00E17456">
        <w:rPr>
          <w:lang w:val="es-ES"/>
        </w:rPr>
        <w:tab/>
        <w:t>que existe una necesidad continua de que la UIT coopere más estrechamente con las organizaciones regionales a fin de prestar apoyo a los Estados Miembros de la región;</w:t>
      </w:r>
    </w:p>
    <w:p w14:paraId="1A8E2BE0" w14:textId="77777777" w:rsidR="000941F7" w:rsidRPr="00E17456" w:rsidRDefault="000941F7" w:rsidP="000941F7">
      <w:pPr>
        <w:rPr>
          <w:lang w:val="es-ES"/>
        </w:rPr>
      </w:pPr>
      <w:r w:rsidRPr="00E17456">
        <w:rPr>
          <w:i/>
          <w:lang w:val="es-ES"/>
        </w:rPr>
        <w:t>d)</w:t>
      </w:r>
      <w:r w:rsidRPr="00E17456">
        <w:rPr>
          <w:lang w:val="es-ES"/>
        </w:rPr>
        <w:tab/>
        <w:t>que las organizaciones regionales participan con eficacia en la determinación de las prioridades y los intereses comunes, al tiempo que garantizan una mayor coordinación entre los Estados Miembros y su mayor implicación en las actividades, planes, proyectos, eventos, etc. del ámbito de las telecomunicaciones/TIC,</w:t>
      </w:r>
    </w:p>
    <w:p w14:paraId="5B35E2BA" w14:textId="77777777" w:rsidR="000941F7" w:rsidRPr="00E17456" w:rsidRDefault="000941F7" w:rsidP="000941F7">
      <w:pPr>
        <w:pStyle w:val="Call"/>
        <w:rPr>
          <w:lang w:val="es-ES"/>
        </w:rPr>
      </w:pPr>
      <w:r w:rsidRPr="00E17456">
        <w:rPr>
          <w:iCs/>
          <w:lang w:val="es-ES"/>
        </w:rPr>
        <w:t>observando</w:t>
      </w:r>
    </w:p>
    <w:p w14:paraId="3D47D5CF" w14:textId="77777777" w:rsidR="000941F7" w:rsidRPr="00E17456" w:rsidRDefault="000941F7" w:rsidP="000941F7">
      <w:pPr>
        <w:rPr>
          <w:lang w:val="es-ES"/>
        </w:rPr>
      </w:pPr>
      <w:r w:rsidRPr="00E17456">
        <w:rPr>
          <w:lang w:val="es-ES"/>
        </w:rPr>
        <w:t>que las organizaciones regionales pertinentes desempeñan un papel destacado e importante en materia de asistencia a los países en desarrollo en esferas como la cooperación regional y las actividades de asistencia técnica,</w:t>
      </w:r>
    </w:p>
    <w:p w14:paraId="07E230AF" w14:textId="77777777" w:rsidR="000941F7" w:rsidRPr="00E17456" w:rsidRDefault="000941F7" w:rsidP="000941F7">
      <w:pPr>
        <w:pStyle w:val="Call"/>
        <w:rPr>
          <w:lang w:val="es-ES"/>
        </w:rPr>
      </w:pPr>
      <w:r w:rsidRPr="00E17456">
        <w:rPr>
          <w:lang w:val="es-ES"/>
        </w:rPr>
        <w:t xml:space="preserve">resuelve encargar al </w:t>
      </w:r>
      <w:proofErr w:type="gramStart"/>
      <w:r w:rsidRPr="00E17456">
        <w:rPr>
          <w:lang w:val="es-ES"/>
        </w:rPr>
        <w:t>Director</w:t>
      </w:r>
      <w:proofErr w:type="gramEnd"/>
      <w:r w:rsidRPr="00E17456">
        <w:rPr>
          <w:lang w:val="es-ES"/>
        </w:rPr>
        <w:t xml:space="preserve"> de la Oficina de Desarrollo de las Telecomunicaciones</w:t>
      </w:r>
      <w:r w:rsidRPr="00E17456">
        <w:rPr>
          <w:color w:val="000000" w:themeColor="text1"/>
          <w:lang w:val="es-ES"/>
        </w:rPr>
        <w:t>, en estrecha colaboración con el Director de la Oficina de Radiocomunicaciones y el Director de la Oficina de Normalización de las Telecomunicaciones,</w:t>
      </w:r>
    </w:p>
    <w:p w14:paraId="0B724BD2" w14:textId="77777777" w:rsidR="000941F7" w:rsidRPr="00E17456" w:rsidRDefault="000941F7" w:rsidP="000941F7">
      <w:pPr>
        <w:rPr>
          <w:lang w:val="es-ES"/>
        </w:rPr>
      </w:pPr>
      <w:r w:rsidRPr="00E17456">
        <w:rPr>
          <w:lang w:val="es-ES"/>
        </w:rPr>
        <w:t>1</w:t>
      </w:r>
      <w:r w:rsidRPr="00E17456">
        <w:rPr>
          <w:lang w:val="es-ES"/>
        </w:rPr>
        <w:tab/>
      </w:r>
      <w:r w:rsidRPr="00E17456" w:rsidDel="00D43AA4">
        <w:rPr>
          <w:lang w:val="es-ES"/>
        </w:rPr>
        <w:t xml:space="preserve">que </w:t>
      </w:r>
      <w:r w:rsidRPr="00E17456">
        <w:rPr>
          <w:lang w:val="es-ES"/>
        </w:rPr>
        <w:t>tome todas las medidas necesarias para asociar a la UAT en la aplicación del Plan de Acción de Kigali 2022, en lo que respecta al apoyo al sector africano de las telecomunicaciones/TIC;</w:t>
      </w:r>
    </w:p>
    <w:p w14:paraId="3AD36B24" w14:textId="77777777" w:rsidR="000941F7" w:rsidRPr="00E17456" w:rsidRDefault="000941F7" w:rsidP="000941F7">
      <w:pPr>
        <w:rPr>
          <w:lang w:val="es-ES"/>
        </w:rPr>
      </w:pPr>
      <w:r w:rsidRPr="00E17456">
        <w:rPr>
          <w:lang w:val="es-ES"/>
        </w:rPr>
        <w:t>2</w:t>
      </w:r>
      <w:r w:rsidRPr="00E17456">
        <w:rPr>
          <w:lang w:val="es-ES"/>
        </w:rPr>
        <w:tab/>
        <w:t>que movilice y facilite el apoyo necesario para que la UAT asuma la función de dirección y coordinación entre las entidades pertinentes que participan en actividades vinculadas a las TIC a nivel regional;</w:t>
      </w:r>
    </w:p>
    <w:p w14:paraId="5BC2123A" w14:textId="77777777" w:rsidR="000941F7" w:rsidRPr="00E17456" w:rsidRDefault="000941F7" w:rsidP="000941F7">
      <w:pPr>
        <w:rPr>
          <w:lang w:val="es-ES" w:eastAsia="es-ES"/>
        </w:rPr>
      </w:pPr>
      <w:r w:rsidRPr="00E17456">
        <w:rPr>
          <w:lang w:val="es-ES"/>
        </w:rPr>
        <w:t>3</w:t>
      </w:r>
      <w:r w:rsidRPr="00E17456">
        <w:rPr>
          <w:lang w:val="es-ES"/>
        </w:rPr>
        <w:tab/>
        <w:t xml:space="preserve">que </w:t>
      </w:r>
      <w:r w:rsidRPr="00E17456">
        <w:rPr>
          <w:lang w:val="es-ES" w:eastAsia="es-ES"/>
        </w:rPr>
        <w:t>refuerce las relaciones con las organizaciones regionales y subregionales de telecomunicaciones para identificar sinergias con sus actividades que sean susceptibles de facilitar la ejecución de la iniciativa regional;</w:t>
      </w:r>
    </w:p>
    <w:p w14:paraId="3F422638" w14:textId="77777777" w:rsidR="000941F7" w:rsidRPr="00E17456" w:rsidRDefault="000941F7" w:rsidP="000941F7">
      <w:pPr>
        <w:rPr>
          <w:lang w:val="es-ES"/>
        </w:rPr>
      </w:pPr>
      <w:r w:rsidRPr="00E17456">
        <w:rPr>
          <w:lang w:val="es-ES"/>
        </w:rPr>
        <w:t>4</w:t>
      </w:r>
      <w:r w:rsidRPr="00E17456">
        <w:rPr>
          <w:lang w:val="es-ES"/>
        </w:rPr>
        <w:tab/>
        <w:t>que continúe desplegando e incrementando la disponibilidad de los recursos humanos y financieros necesarios en la presencia regional de la UIT, en el plano regional, en apoyo de la UAT,</w:t>
      </w:r>
    </w:p>
    <w:p w14:paraId="67C10271" w14:textId="77777777" w:rsidR="000941F7" w:rsidRPr="00E17456" w:rsidRDefault="000941F7" w:rsidP="000941F7">
      <w:pPr>
        <w:pStyle w:val="Call"/>
        <w:rPr>
          <w:lang w:val="es-ES"/>
        </w:rPr>
      </w:pPr>
      <w:r w:rsidRPr="00E17456">
        <w:rPr>
          <w:lang w:val="es-ES"/>
        </w:rPr>
        <w:t xml:space="preserve">solicita al </w:t>
      </w:r>
      <w:proofErr w:type="gramStart"/>
      <w:r w:rsidRPr="00E17456">
        <w:rPr>
          <w:lang w:val="es-ES"/>
        </w:rPr>
        <w:t>Secretario General</w:t>
      </w:r>
      <w:proofErr w:type="gramEnd"/>
      <w:r w:rsidRPr="00E17456">
        <w:rPr>
          <w:lang w:val="es-ES"/>
        </w:rPr>
        <w:t xml:space="preserve"> y encarga al Director de la Oficina de Desarrollo de las Telecomunicaciones</w:t>
      </w:r>
    </w:p>
    <w:p w14:paraId="7287898E" w14:textId="77777777" w:rsidR="000941F7" w:rsidRPr="00E17456" w:rsidRDefault="000941F7" w:rsidP="000941F7">
      <w:pPr>
        <w:rPr>
          <w:lang w:val="es-ES"/>
        </w:rPr>
      </w:pPr>
      <w:r w:rsidRPr="00E17456">
        <w:rPr>
          <w:lang w:val="es-ES"/>
        </w:rPr>
        <w:t>1</w:t>
      </w:r>
      <w:r w:rsidRPr="00E17456">
        <w:rPr>
          <w:lang w:val="es-ES"/>
        </w:rPr>
        <w:tab/>
        <w:t>que tomen todas las medidas necesarias para identificar esferas de cooperación nuevas cada año y para prestar a la UAT todo el apoyo y asistencia necesarios, incluso de tipo administrativo, financiero, logístico e informático/técnico, en particular intensificando, promoviendo y fortaleciendo la cooperación entre la UAT y la Oficina Regional de la UIT para África, y poniendo especialistas a la disposición de esta organización;</w:t>
      </w:r>
    </w:p>
    <w:p w14:paraId="54B50AFD" w14:textId="77777777" w:rsidR="000941F7" w:rsidRPr="00E17456" w:rsidRDefault="000941F7" w:rsidP="000941F7">
      <w:pPr>
        <w:rPr>
          <w:lang w:val="es-ES"/>
        </w:rPr>
      </w:pPr>
      <w:r w:rsidRPr="00E17456">
        <w:rPr>
          <w:lang w:val="es-ES"/>
        </w:rPr>
        <w:br w:type="page"/>
      </w:r>
    </w:p>
    <w:p w14:paraId="4073763C" w14:textId="77777777" w:rsidR="000941F7" w:rsidRPr="00E17456" w:rsidRDefault="000941F7" w:rsidP="000941F7">
      <w:pPr>
        <w:rPr>
          <w:lang w:val="es-ES"/>
        </w:rPr>
      </w:pPr>
      <w:r w:rsidRPr="00E17456">
        <w:rPr>
          <w:lang w:val="es-ES"/>
        </w:rPr>
        <w:lastRenderedPageBreak/>
        <w:t>2</w:t>
      </w:r>
      <w:r w:rsidRPr="00E17456">
        <w:rPr>
          <w:lang w:val="es-ES"/>
        </w:rPr>
        <w:tab/>
        <w:t>que se coordinen y colaboren con las organizaciones competentes del sistema de las Naciones Unidas, como la Oficina de las Naciones Unidas para la Cooperación Sur-Sur, en asuntos relacionados con las telecomunicaciones/TIC, incluidos los mecanismos de financiación conexos, en apoyo de la UAT;</w:t>
      </w:r>
    </w:p>
    <w:p w14:paraId="288BABF9" w14:textId="77777777" w:rsidR="000941F7" w:rsidRPr="00E17456" w:rsidRDefault="000941F7" w:rsidP="000941F7">
      <w:pPr>
        <w:rPr>
          <w:lang w:val="es-ES"/>
        </w:rPr>
      </w:pPr>
      <w:r w:rsidRPr="00E17456">
        <w:rPr>
          <w:lang w:val="es-ES"/>
        </w:rPr>
        <w:t>3</w:t>
      </w:r>
      <w:r w:rsidRPr="00E17456">
        <w:rPr>
          <w:lang w:val="es-ES"/>
        </w:rPr>
        <w:tab/>
        <w:t>que elaboren un marco de asociación UAT-UIT basado en un plan de trabajo anual para contribuir en mayor medida a la ejecución de las Iniciativas Regionales y todas las actividades conjuntas determinadas;</w:t>
      </w:r>
    </w:p>
    <w:p w14:paraId="11513093" w14:textId="77777777" w:rsidR="000941F7" w:rsidRPr="00E17456" w:rsidRDefault="000941F7" w:rsidP="000941F7">
      <w:pPr>
        <w:rPr>
          <w:lang w:val="es-ES"/>
        </w:rPr>
      </w:pPr>
      <w:r w:rsidRPr="00E17456">
        <w:rPr>
          <w:lang w:val="es-ES"/>
        </w:rPr>
        <w:t>4</w:t>
      </w:r>
      <w:r w:rsidRPr="00E17456">
        <w:rPr>
          <w:lang w:val="es-ES"/>
        </w:rPr>
        <w:tab/>
        <w:t>que pongan esta Resolución en conocimiento de la Conferencia de Plenipotenciarios para que ésta la considere y tome las medidas correspondientes.</w:t>
      </w:r>
    </w:p>
    <w:p w14:paraId="72C124F5" w14:textId="77777777" w:rsidR="000941F7" w:rsidRPr="00E17456" w:rsidRDefault="000941F7" w:rsidP="000941F7">
      <w:pPr>
        <w:pStyle w:val="Reasons"/>
        <w:rPr>
          <w:lang w:val="es-ES_tradnl"/>
        </w:rPr>
      </w:pPr>
    </w:p>
    <w:p w14:paraId="76B3B5A0" w14:textId="77777777" w:rsidR="000941F7" w:rsidRPr="00E17456" w:rsidRDefault="000941F7" w:rsidP="000941F7">
      <w:pPr>
        <w:pStyle w:val="Reasons"/>
        <w:rPr>
          <w:lang w:val="es-ES_tradnl"/>
        </w:rPr>
      </w:pPr>
    </w:p>
    <w:p w14:paraId="674BA73F" w14:textId="77777777" w:rsidR="000941F7" w:rsidRPr="00E17456" w:rsidRDefault="000941F7" w:rsidP="000941F7">
      <w:pPr>
        <w:pStyle w:val="Reasons"/>
        <w:rPr>
          <w:lang w:val="es-ES_tradnl"/>
        </w:rPr>
      </w:pPr>
    </w:p>
    <w:p w14:paraId="5C5BF9EC" w14:textId="77777777" w:rsidR="000941F7" w:rsidRDefault="000941F7" w:rsidP="000941F7">
      <w:pPr>
        <w:pStyle w:val="Reasons"/>
        <w:rPr>
          <w:lang w:val="es-ES_tradnl"/>
        </w:rPr>
      </w:pPr>
    </w:p>
    <w:p w14:paraId="4F8FAB00" w14:textId="77777777" w:rsidR="000941F7" w:rsidRDefault="000941F7" w:rsidP="000941F7">
      <w:pPr>
        <w:pStyle w:val="Reasons"/>
        <w:rPr>
          <w:lang w:val="es-ES_tradnl"/>
        </w:rPr>
      </w:pPr>
    </w:p>
    <w:p w14:paraId="559FF7CA" w14:textId="77777777" w:rsidR="000941F7" w:rsidRDefault="000941F7" w:rsidP="000941F7">
      <w:pPr>
        <w:pStyle w:val="Reasons"/>
        <w:rPr>
          <w:lang w:val="es-ES_tradnl"/>
        </w:rPr>
      </w:pPr>
    </w:p>
    <w:p w14:paraId="74F1E396" w14:textId="77777777" w:rsidR="000941F7" w:rsidRDefault="000941F7" w:rsidP="000941F7">
      <w:pPr>
        <w:pStyle w:val="Reasons"/>
        <w:rPr>
          <w:lang w:val="es-ES_tradnl"/>
        </w:rPr>
      </w:pPr>
    </w:p>
    <w:p w14:paraId="7EB4DE36" w14:textId="77777777" w:rsidR="000941F7" w:rsidRDefault="000941F7" w:rsidP="000941F7">
      <w:pPr>
        <w:pStyle w:val="Reasons"/>
        <w:rPr>
          <w:lang w:val="es-ES_tradnl"/>
        </w:rPr>
      </w:pPr>
    </w:p>
    <w:p w14:paraId="7BBDAD08" w14:textId="77777777" w:rsidR="000941F7" w:rsidRDefault="000941F7" w:rsidP="000941F7">
      <w:pPr>
        <w:pStyle w:val="Reasons"/>
        <w:rPr>
          <w:lang w:val="es-ES_tradnl"/>
        </w:rPr>
      </w:pPr>
    </w:p>
    <w:p w14:paraId="36A41001" w14:textId="77777777" w:rsidR="000941F7" w:rsidRPr="00E17456" w:rsidRDefault="000941F7" w:rsidP="000941F7">
      <w:pPr>
        <w:pStyle w:val="Reasons"/>
        <w:rPr>
          <w:lang w:val="es-ES_tradnl"/>
        </w:rPr>
      </w:pPr>
    </w:p>
    <w:p w14:paraId="4F06D931" w14:textId="77777777" w:rsidR="000941F7" w:rsidRPr="00E17456" w:rsidRDefault="000941F7" w:rsidP="000941F7">
      <w:pPr>
        <w:pStyle w:val="Reasons"/>
        <w:rPr>
          <w:lang w:val="es-ES_tradnl"/>
        </w:rPr>
      </w:pPr>
    </w:p>
    <w:p w14:paraId="54C71D0B" w14:textId="77777777" w:rsidR="000941F7" w:rsidRPr="00E17456" w:rsidRDefault="000941F7" w:rsidP="000941F7">
      <w:pPr>
        <w:pStyle w:val="Reasons"/>
        <w:rPr>
          <w:lang w:val="es-ES_tradnl"/>
        </w:rPr>
      </w:pPr>
    </w:p>
    <w:p w14:paraId="75B20C94" w14:textId="77777777" w:rsidR="000941F7" w:rsidRPr="00E17456" w:rsidRDefault="000941F7" w:rsidP="000941F7">
      <w:pPr>
        <w:pStyle w:val="Reasons"/>
        <w:rPr>
          <w:lang w:val="es-ES_tradnl"/>
        </w:rPr>
      </w:pPr>
    </w:p>
    <w:p w14:paraId="4A9984F3" w14:textId="77777777" w:rsidR="000941F7" w:rsidRPr="00E17456" w:rsidRDefault="000941F7" w:rsidP="000941F7">
      <w:pPr>
        <w:pStyle w:val="Reasons"/>
        <w:rPr>
          <w:lang w:val="es-ES_tradnl"/>
        </w:rPr>
      </w:pPr>
    </w:p>
    <w:p w14:paraId="7E8E296D" w14:textId="77777777" w:rsidR="000941F7" w:rsidRPr="00E17456" w:rsidRDefault="000941F7" w:rsidP="000941F7">
      <w:pPr>
        <w:pStyle w:val="Reasons"/>
        <w:rPr>
          <w:lang w:val="es-ES_tradnl"/>
        </w:rPr>
      </w:pPr>
    </w:p>
    <w:p w14:paraId="29D4C944" w14:textId="77777777" w:rsidR="00201FFB" w:rsidRPr="000941F7" w:rsidRDefault="00201FFB">
      <w:pPr>
        <w:rPr>
          <w:lang w:val="es-ES_tradnl"/>
        </w:rPr>
      </w:pPr>
    </w:p>
    <w:sectPr w:rsidR="00201FFB" w:rsidRPr="000941F7" w:rsidSect="005366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50CF0" w14:textId="77777777" w:rsidR="000941F7" w:rsidRDefault="000941F7" w:rsidP="000941F7">
      <w:pPr>
        <w:spacing w:before="0"/>
      </w:pPr>
      <w:r>
        <w:separator/>
      </w:r>
    </w:p>
  </w:endnote>
  <w:endnote w:type="continuationSeparator" w:id="0">
    <w:p w14:paraId="50261249" w14:textId="77777777" w:rsidR="000941F7" w:rsidRDefault="000941F7" w:rsidP="000941F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2B12" w14:textId="77777777" w:rsidR="005366A9" w:rsidRDefault="005366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406F" w14:textId="77777777" w:rsidR="005366A9" w:rsidRDefault="005366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D660" w14:textId="77777777" w:rsidR="005366A9" w:rsidRDefault="00536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09A1C" w14:textId="77777777" w:rsidR="000941F7" w:rsidRDefault="000941F7" w:rsidP="000941F7">
      <w:pPr>
        <w:spacing w:before="0"/>
      </w:pPr>
      <w:r>
        <w:separator/>
      </w:r>
    </w:p>
  </w:footnote>
  <w:footnote w:type="continuationSeparator" w:id="0">
    <w:p w14:paraId="0A0C5296" w14:textId="77777777" w:rsidR="000941F7" w:rsidRDefault="000941F7" w:rsidP="000941F7">
      <w:pPr>
        <w:spacing w:before="0"/>
      </w:pPr>
      <w:r>
        <w:continuationSeparator/>
      </w:r>
    </w:p>
  </w:footnote>
  <w:footnote w:id="1">
    <w:p w14:paraId="2ED841EB" w14:textId="77777777" w:rsidR="000941F7" w:rsidRPr="00EF1565" w:rsidRDefault="000941F7" w:rsidP="000941F7">
      <w:pPr>
        <w:pStyle w:val="FootnoteText"/>
        <w:rPr>
          <w:lang w:val="es-ES"/>
        </w:rPr>
      </w:pPr>
      <w:r w:rsidRPr="00E20F5B">
        <w:rPr>
          <w:rStyle w:val="FootnoteReference"/>
          <w:lang w:val="es-ES"/>
        </w:rPr>
        <w:t>1</w:t>
      </w:r>
      <w:r w:rsidRPr="00E20F5B">
        <w:rPr>
          <w:lang w:val="es-ES"/>
        </w:rPr>
        <w:t xml:space="preserve"> </w:t>
      </w:r>
      <w:r>
        <w:rPr>
          <w:lang w:val="es-ES"/>
        </w:rPr>
        <w:tab/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B6C2" w14:textId="29BF038D" w:rsidR="005366A9" w:rsidRPr="005366A9" w:rsidRDefault="005366A9" w:rsidP="005366A9">
    <w:pPr>
      <w:pStyle w:val="Header"/>
      <w:tabs>
        <w:tab w:val="clear" w:pos="4513"/>
        <w:tab w:val="clear" w:pos="9026"/>
        <w:tab w:val="left" w:pos="567"/>
        <w:tab w:val="right" w:pos="9072"/>
        <w:tab w:val="right" w:pos="9639"/>
      </w:tabs>
      <w:spacing w:before="120"/>
      <w:jc w:val="left"/>
      <w:rPr>
        <w:lang w:val="es-ES"/>
      </w:rPr>
    </w:pPr>
    <w:r w:rsidRPr="006053D3">
      <w:rPr>
        <w:sz w:val="16"/>
        <w:szCs w:val="16"/>
      </w:rPr>
      <w:fldChar w:fldCharType="begin"/>
    </w:r>
    <w:r w:rsidRPr="00DA0FC4">
      <w:rPr>
        <w:sz w:val="16"/>
        <w:szCs w:val="16"/>
        <w:lang w:val="es-ES"/>
      </w:rPr>
      <w:instrText xml:space="preserve"> PAGE   \* MERGEFORMAT </w:instrText>
    </w:r>
    <w:r w:rsidRPr="006053D3">
      <w:rPr>
        <w:sz w:val="16"/>
        <w:szCs w:val="16"/>
      </w:rPr>
      <w:fldChar w:fldCharType="separate"/>
    </w:r>
    <w:r w:rsidRPr="005366A9">
      <w:rPr>
        <w:sz w:val="16"/>
        <w:szCs w:val="16"/>
        <w:lang w:val="es-ES"/>
      </w:rPr>
      <w:t>2</w:t>
    </w:r>
    <w:r w:rsidRPr="006053D3">
      <w:rPr>
        <w:noProof/>
        <w:sz w:val="16"/>
        <w:szCs w:val="16"/>
      </w:rPr>
      <w:fldChar w:fldCharType="end"/>
    </w:r>
    <w:r>
      <w:rPr>
        <w:sz w:val="16"/>
        <w:szCs w:val="16"/>
        <w:lang w:val="es-ES"/>
      </w:rPr>
      <w:tab/>
    </w:r>
    <w:r w:rsidRPr="00E20F5B">
      <w:rPr>
        <w:sz w:val="16"/>
        <w:szCs w:val="16"/>
        <w:lang w:val="es-ES"/>
      </w:rPr>
      <w:t>Informe final de la CMDT-22 – Parte IV – Resolución 36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B6035" w14:textId="36D9975E" w:rsidR="005366A9" w:rsidRPr="005366A9" w:rsidRDefault="005366A9" w:rsidP="005366A9">
    <w:pPr>
      <w:pStyle w:val="Header"/>
      <w:tabs>
        <w:tab w:val="clear" w:pos="4513"/>
        <w:tab w:val="clear" w:pos="9026"/>
        <w:tab w:val="left" w:pos="567"/>
        <w:tab w:val="right" w:pos="9072"/>
        <w:tab w:val="right" w:pos="9639"/>
      </w:tabs>
      <w:spacing w:before="120"/>
      <w:jc w:val="left"/>
      <w:rPr>
        <w:lang w:val="es-ES"/>
      </w:rPr>
    </w:pPr>
    <w:r>
      <w:rPr>
        <w:sz w:val="16"/>
        <w:szCs w:val="16"/>
        <w:lang w:val="es-ES"/>
      </w:rPr>
      <w:tab/>
    </w:r>
    <w:r>
      <w:rPr>
        <w:sz w:val="16"/>
        <w:szCs w:val="16"/>
        <w:lang w:val="es-ES"/>
      </w:rPr>
      <w:tab/>
    </w:r>
    <w:r w:rsidRPr="00E20F5B">
      <w:rPr>
        <w:sz w:val="16"/>
        <w:szCs w:val="16"/>
        <w:lang w:val="es-ES"/>
      </w:rPr>
      <w:t>Informe final de la CMDT-22 – Parte IV – Resolución 36</w:t>
    </w:r>
    <w:r w:rsidRPr="00DA0FC4">
      <w:rPr>
        <w:sz w:val="16"/>
        <w:szCs w:val="16"/>
        <w:lang w:val="es-ES"/>
      </w:rPr>
      <w:tab/>
    </w:r>
    <w:r w:rsidRPr="006053D3">
      <w:rPr>
        <w:sz w:val="16"/>
        <w:szCs w:val="16"/>
      </w:rPr>
      <w:fldChar w:fldCharType="begin"/>
    </w:r>
    <w:r w:rsidRPr="00DA0FC4">
      <w:rPr>
        <w:sz w:val="16"/>
        <w:szCs w:val="16"/>
        <w:lang w:val="es-ES"/>
      </w:rPr>
      <w:instrText xml:space="preserve"> PAGE   \* MERGEFORMAT </w:instrText>
    </w:r>
    <w:r w:rsidRPr="006053D3">
      <w:rPr>
        <w:sz w:val="16"/>
        <w:szCs w:val="16"/>
      </w:rPr>
      <w:fldChar w:fldCharType="separate"/>
    </w:r>
    <w:r w:rsidRPr="005366A9">
      <w:rPr>
        <w:sz w:val="16"/>
        <w:szCs w:val="16"/>
        <w:lang w:val="es-ES"/>
      </w:rPr>
      <w:t>1</w:t>
    </w:r>
    <w:r w:rsidRPr="006053D3">
      <w:rPr>
        <w:noProof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C9471" w14:textId="77777777" w:rsidR="005366A9" w:rsidRDefault="005366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GrammaticalErrors/>
  <w:proofState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F7"/>
    <w:rsid w:val="000941F7"/>
    <w:rsid w:val="00201FFB"/>
    <w:rsid w:val="003B761D"/>
    <w:rsid w:val="003C321F"/>
    <w:rsid w:val="005366A9"/>
    <w:rsid w:val="005809C6"/>
    <w:rsid w:val="005F322B"/>
    <w:rsid w:val="00623374"/>
    <w:rsid w:val="008A4CA6"/>
    <w:rsid w:val="00A74923"/>
    <w:rsid w:val="00A96FB2"/>
    <w:rsid w:val="00AC35D4"/>
    <w:rsid w:val="00B0107E"/>
    <w:rsid w:val="00BF353A"/>
    <w:rsid w:val="00D27EFC"/>
    <w:rsid w:val="00DC6ABD"/>
    <w:rsid w:val="00EA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24185"/>
  <w15:chartTrackingRefBased/>
  <w15:docId w15:val="{6F2143C5-EB36-4ECC-A3CB-DDDAA092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1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eastAsia="Times New Roman" w:cs="Times New Roman"/>
      <w:sz w:val="24"/>
      <w:szCs w:val="20"/>
    </w:rPr>
  </w:style>
  <w:style w:type="paragraph" w:styleId="Heading1">
    <w:name w:val="heading 1"/>
    <w:basedOn w:val="ListParagraph"/>
    <w:next w:val="Normal"/>
    <w:link w:val="Heading1Char"/>
    <w:qFormat/>
    <w:rsid w:val="00B0107E"/>
    <w:pPr>
      <w:spacing w:after="120"/>
      <w:ind w:left="0"/>
      <w:contextualSpacing w:val="0"/>
      <w:outlineLvl w:val="0"/>
    </w:pPr>
    <w:rPr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0107E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60" w:line="259" w:lineRule="auto"/>
      <w:jc w:val="left"/>
      <w:textAlignment w:val="auto"/>
      <w:outlineLvl w:val="1"/>
    </w:pPr>
    <w:rPr>
      <w:rFonts w:cstheme="minorBidi"/>
      <w:bCs/>
      <w:iCs/>
      <w:color w:val="2F5496" w:themeColor="accent1" w:themeShade="BF"/>
      <w:sz w:val="22"/>
      <w:szCs w:val="26"/>
      <w:lang w:val="en-US" w:eastAsia="zh-CN"/>
    </w:rPr>
  </w:style>
  <w:style w:type="paragraph" w:styleId="Heading3">
    <w:name w:val="heading 3"/>
    <w:basedOn w:val="Normal"/>
    <w:next w:val="Normal"/>
    <w:link w:val="Heading3Char"/>
    <w:rsid w:val="00B0107E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autoSpaceDE/>
      <w:autoSpaceDN/>
      <w:adjustRightInd/>
      <w:spacing w:before="160" w:after="160" w:line="259" w:lineRule="auto"/>
      <w:jc w:val="left"/>
      <w:outlineLvl w:val="2"/>
    </w:pPr>
    <w:rPr>
      <w:rFonts w:eastAsiaTheme="minorHAnsi" w:cstheme="minorBidi"/>
      <w:color w:val="2F5496" w:themeColor="accent1" w:themeShade="BF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ontMatterTitleLeftAligned">
    <w:name w:val="Front_Matter_Title_Left_Aligned"/>
    <w:basedOn w:val="Normal"/>
    <w:rsid w:val="00A96F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240" w:line="259" w:lineRule="auto"/>
      <w:jc w:val="left"/>
      <w:textAlignment w:val="auto"/>
    </w:pPr>
    <w:rPr>
      <w:rFonts w:eastAsiaTheme="minorEastAsia" w:cs="Calibri"/>
      <w:color w:val="0070C0"/>
      <w:sz w:val="28"/>
      <w:szCs w:val="22"/>
      <w:lang w:val="en-US" w:eastAsia="es-ES"/>
    </w:rPr>
  </w:style>
  <w:style w:type="character" w:customStyle="1" w:styleId="Heading1Char">
    <w:name w:val="Heading 1 Char"/>
    <w:basedOn w:val="DefaultParagraphFont"/>
    <w:link w:val="Heading1"/>
    <w:rsid w:val="00B0107E"/>
    <w:rPr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0107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ind w:left="720"/>
      <w:contextualSpacing/>
      <w:jc w:val="left"/>
      <w:textAlignment w:val="auto"/>
    </w:pPr>
    <w:rPr>
      <w:rFonts w:eastAsiaTheme="minorEastAsia" w:cstheme="minorBidi"/>
      <w:sz w:val="22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B0107E"/>
    <w:rPr>
      <w:rFonts w:eastAsia="Times New Roman" w:cs="Arial"/>
      <w:bCs/>
      <w:iCs/>
      <w:color w:val="2F5496" w:themeColor="accent1" w:themeShade="BF"/>
      <w:szCs w:val="26"/>
    </w:rPr>
  </w:style>
  <w:style w:type="paragraph" w:customStyle="1" w:styleId="Figuretitle">
    <w:name w:val="Figure title"/>
    <w:basedOn w:val="Normal"/>
    <w:next w:val="Normal"/>
    <w:rsid w:val="00B0107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 w:line="259" w:lineRule="auto"/>
      <w:contextualSpacing/>
      <w:jc w:val="left"/>
      <w:textAlignment w:val="auto"/>
    </w:pPr>
    <w:rPr>
      <w:rFonts w:eastAsiaTheme="minorEastAsia" w:cstheme="minorBidi"/>
      <w:color w:val="365F91"/>
      <w:szCs w:val="56"/>
      <w:lang w:val="en-US" w:eastAsia="zh-CN"/>
    </w:rPr>
  </w:style>
  <w:style w:type="paragraph" w:customStyle="1" w:styleId="Alternativetext">
    <w:name w:val="Alternative text"/>
    <w:basedOn w:val="Normal"/>
    <w:autoRedefine/>
    <w:rsid w:val="00EA221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259" w:lineRule="auto"/>
      <w:jc w:val="center"/>
      <w:textAlignment w:val="auto"/>
    </w:pPr>
    <w:rPr>
      <w:rFonts w:eastAsiaTheme="minorEastAsia" w:cstheme="minorHAnsi"/>
      <w:i/>
      <w:color w:val="FFC000"/>
      <w:sz w:val="18"/>
      <w:szCs w:val="24"/>
      <w:lang w:val="en-US" w:eastAsia="zh-CN"/>
    </w:rPr>
  </w:style>
  <w:style w:type="paragraph" w:customStyle="1" w:styleId="Tabletitle">
    <w:name w:val="Table title"/>
    <w:basedOn w:val="Normal"/>
    <w:next w:val="Normal"/>
    <w:rsid w:val="00B0107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contextualSpacing/>
      <w:jc w:val="left"/>
      <w:textAlignment w:val="auto"/>
    </w:pPr>
    <w:rPr>
      <w:rFonts w:eastAsiaTheme="minorEastAsia" w:cstheme="minorBidi"/>
      <w:color w:val="2F5496" w:themeColor="accent1" w:themeShade="BF"/>
      <w:szCs w:val="56"/>
      <w:lang w:val="en-US" w:eastAsia="zh-CN"/>
    </w:rPr>
  </w:style>
  <w:style w:type="paragraph" w:customStyle="1" w:styleId="Tabletext">
    <w:name w:val="Table text"/>
    <w:basedOn w:val="Normal"/>
    <w:rsid w:val="00B0107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0" w:after="160" w:line="259" w:lineRule="auto"/>
      <w:ind w:left="57"/>
      <w:contextualSpacing/>
      <w:jc w:val="left"/>
      <w:textAlignment w:val="auto"/>
    </w:pPr>
    <w:rPr>
      <w:rFonts w:eastAsiaTheme="minorEastAsia" w:cstheme="minorBidi"/>
      <w:sz w:val="22"/>
      <w:szCs w:val="56"/>
      <w:lang w:val="en-US" w:eastAsia="zh-CN"/>
    </w:rPr>
  </w:style>
  <w:style w:type="paragraph" w:customStyle="1" w:styleId="Tablehead">
    <w:name w:val="Table head"/>
    <w:basedOn w:val="Normal"/>
    <w:rsid w:val="00B0107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contextualSpacing/>
      <w:jc w:val="center"/>
      <w:textAlignment w:val="auto"/>
    </w:pPr>
    <w:rPr>
      <w:rFonts w:eastAsiaTheme="minorEastAsia" w:cstheme="minorBidi"/>
      <w:b/>
      <w:sz w:val="22"/>
      <w:szCs w:val="56"/>
      <w:lang w:val="en-US" w:eastAsia="zh-CN"/>
    </w:rPr>
  </w:style>
  <w:style w:type="character" w:customStyle="1" w:styleId="StyleBoldBold">
    <w:name w:val="Style Bold + Bold"/>
    <w:basedOn w:val="DefaultParagraphFont"/>
    <w:rsid w:val="00B0107E"/>
    <w:rPr>
      <w:b/>
      <w:bCs/>
      <w:sz w:val="20"/>
      <w:szCs w:val="24"/>
    </w:rPr>
  </w:style>
  <w:style w:type="paragraph" w:customStyle="1" w:styleId="Tablebullet">
    <w:name w:val="Table bullet"/>
    <w:basedOn w:val="Normal"/>
    <w:rsid w:val="00B0107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0" w:after="160" w:line="259" w:lineRule="auto"/>
      <w:contextualSpacing/>
      <w:jc w:val="left"/>
      <w:textAlignment w:val="auto"/>
    </w:pPr>
    <w:rPr>
      <w:rFonts w:eastAsiaTheme="minorEastAsia" w:cstheme="minorBidi"/>
      <w:sz w:val="22"/>
      <w:szCs w:val="56"/>
      <w:lang w:val="en-US" w:eastAsia="zh-CN"/>
    </w:rPr>
  </w:style>
  <w:style w:type="character" w:customStyle="1" w:styleId="StyleBoldBold1">
    <w:name w:val="Style Bold + Bold1"/>
    <w:basedOn w:val="DefaultParagraphFont"/>
    <w:rsid w:val="00B0107E"/>
    <w:rPr>
      <w:b/>
      <w:bCs/>
      <w:sz w:val="20"/>
      <w:szCs w:val="24"/>
    </w:rPr>
  </w:style>
  <w:style w:type="paragraph" w:customStyle="1" w:styleId="StyleTablebulletLeft0cmHanging051cm">
    <w:name w:val="Style Table bullet + Left:  0 cm Hanging:  0.51 cm"/>
    <w:basedOn w:val="Tablebullet"/>
    <w:rsid w:val="00B0107E"/>
    <w:pPr>
      <w:ind w:left="288" w:hanging="288"/>
    </w:pPr>
    <w:rPr>
      <w:rFonts w:eastAsia="Times New Roman"/>
      <w:szCs w:val="20"/>
    </w:rPr>
  </w:style>
  <w:style w:type="paragraph" w:customStyle="1" w:styleId="StyleTabletextBoldLeft01cm">
    <w:name w:val="Style Table text + Bold Left:  0.1 cm"/>
    <w:basedOn w:val="Tabletext"/>
    <w:rsid w:val="00B0107E"/>
    <w:rPr>
      <w:rFonts w:eastAsia="Times New Roman"/>
      <w:b/>
      <w:bCs/>
      <w:szCs w:val="20"/>
    </w:rPr>
  </w:style>
  <w:style w:type="paragraph" w:customStyle="1" w:styleId="Tableheadcentredwhite">
    <w:name w:val="Table head centred white"/>
    <w:basedOn w:val="Normal"/>
    <w:rsid w:val="00B0107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contextualSpacing/>
      <w:jc w:val="center"/>
      <w:textAlignment w:val="auto"/>
    </w:pPr>
    <w:rPr>
      <w:rFonts w:eastAsiaTheme="minorEastAsia" w:cstheme="minorBidi"/>
      <w:b/>
      <w:sz w:val="22"/>
      <w:szCs w:val="56"/>
      <w:lang w:val="en-US" w:eastAsia="zh-CN"/>
    </w:rPr>
  </w:style>
  <w:style w:type="paragraph" w:customStyle="1" w:styleId="Tabletextcentred">
    <w:name w:val="Table text centred"/>
    <w:basedOn w:val="Normal"/>
    <w:rsid w:val="00B0107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contextualSpacing/>
      <w:jc w:val="center"/>
      <w:textAlignment w:val="auto"/>
    </w:pPr>
    <w:rPr>
      <w:rFonts w:eastAsiaTheme="minorEastAsia" w:cstheme="minorBidi"/>
      <w:sz w:val="22"/>
      <w:szCs w:val="56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B0107E"/>
    <w:rPr>
      <w:color w:val="2F5496" w:themeColor="accent1" w:themeShade="BF"/>
    </w:rPr>
  </w:style>
  <w:style w:type="character" w:customStyle="1" w:styleId="Colored-Normal">
    <w:name w:val="Colored - Normal"/>
    <w:rsid w:val="00B0107E"/>
    <w:rPr>
      <w:color w:val="365F91"/>
      <w:sz w:val="22"/>
      <w:szCs w:val="24"/>
    </w:rPr>
  </w:style>
  <w:style w:type="paragraph" w:customStyle="1" w:styleId="Bulletlist2">
    <w:name w:val="Bullet list 2"/>
    <w:basedOn w:val="Normal"/>
    <w:rsid w:val="008A4CA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contextualSpacing/>
      <w:jc w:val="left"/>
      <w:textAlignment w:val="auto"/>
    </w:pPr>
    <w:rPr>
      <w:rFonts w:eastAsiaTheme="minorEastAsia" w:cstheme="minorBidi"/>
      <w:sz w:val="22"/>
      <w:szCs w:val="56"/>
      <w:lang w:val="en-US" w:eastAsia="zh-CN"/>
    </w:rPr>
  </w:style>
  <w:style w:type="paragraph" w:customStyle="1" w:styleId="Bulletlist3">
    <w:name w:val="Bullet list 3"/>
    <w:basedOn w:val="Normal"/>
    <w:rsid w:val="008A4CA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contextualSpacing/>
      <w:jc w:val="right"/>
      <w:textAlignment w:val="auto"/>
    </w:pPr>
    <w:rPr>
      <w:rFonts w:eastAsiaTheme="minorEastAsia" w:cstheme="minorBidi"/>
      <w:sz w:val="22"/>
      <w:szCs w:val="56"/>
      <w:lang w:val="en-US" w:eastAsia="zh-CN"/>
    </w:rPr>
  </w:style>
  <w:style w:type="paragraph" w:customStyle="1" w:styleId="HeadingSum">
    <w:name w:val="Heading_Sum"/>
    <w:basedOn w:val="Normal"/>
    <w:next w:val="Normal"/>
    <w:autoRedefine/>
    <w:rsid w:val="00BF353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autoSpaceDE/>
      <w:autoSpaceDN/>
      <w:adjustRightInd/>
      <w:spacing w:before="240" w:after="160" w:line="259" w:lineRule="auto"/>
    </w:pPr>
    <w:rPr>
      <w:rFonts w:ascii="Times New Roman" w:hAnsi="Times New Roman" w:cstheme="minorBidi"/>
      <w:b/>
      <w:sz w:val="22"/>
      <w:lang w:val="es-ES_tradnl" w:eastAsia="zh-CN"/>
    </w:rPr>
  </w:style>
  <w:style w:type="paragraph" w:customStyle="1" w:styleId="Summary">
    <w:name w:val="Summary"/>
    <w:basedOn w:val="Normal"/>
    <w:next w:val="Normal"/>
    <w:autoRedefine/>
    <w:rsid w:val="00BF353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autoSpaceDE/>
      <w:autoSpaceDN/>
      <w:adjustRightInd/>
      <w:spacing w:before="0" w:after="480" w:line="259" w:lineRule="auto"/>
    </w:pPr>
    <w:rPr>
      <w:rFonts w:ascii="Times New Roman" w:hAnsi="Times New Roman" w:cstheme="minorBidi"/>
      <w:sz w:val="22"/>
      <w:lang w:val="es-ES_tradnl" w:eastAsia="zh-CN"/>
    </w:rPr>
  </w:style>
  <w:style w:type="paragraph" w:customStyle="1" w:styleId="Bulletlist1">
    <w:name w:val="Bullet list 1"/>
    <w:basedOn w:val="Normal"/>
    <w:autoRedefine/>
    <w:rsid w:val="00EA221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jc w:val="left"/>
      <w:textAlignment w:val="auto"/>
    </w:pPr>
    <w:rPr>
      <w:rFonts w:eastAsiaTheme="minorEastAsia" w:cstheme="minorHAnsi"/>
      <w:sz w:val="22"/>
      <w:szCs w:val="24"/>
      <w:lang w:val="en-US" w:eastAsia="zh-CN"/>
    </w:rPr>
  </w:style>
  <w:style w:type="paragraph" w:customStyle="1" w:styleId="Call">
    <w:name w:val="Call"/>
    <w:basedOn w:val="Normal"/>
    <w:next w:val="Normal"/>
    <w:link w:val="CallChar"/>
    <w:rsid w:val="000941F7"/>
    <w:pPr>
      <w:keepNext/>
      <w:keepLines/>
      <w:spacing w:before="160"/>
      <w:ind w:left="1134"/>
    </w:pPr>
    <w:rPr>
      <w:i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Italic,Style"/>
    <w:basedOn w:val="DefaultParagraphFont"/>
    <w:qFormat/>
    <w:rsid w:val="000941F7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0941F7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0941F7"/>
    <w:rPr>
      <w:rFonts w:eastAsia="Times New Roman" w:cs="Times New Roman"/>
      <w:szCs w:val="20"/>
    </w:rPr>
  </w:style>
  <w:style w:type="paragraph" w:customStyle="1" w:styleId="Normalaftertitle">
    <w:name w:val="Normal after title"/>
    <w:basedOn w:val="Normal"/>
    <w:next w:val="Normal"/>
    <w:link w:val="NormalaftertitleChar"/>
    <w:rsid w:val="000941F7"/>
    <w:pPr>
      <w:spacing w:before="280"/>
    </w:pPr>
  </w:style>
  <w:style w:type="paragraph" w:customStyle="1" w:styleId="Reasons">
    <w:name w:val="Reasons"/>
    <w:basedOn w:val="Normal"/>
    <w:qFormat/>
    <w:rsid w:val="000941F7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0941F7"/>
    <w:pPr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 w:after="0" w:line="240" w:lineRule="auto"/>
      <w:ind w:left="1134" w:hanging="1134"/>
      <w:jc w:val="center"/>
      <w:textAlignment w:val="baseline"/>
    </w:pPr>
    <w:rPr>
      <w:rFonts w:cs="Times New Roman"/>
      <w:bCs w:val="0"/>
      <w:iCs w:val="0"/>
      <w:color w:val="auto"/>
      <w:sz w:val="28"/>
      <w:szCs w:val="20"/>
      <w:lang w:val="en-GB" w:eastAsia="en-US"/>
    </w:rPr>
  </w:style>
  <w:style w:type="paragraph" w:customStyle="1" w:styleId="Restitle">
    <w:name w:val="Res_title"/>
    <w:basedOn w:val="Normal"/>
    <w:next w:val="Normal"/>
    <w:link w:val="RestitleChar"/>
    <w:rsid w:val="000941F7"/>
    <w:pPr>
      <w:keepNext/>
      <w:keepLines/>
      <w:spacing w:before="240"/>
      <w:jc w:val="center"/>
    </w:pPr>
    <w:rPr>
      <w:b/>
      <w:sz w:val="28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941F7"/>
    <w:rPr>
      <w:rFonts w:eastAsia="Times New Roman" w:cs="Times New Roman"/>
      <w:sz w:val="24"/>
      <w:szCs w:val="20"/>
    </w:rPr>
  </w:style>
  <w:style w:type="character" w:customStyle="1" w:styleId="href">
    <w:name w:val="href"/>
    <w:basedOn w:val="DefaultParagraphFont"/>
    <w:rsid w:val="000941F7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0941F7"/>
    <w:rPr>
      <w:rFonts w:eastAsia="Times New Roman" w:cs="Times New Roman"/>
      <w:i/>
      <w:sz w:val="24"/>
      <w:szCs w:val="20"/>
    </w:rPr>
  </w:style>
  <w:style w:type="character" w:customStyle="1" w:styleId="RestitleChar">
    <w:name w:val="Res_title Char"/>
    <w:basedOn w:val="DefaultParagraphFont"/>
    <w:link w:val="Restitle"/>
    <w:rsid w:val="000941F7"/>
    <w:rPr>
      <w:rFonts w:eastAsia="Times New Roman" w:cs="Times New Roman"/>
      <w:b/>
      <w:sz w:val="28"/>
      <w:szCs w:val="20"/>
    </w:rPr>
  </w:style>
  <w:style w:type="character" w:customStyle="1" w:styleId="ResNoChar">
    <w:name w:val="Res_No Char"/>
    <w:basedOn w:val="DefaultParagraphFont"/>
    <w:link w:val="ResNo"/>
    <w:rsid w:val="000941F7"/>
    <w:rPr>
      <w:rFonts w:eastAsia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1"/>
    <w:unhideWhenUsed/>
    <w:rsid w:val="005366A9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1"/>
    <w:rsid w:val="005366A9"/>
    <w:rPr>
      <w:rFonts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366A9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5366A9"/>
    <w:rPr>
      <w:rFonts w:eastAsia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36 (Rev. Kigali, 2022) – Apoyo a la Unión Africana de Telecomunicaciones</dc:title>
  <dc:subject/>
  <dc:creator>Catalano Moreira, Rossana</dc:creator>
  <cp:keywords/>
  <dc:description/>
  <cp:lastModifiedBy>Catalano Moreira, Rossana</cp:lastModifiedBy>
  <cp:revision>4</cp:revision>
  <cp:lastPrinted>2023-10-17T09:59:00Z</cp:lastPrinted>
  <dcterms:created xsi:type="dcterms:W3CDTF">2023-10-17T09:56:00Z</dcterms:created>
  <dcterms:modified xsi:type="dcterms:W3CDTF">2023-10-17T10:01:00Z</dcterms:modified>
</cp:coreProperties>
</file>