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52F3" w14:textId="77777777" w:rsidR="000600DD" w:rsidRPr="002B2BF7" w:rsidRDefault="000600DD" w:rsidP="000600DD">
      <w:pPr>
        <w:pStyle w:val="ResNo"/>
        <w:rPr>
          <w:lang w:val="ru-RU"/>
        </w:rPr>
      </w:pPr>
      <w:bookmarkStart w:id="0" w:name="_Toc116554182"/>
      <w:r w:rsidRPr="002B2BF7">
        <w:rPr>
          <w:lang w:val="ru-RU"/>
        </w:rPr>
        <w:t xml:space="preserve">РЕЗОЛЮЦИЯ </w:t>
      </w:r>
      <w:r w:rsidRPr="002B2BF7">
        <w:rPr>
          <w:rStyle w:val="href"/>
          <w:lang w:val="ru-RU"/>
        </w:rPr>
        <w:t>36</w:t>
      </w:r>
      <w:r w:rsidRPr="002B2BF7">
        <w:rPr>
          <w:lang w:val="ru-RU"/>
        </w:rPr>
        <w:t xml:space="preserve">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Кигали, 2022 г.)</w:t>
      </w:r>
      <w:bookmarkEnd w:id="0"/>
    </w:p>
    <w:p w14:paraId="212CFB63" w14:textId="77777777" w:rsidR="000600DD" w:rsidRPr="002B2BF7" w:rsidRDefault="000600DD" w:rsidP="000600DD">
      <w:pPr>
        <w:pStyle w:val="Restitle"/>
        <w:rPr>
          <w:lang w:val="ru-RU"/>
        </w:rPr>
      </w:pPr>
      <w:bookmarkStart w:id="1" w:name="_Toc116554183"/>
      <w:r w:rsidRPr="002B2BF7">
        <w:rPr>
          <w:lang w:val="ru-RU"/>
        </w:rPr>
        <w:t>Поддержка Африканского союза электросвязи</w:t>
      </w:r>
      <w:bookmarkEnd w:id="1"/>
    </w:p>
    <w:p w14:paraId="55B4C6E7" w14:textId="77777777" w:rsidR="000600DD" w:rsidRPr="002B2BF7" w:rsidRDefault="000600DD" w:rsidP="000600DD">
      <w:pPr>
        <w:pStyle w:val="Normalaftertitle"/>
        <w:rPr>
          <w:lang w:val="ru-RU"/>
        </w:rPr>
      </w:pPr>
      <w:r w:rsidRPr="002B2BF7">
        <w:rPr>
          <w:lang w:val="ru-RU"/>
        </w:rPr>
        <w:t>Всемирная конференция по развитию электросвязи (Кигали, 2022 г.),</w:t>
      </w:r>
    </w:p>
    <w:p w14:paraId="133F5FC4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t>напоминая</w:t>
      </w:r>
    </w:p>
    <w:p w14:paraId="01499F80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о резолюции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007894F2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о резолюции 73/291 ГА ООН об итоговом документе второй Конференции Организации Объединенных Наций высокого уровня по сотрудничеству Юг-Юг в Буэнос-Айресе;</w:t>
      </w:r>
    </w:p>
    <w:p w14:paraId="2CF6B82C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о Резолюции 25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 г.) Полномочной конференции об укреплении регионального присутствия;</w:t>
      </w:r>
    </w:p>
    <w:p w14:paraId="10042E10" w14:textId="77777777" w:rsidR="000600DD" w:rsidRPr="002B2BF7" w:rsidRDefault="000600DD" w:rsidP="000600DD">
      <w:pPr>
        <w:rPr>
          <w:szCs w:val="22"/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о Резолюции 58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Пусан, 2014 г.) Полномочной конференции, в частности ее раздел</w:t>
      </w:r>
      <w:r w:rsidRPr="002B2BF7">
        <w:rPr>
          <w:szCs w:val="22"/>
          <w:lang w:val="ru-RU"/>
        </w:rPr>
        <w:t xml:space="preserve"> </w:t>
      </w:r>
      <w:r w:rsidRPr="002B2BF7">
        <w:rPr>
          <w:i/>
          <w:iCs/>
          <w:szCs w:val="22"/>
          <w:lang w:val="ru-RU"/>
        </w:rPr>
        <w:t>решает</w:t>
      </w:r>
      <w:r w:rsidRPr="002B2BF7">
        <w:rPr>
          <w:szCs w:val="22"/>
          <w:lang w:val="ru-RU"/>
        </w:rPr>
        <w:t>;</w:t>
      </w:r>
    </w:p>
    <w:p w14:paraId="0B67DE3D" w14:textId="77777777" w:rsidR="000600DD" w:rsidRPr="002B2BF7" w:rsidRDefault="000600DD" w:rsidP="000600DD">
      <w:pPr>
        <w:rPr>
          <w:szCs w:val="22"/>
          <w:lang w:val="ru-RU"/>
        </w:rPr>
      </w:pPr>
      <w:r w:rsidRPr="002B2BF7">
        <w:rPr>
          <w:i/>
          <w:szCs w:val="22"/>
          <w:lang w:val="ru-RU"/>
        </w:rPr>
        <w:t>e)</w:t>
      </w:r>
      <w:r w:rsidRPr="002B2BF7">
        <w:rPr>
          <w:szCs w:val="22"/>
          <w:lang w:val="ru-RU"/>
        </w:rPr>
        <w:tab/>
        <w:t xml:space="preserve">о </w:t>
      </w:r>
      <w:r w:rsidRPr="002B2BF7">
        <w:rPr>
          <w:lang w:val="ru-RU"/>
        </w:rPr>
        <w:t xml:space="preserve">Резолюции 21 </w:t>
      </w:r>
      <w:r w:rsidRPr="002B2BF7">
        <w:rPr>
          <w:szCs w:val="22"/>
          <w:lang w:val="ru-RU"/>
        </w:rPr>
        <w:t>(</w:t>
      </w:r>
      <w:proofErr w:type="spellStart"/>
      <w:r w:rsidRPr="002B2BF7">
        <w:rPr>
          <w:szCs w:val="22"/>
          <w:lang w:val="ru-RU"/>
        </w:rPr>
        <w:t>Пересм</w:t>
      </w:r>
      <w:proofErr w:type="spellEnd"/>
      <w:r w:rsidRPr="002B2BF7">
        <w:rPr>
          <w:szCs w:val="22"/>
          <w:lang w:val="ru-RU"/>
        </w:rPr>
        <w:t>. Кигали, 2022 г.) настоящей Конференции об укреплении координации и сотрудничества с региональными и субрегиональными организациями,</w:t>
      </w:r>
    </w:p>
    <w:p w14:paraId="2AC591C1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t>напоминая далее</w:t>
      </w:r>
    </w:p>
    <w:p w14:paraId="78757529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о резолюции 68/198 ГА ООН об информационно-коммуникационных технологиях (ИКТ) в целях развития;</w:t>
      </w:r>
    </w:p>
    <w:p w14:paraId="4D1C987F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о Резолюции 135 (</w:t>
      </w:r>
      <w:proofErr w:type="spellStart"/>
      <w:r w:rsidRPr="002B2BF7">
        <w:rPr>
          <w:lang w:val="ru-RU"/>
        </w:rPr>
        <w:t>Пересм</w:t>
      </w:r>
      <w:proofErr w:type="spellEnd"/>
      <w:r w:rsidRPr="002B2BF7">
        <w:rPr>
          <w:lang w:val="ru-RU"/>
        </w:rPr>
        <w:t>. Дубай, 2018 г.) Полномочной конференции о роли МСЭ в надежном и устойчивом развитии электросвязи/ИКТ, в оказании технической помощи и консультаций развивающимся странам и в реализации соответствующих национальных, региональных и межрегиональных проектов;</w:t>
      </w:r>
    </w:p>
    <w:p w14:paraId="5D132643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о первой Общесистемной стратегии Организации Объединенных Наций по сотрудничеству Юг-Юг и трехстороннему сотрудничеству в интересах устойчивого развития, открывающую путь к еще более широкому использованию этого ценнейшего механизма,</w:t>
      </w:r>
    </w:p>
    <w:p w14:paraId="42AFC848" w14:textId="77777777" w:rsidR="000600DD" w:rsidRPr="002B2BF7" w:rsidRDefault="000600DD" w:rsidP="000600D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 w:rsidRPr="002B2BF7">
        <w:rPr>
          <w:lang w:val="ru-RU"/>
        </w:rPr>
        <w:br w:type="page"/>
      </w:r>
    </w:p>
    <w:p w14:paraId="6CA35A3B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lastRenderedPageBreak/>
        <w:t>учитывая</w:t>
      </w:r>
    </w:p>
    <w:p w14:paraId="51C96EBC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a)</w:t>
      </w:r>
      <w:r w:rsidRPr="002B2BF7">
        <w:rPr>
          <w:lang w:val="ru-RU"/>
        </w:rPr>
        <w:tab/>
        <w:t>ключевую роль Африканского союза электросвязи (АСЭ) в координации деятельности на континенте и в качестве движущей силы реализации решений конференций и ассамблей МСЭ;</w:t>
      </w:r>
    </w:p>
    <w:p w14:paraId="37AA1251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b)</w:t>
      </w:r>
      <w:r w:rsidRPr="002B2BF7">
        <w:rPr>
          <w:lang w:val="ru-RU"/>
        </w:rPr>
        <w:tab/>
        <w:t>постоянную и настоятельную потребность АСЭ в помощи, поддержке и сотрудничестве;</w:t>
      </w:r>
    </w:p>
    <w:p w14:paraId="128D761C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c)</w:t>
      </w:r>
      <w:r w:rsidRPr="002B2BF7">
        <w:rPr>
          <w:lang w:val="ru-RU"/>
        </w:rPr>
        <w:tab/>
        <w:t>быстрое развитие среды электросвязи/ИКТ, что заставляет АСЭ адаптироваться к происходящим изменениям, чтобы служить интересам своих членов с учетом наличия кадровых и финансовых ресурсов;</w:t>
      </w:r>
    </w:p>
    <w:p w14:paraId="57F8CAFD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d)</w:t>
      </w:r>
      <w:r w:rsidRPr="002B2BF7">
        <w:rPr>
          <w:lang w:val="ru-RU"/>
        </w:rPr>
        <w:tab/>
        <w:t>что в условиях цифровой трансформации электросвязь/ИКТ становятся одним из наиболее важных катализаторов экономического роста в развивающихся странах</w:t>
      </w:r>
      <w:r w:rsidRPr="002B2BF7">
        <w:rPr>
          <w:rStyle w:val="FootnoteReference"/>
          <w:lang w:val="ru-RU"/>
        </w:rPr>
        <w:footnoteReference w:id="1"/>
      </w:r>
      <w:r w:rsidRPr="002B2BF7">
        <w:rPr>
          <w:lang w:val="ru-RU"/>
        </w:rPr>
        <w:t>;</w:t>
      </w:r>
    </w:p>
    <w:p w14:paraId="7E903C4D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e)</w:t>
      </w:r>
      <w:r w:rsidRPr="002B2BF7">
        <w:rPr>
          <w:lang w:val="ru-RU"/>
        </w:rPr>
        <w:tab/>
        <w:t>необходимость иметь общую платформу, на которой африканские страны могут координировать, согласовывать и объединять усилия, прилагаемые к ускорению развития электросвязи/ИКТ на региональном, межрегиональном и глобальном уровнях с целью решения задач и достижения целевых показателей, установленных в Стратегическом плане МСЭ, Повестке дня в области развития на период до 2030 года и Повестке дня Африканского союза на период до 2063 года;</w:t>
      </w:r>
    </w:p>
    <w:p w14:paraId="7E66417E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lang w:val="ru-RU"/>
        </w:rPr>
        <w:t>f)</w:t>
      </w:r>
      <w:r w:rsidRPr="002B2BF7">
        <w:rPr>
          <w:lang w:val="ru-RU"/>
        </w:rPr>
        <w:tab/>
        <w:t>что Сектору развития электросвязи МСЭ следует оказывать надлежащую поддержку региональным и субрегиональным организациям электросвязи, чтобы содействовать их активному участию в деятельности на различных этапах модели управления проектами, установленной МСЭ, а также в налаживании партнерских отношений и мобилизации ресурсов для поддержки реализации региональных инициатив,</w:t>
      </w:r>
    </w:p>
    <w:p w14:paraId="33EB71CA" w14:textId="77777777" w:rsidR="000600DD" w:rsidRPr="002B2BF7" w:rsidRDefault="000600DD" w:rsidP="000600DD">
      <w:pPr>
        <w:pStyle w:val="Call"/>
        <w:rPr>
          <w:i w:val="0"/>
          <w:iCs/>
          <w:lang w:val="ru-RU"/>
        </w:rPr>
      </w:pPr>
      <w:r w:rsidRPr="002B2BF7">
        <w:rPr>
          <w:lang w:val="ru-RU"/>
        </w:rPr>
        <w:t>признавая</w:t>
      </w:r>
      <w:r w:rsidRPr="002B2BF7">
        <w:rPr>
          <w:i w:val="0"/>
          <w:iCs/>
          <w:lang w:val="ru-RU"/>
        </w:rPr>
        <w:t>,</w:t>
      </w:r>
    </w:p>
    <w:p w14:paraId="6A792553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iCs/>
          <w:lang w:val="ru-RU"/>
        </w:rPr>
        <w:t>a)</w:t>
      </w:r>
      <w:r w:rsidRPr="002B2BF7">
        <w:rPr>
          <w:lang w:val="ru-RU"/>
        </w:rPr>
        <w:tab/>
        <w:t>что региональные организации лучше знакомы с реальными проблемами и трудностями, с которыми сталкиваются Государства-Члены региона, и имеют более полное представление о том, как эффективно и действенно преодолевать эти трудности;</w:t>
      </w:r>
    </w:p>
    <w:p w14:paraId="4499E447" w14:textId="77777777" w:rsidR="000600DD" w:rsidRPr="002B2BF7" w:rsidRDefault="000600DD" w:rsidP="000600DD">
      <w:pPr>
        <w:rPr>
          <w:i/>
          <w:iCs/>
          <w:lang w:val="ru-RU"/>
        </w:rPr>
      </w:pPr>
      <w:r w:rsidRPr="002B2BF7">
        <w:rPr>
          <w:i/>
          <w:iCs/>
          <w:lang w:val="ru-RU"/>
        </w:rPr>
        <w:t>b)</w:t>
      </w:r>
      <w:r w:rsidRPr="002B2BF7">
        <w:rPr>
          <w:lang w:val="ru-RU"/>
        </w:rPr>
        <w:tab/>
        <w:t>что МСЭ и региональные организации разделяют общую убежденность в том, что тесное сотрудничество может содействовать региональному развитию электросвязи/ИКТ в целях поддержки Государств-Членов в регионе;</w:t>
      </w:r>
      <w:r w:rsidRPr="002B2BF7">
        <w:rPr>
          <w:i/>
          <w:iCs/>
          <w:lang w:val="ru-RU"/>
        </w:rPr>
        <w:br w:type="page"/>
      </w:r>
    </w:p>
    <w:p w14:paraId="5ED74CAF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iCs/>
          <w:lang w:val="ru-RU"/>
        </w:rPr>
        <w:lastRenderedPageBreak/>
        <w:t>c)</w:t>
      </w:r>
      <w:r w:rsidRPr="002B2BF7">
        <w:rPr>
          <w:lang w:val="ru-RU"/>
        </w:rPr>
        <w:tab/>
        <w:t>что существует постоянная необходимость в более тесном сотрудничестве МСЭ с региональными организациями в целях поддержки Государств-Членов региона;</w:t>
      </w:r>
    </w:p>
    <w:p w14:paraId="04A5CE10" w14:textId="77777777" w:rsidR="000600DD" w:rsidRPr="002B2BF7" w:rsidRDefault="000600DD" w:rsidP="000600DD">
      <w:pPr>
        <w:rPr>
          <w:lang w:val="ru-RU"/>
        </w:rPr>
      </w:pPr>
      <w:r w:rsidRPr="002B2BF7">
        <w:rPr>
          <w:i/>
          <w:iCs/>
          <w:lang w:val="ru-RU"/>
        </w:rPr>
        <w:t>d)</w:t>
      </w:r>
      <w:r w:rsidRPr="002B2BF7">
        <w:rPr>
          <w:lang w:val="ru-RU"/>
        </w:rPr>
        <w:tab/>
        <w:t>что региональные организации играют важную роль в определении общих приоритетов и интересов, обеспечивая при этом более эффективную координацию между Государствами-Членами, а также их участие во всех видах деятельности, планах, проектах и т.</w:t>
      </w:r>
      <w:r w:rsidRPr="002B2BF7">
        <w:rPr>
          <w:lang w:val="en-US"/>
        </w:rPr>
        <w:t> </w:t>
      </w:r>
      <w:r w:rsidRPr="002B2BF7">
        <w:rPr>
          <w:lang w:val="ru-RU"/>
        </w:rPr>
        <w:t>д. в области электросвязи/ИКТ,</w:t>
      </w:r>
    </w:p>
    <w:p w14:paraId="67DEF249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t>отмечая</w:t>
      </w:r>
      <w:r w:rsidRPr="002B2BF7">
        <w:rPr>
          <w:i w:val="0"/>
          <w:iCs/>
          <w:lang w:val="ru-RU"/>
        </w:rPr>
        <w:t>,</w:t>
      </w:r>
    </w:p>
    <w:p w14:paraId="6F01B661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что соответствующие региональные организации играют значимую и важную роль в деле оказания поддержки развивающимся странам в таких областях, как региональное сотрудничество и деятельность по оказанию технической помощи,</w:t>
      </w:r>
    </w:p>
    <w:p w14:paraId="2FBE9B9A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t>решает поручить Директору Бюро развития электросвязи в сотрудничестве с Директором Бюро радиосвязи и Директором Бюро стандартизации электросвязи</w:t>
      </w:r>
    </w:p>
    <w:p w14:paraId="3E64403B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 xml:space="preserve">предпринять все необходимые шаги для включения АСЭ в деятельность по выполнению </w:t>
      </w:r>
      <w:proofErr w:type="spellStart"/>
      <w:r w:rsidRPr="002B2BF7">
        <w:rPr>
          <w:lang w:val="ru-RU"/>
        </w:rPr>
        <w:t>Кигалийского</w:t>
      </w:r>
      <w:proofErr w:type="spellEnd"/>
      <w:r w:rsidRPr="002B2BF7">
        <w:rPr>
          <w:lang w:val="ru-RU"/>
        </w:rPr>
        <w:t xml:space="preserve"> плана действий 2022 года в части поддержки африканского сектора электросвязи/ИКТ;</w:t>
      </w:r>
    </w:p>
    <w:p w14:paraId="2700F6BF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2</w:t>
      </w:r>
      <w:r w:rsidRPr="002B2BF7">
        <w:rPr>
          <w:lang w:val="ru-RU"/>
        </w:rPr>
        <w:tab/>
        <w:t>мобилизовать и оказать необходимую поддержку АСЭ, с тем чтобы он играл ведущую роль и координировал действия соответствующих структур, участвующих в деятельности в области ИКТ на региональном уровне;</w:t>
      </w:r>
    </w:p>
    <w:p w14:paraId="6B06B2A9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укреплять отношения с региональными и субрегиональными организациями электросвязи, чтобы добиться эффекта синергии от их совместной деятельности, который может помочь в реализации этих региональных инициатив;</w:t>
      </w:r>
    </w:p>
    <w:p w14:paraId="7B00DCDA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продолжать использовать необходимые кадровые и финансовые ресурсы для обеспечения регионального присутствия МСЭ и расширять их доступность, оказывая поддержку АСЭ,</w:t>
      </w:r>
    </w:p>
    <w:p w14:paraId="6B2580EB" w14:textId="77777777" w:rsidR="000600DD" w:rsidRPr="002B2BF7" w:rsidRDefault="000600DD" w:rsidP="000600DD">
      <w:pPr>
        <w:pStyle w:val="Call"/>
        <w:rPr>
          <w:lang w:val="ru-RU"/>
        </w:rPr>
      </w:pPr>
      <w:r w:rsidRPr="002B2BF7">
        <w:rPr>
          <w:lang w:val="ru-RU"/>
        </w:rPr>
        <w:t>просит Генерального секретаря и поручает Директору Бюро развития электросвязи</w:t>
      </w:r>
    </w:p>
    <w:p w14:paraId="18CF9C9A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1</w:t>
      </w:r>
      <w:r w:rsidRPr="002B2BF7">
        <w:rPr>
          <w:lang w:val="ru-RU"/>
        </w:rPr>
        <w:tab/>
        <w:t>предпринимать все необходимые шаги для определения новых областей сотрудничества на ежегодной основе и оказывать АСЭ всю необходимую поддержку и помощь, включая административную, финансовую, материально-техническую и информационно-технологическую/техническую поддержку, в частности, активизируя, расширяя и укрепляя сотрудничество между АСЭ и Региональным отделением МСЭ для Африки, а также предоставляя экспертов этой организации;</w:t>
      </w:r>
      <w:r w:rsidRPr="002B2BF7">
        <w:rPr>
          <w:lang w:val="ru-RU"/>
        </w:rPr>
        <w:br w:type="page"/>
      </w:r>
    </w:p>
    <w:p w14:paraId="6FB782B4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lastRenderedPageBreak/>
        <w:t>2</w:t>
      </w:r>
      <w:r w:rsidRPr="002B2BF7">
        <w:rPr>
          <w:lang w:val="ru-RU"/>
        </w:rPr>
        <w:tab/>
        <w:t>координировать деятельность и сотрудничать с соответствующими организациями системы Организации Объединенных Наций, такими как Управление Организации Объединенных Наций по сотрудничеству Юг-Юг, по вопросам электросвязи/ИКТ, в том числе с использованием соответствующих механизмов финансирования, оказывая поддержку АСЭ;</w:t>
      </w:r>
    </w:p>
    <w:p w14:paraId="6E1E2D85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3</w:t>
      </w:r>
      <w:r w:rsidRPr="002B2BF7">
        <w:rPr>
          <w:lang w:val="ru-RU"/>
        </w:rPr>
        <w:tab/>
        <w:t>на основе плана работы на год разработать стратегию партнерских отношений между АСЭ и МСЭ, которая могла бы в большей степени способствовать реализации региональных инициатив и всех намеченных совместных мероприятий;</w:t>
      </w:r>
    </w:p>
    <w:p w14:paraId="16C54A85" w14:textId="77777777" w:rsidR="000600DD" w:rsidRPr="002B2BF7" w:rsidRDefault="000600DD" w:rsidP="000600DD">
      <w:pPr>
        <w:rPr>
          <w:lang w:val="ru-RU"/>
        </w:rPr>
      </w:pPr>
      <w:r w:rsidRPr="002B2BF7">
        <w:rPr>
          <w:lang w:val="ru-RU"/>
        </w:rPr>
        <w:t>4</w:t>
      </w:r>
      <w:r w:rsidRPr="002B2BF7">
        <w:rPr>
          <w:lang w:val="ru-RU"/>
        </w:rPr>
        <w:tab/>
        <w:t>довести настоящую Резолюцию до сведения Полномочной конференции в целях рассмотрения и принятия необходимых мер.</w:t>
      </w:r>
    </w:p>
    <w:p w14:paraId="29C885E4" w14:textId="77777777" w:rsidR="000600DD" w:rsidRPr="002B2BF7" w:rsidRDefault="000600DD" w:rsidP="000600DD">
      <w:pPr>
        <w:pStyle w:val="Reasons"/>
        <w:rPr>
          <w:lang w:val="ru-RU"/>
        </w:rPr>
      </w:pPr>
    </w:p>
    <w:p w14:paraId="0CC550CD" w14:textId="77777777" w:rsidR="000600DD" w:rsidRPr="002B2BF7" w:rsidRDefault="000600DD" w:rsidP="000600DD">
      <w:pPr>
        <w:pStyle w:val="Reasons"/>
        <w:rPr>
          <w:lang w:val="ru-RU"/>
        </w:rPr>
      </w:pPr>
    </w:p>
    <w:p w14:paraId="08B97B34" w14:textId="77777777" w:rsidR="000600DD" w:rsidRPr="002B2BF7" w:rsidRDefault="000600DD" w:rsidP="000600DD">
      <w:pPr>
        <w:pStyle w:val="Reasons"/>
        <w:rPr>
          <w:lang w:val="ru-RU"/>
        </w:rPr>
      </w:pPr>
    </w:p>
    <w:p w14:paraId="4EB82C3E" w14:textId="77777777" w:rsidR="000600DD" w:rsidRPr="002B2BF7" w:rsidRDefault="000600DD" w:rsidP="000600DD">
      <w:pPr>
        <w:pStyle w:val="Reasons"/>
        <w:rPr>
          <w:lang w:val="ru-RU"/>
        </w:rPr>
      </w:pPr>
    </w:p>
    <w:p w14:paraId="0A8622C4" w14:textId="77777777" w:rsidR="000600DD" w:rsidRPr="002B2BF7" w:rsidRDefault="000600DD" w:rsidP="000600DD">
      <w:pPr>
        <w:pStyle w:val="Reasons"/>
        <w:rPr>
          <w:lang w:val="ru-RU"/>
        </w:rPr>
      </w:pPr>
    </w:p>
    <w:p w14:paraId="56F05D51" w14:textId="77777777" w:rsidR="000600DD" w:rsidRPr="002B2BF7" w:rsidRDefault="000600DD" w:rsidP="000600DD">
      <w:pPr>
        <w:pStyle w:val="Reasons"/>
        <w:rPr>
          <w:lang w:val="ru-RU"/>
        </w:rPr>
      </w:pPr>
    </w:p>
    <w:p w14:paraId="5E38DB65" w14:textId="77777777" w:rsidR="000600DD" w:rsidRPr="002B2BF7" w:rsidRDefault="000600DD" w:rsidP="000600DD">
      <w:pPr>
        <w:pStyle w:val="Reasons"/>
        <w:rPr>
          <w:lang w:val="ru-RU"/>
        </w:rPr>
      </w:pPr>
    </w:p>
    <w:p w14:paraId="46458BE8" w14:textId="77777777" w:rsidR="000600DD" w:rsidRPr="002B2BF7" w:rsidRDefault="000600DD" w:rsidP="000600DD">
      <w:pPr>
        <w:pStyle w:val="Reasons"/>
        <w:rPr>
          <w:lang w:val="ru-RU"/>
        </w:rPr>
      </w:pPr>
    </w:p>
    <w:p w14:paraId="7515116E" w14:textId="77777777" w:rsidR="000600DD" w:rsidRPr="002B2BF7" w:rsidRDefault="000600DD" w:rsidP="000600DD">
      <w:pPr>
        <w:pStyle w:val="Reasons"/>
        <w:rPr>
          <w:lang w:val="ru-RU"/>
        </w:rPr>
      </w:pPr>
    </w:p>
    <w:p w14:paraId="444A941C" w14:textId="77777777" w:rsidR="000600DD" w:rsidRPr="002B2BF7" w:rsidRDefault="000600DD" w:rsidP="000600DD">
      <w:pPr>
        <w:pStyle w:val="Reasons"/>
        <w:rPr>
          <w:lang w:val="ru-RU"/>
        </w:rPr>
      </w:pPr>
    </w:p>
    <w:p w14:paraId="7C20C66B" w14:textId="77777777" w:rsidR="000600DD" w:rsidRPr="002B2BF7" w:rsidRDefault="000600DD" w:rsidP="000600DD">
      <w:pPr>
        <w:pStyle w:val="Reasons"/>
        <w:rPr>
          <w:lang w:val="ru-RU"/>
        </w:rPr>
      </w:pPr>
    </w:p>
    <w:p w14:paraId="3FBB6BCD" w14:textId="77777777" w:rsidR="00E45F09" w:rsidRPr="000600DD" w:rsidRDefault="00E45F09" w:rsidP="000600DD">
      <w:pPr>
        <w:rPr>
          <w:lang w:val="ru-RU"/>
        </w:rPr>
      </w:pPr>
    </w:p>
    <w:sectPr w:rsidR="00E45F09" w:rsidRPr="000600DD" w:rsidSect="003E5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AEC4" w14:textId="77777777" w:rsidR="003E584B" w:rsidRDefault="003E584B" w:rsidP="003E584B">
      <w:pPr>
        <w:spacing w:before="0"/>
      </w:pPr>
      <w:r>
        <w:separator/>
      </w:r>
    </w:p>
  </w:endnote>
  <w:endnote w:type="continuationSeparator" w:id="0">
    <w:p w14:paraId="55BD7F9B" w14:textId="77777777" w:rsidR="003E584B" w:rsidRDefault="003E584B" w:rsidP="003E584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2D65" w14:textId="77777777" w:rsidR="003E584B" w:rsidRDefault="003E5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6E26" w14:textId="77777777" w:rsidR="003E584B" w:rsidRDefault="003E5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AAEB" w14:textId="77777777" w:rsidR="003E584B" w:rsidRDefault="003E5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58AD" w14:textId="77777777" w:rsidR="003E584B" w:rsidRDefault="003E584B" w:rsidP="003E584B">
      <w:pPr>
        <w:spacing w:before="0"/>
      </w:pPr>
      <w:r>
        <w:separator/>
      </w:r>
    </w:p>
  </w:footnote>
  <w:footnote w:type="continuationSeparator" w:id="0">
    <w:p w14:paraId="72557AB2" w14:textId="77777777" w:rsidR="003E584B" w:rsidRDefault="003E584B" w:rsidP="003E584B">
      <w:pPr>
        <w:spacing w:before="0"/>
      </w:pPr>
      <w:r>
        <w:continuationSeparator/>
      </w:r>
    </w:p>
  </w:footnote>
  <w:footnote w:id="1">
    <w:p w14:paraId="1068E552" w14:textId="77777777" w:rsidR="000600DD" w:rsidRPr="001355DC" w:rsidRDefault="000600DD" w:rsidP="000600D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 w:rsidRPr="0054520C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157714"/>
      <w:docPartObj>
        <w:docPartGallery w:val="Page Numbers (Top of Page)"/>
        <w:docPartUnique/>
      </w:docPartObj>
    </w:sdtPr>
    <w:sdtEndPr>
      <w:rPr>
        <w:noProof/>
        <w:szCs w:val="22"/>
      </w:rPr>
    </w:sdtEndPr>
    <w:sdtContent>
      <w:p w14:paraId="4EAB3C34" w14:textId="424D839F" w:rsidR="003E584B" w:rsidRPr="003E584B" w:rsidRDefault="003E584B" w:rsidP="003E584B">
        <w:pPr>
          <w:pStyle w:val="Header"/>
          <w:tabs>
            <w:tab w:val="clear" w:pos="4513"/>
            <w:tab w:val="left" w:pos="851"/>
          </w:tabs>
          <w:jc w:val="left"/>
          <w:rPr>
            <w:szCs w:val="22"/>
            <w:lang w:val="ru-RU"/>
          </w:rPr>
        </w:pPr>
        <w:r w:rsidRPr="00BF1EE0">
          <w:rPr>
            <w:szCs w:val="22"/>
          </w:rPr>
          <w:fldChar w:fldCharType="begin"/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instrText>PAGE</w:instrText>
        </w:r>
        <w:r w:rsidRPr="00E3202A">
          <w:rPr>
            <w:szCs w:val="22"/>
            <w:lang w:val="ru-RU"/>
          </w:rPr>
          <w:instrText xml:space="preserve">   \* </w:instrText>
        </w:r>
        <w:r w:rsidRPr="00BF1EE0">
          <w:rPr>
            <w:szCs w:val="22"/>
          </w:rPr>
          <w:instrText>MERGEFORMAT</w:instrText>
        </w:r>
        <w:r w:rsidRPr="00E3202A">
          <w:rPr>
            <w:szCs w:val="22"/>
            <w:lang w:val="ru-RU"/>
          </w:rPr>
          <w:instrText xml:space="preserve"> </w:instrText>
        </w:r>
        <w:r w:rsidRPr="00BF1EE0">
          <w:rPr>
            <w:szCs w:val="22"/>
          </w:rPr>
          <w:fldChar w:fldCharType="separate"/>
        </w:r>
        <w:r w:rsidRPr="003E584B">
          <w:rPr>
            <w:szCs w:val="22"/>
            <w:lang w:val="ru-RU"/>
          </w:rPr>
          <w:t>144</w:t>
        </w:r>
        <w:r w:rsidRPr="00BF1EE0">
          <w:rPr>
            <w:noProof/>
            <w:szCs w:val="22"/>
          </w:rPr>
          <w:fldChar w:fldCharType="end"/>
        </w:r>
        <w:r w:rsidRPr="00E3202A">
          <w:rPr>
            <w:noProof/>
            <w:szCs w:val="22"/>
            <w:lang w:val="ru-RU"/>
          </w:rPr>
          <w:tab/>
        </w:r>
        <w:r w:rsidRPr="00E3202A">
          <w:rPr>
            <w:szCs w:val="22"/>
            <w:lang w:val="ru-RU"/>
          </w:rPr>
          <w:t xml:space="preserve">Заключительный отчет ВКРЭ-22 – Часть </w:t>
        </w:r>
        <w:r w:rsidRPr="00895A25">
          <w:rPr>
            <w:szCs w:val="22"/>
          </w:rPr>
          <w:t>IV</w:t>
        </w:r>
        <w:r w:rsidRPr="00E3202A">
          <w:rPr>
            <w:szCs w:val="22"/>
            <w:lang w:val="ru-RU"/>
          </w:rPr>
          <w:t xml:space="preserve"> – </w:t>
        </w:r>
        <w:r w:rsidRPr="00895A25">
          <w:rPr>
            <w:szCs w:val="22"/>
            <w:lang w:val="ru-RU"/>
          </w:rPr>
          <w:t>Резолюци</w:t>
        </w:r>
        <w:r>
          <w:rPr>
            <w:szCs w:val="22"/>
            <w:lang w:val="ru-RU"/>
          </w:rPr>
          <w:t xml:space="preserve">я </w:t>
        </w:r>
        <w:r w:rsidRPr="00F910FE">
          <w:rPr>
            <w:szCs w:val="22"/>
          </w:rPr>
          <w:fldChar w:fldCharType="begin"/>
        </w:r>
        <w:r w:rsidRPr="00F910FE">
          <w:rPr>
            <w:szCs w:val="22"/>
          </w:rPr>
          <w:instrText>styleref</w:instrText>
        </w:r>
        <w:r w:rsidRPr="00E3202A">
          <w:rPr>
            <w:szCs w:val="22"/>
            <w:lang w:val="ru-RU"/>
          </w:rPr>
          <w:instrText xml:space="preserve"> </w:instrText>
        </w:r>
        <w:r w:rsidRPr="00F910FE">
          <w:rPr>
            <w:szCs w:val="22"/>
          </w:rPr>
          <w:instrText>href</w:instrText>
        </w:r>
        <w:r w:rsidRPr="00F910FE">
          <w:rPr>
            <w:szCs w:val="22"/>
          </w:rPr>
          <w:fldChar w:fldCharType="separate"/>
        </w:r>
        <w:r w:rsidR="000600DD">
          <w:rPr>
            <w:noProof/>
            <w:szCs w:val="22"/>
          </w:rPr>
          <w:t>36</w:t>
        </w:r>
        <w:r w:rsidRPr="00F910FE">
          <w:rPr>
            <w:szCs w:val="22"/>
            <w:lang w:val="ru-RU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0513" w14:textId="7DEFEE3A" w:rsidR="003E584B" w:rsidRPr="003E584B" w:rsidRDefault="003E584B" w:rsidP="003E584B">
    <w:pPr>
      <w:pStyle w:val="Header"/>
      <w:tabs>
        <w:tab w:val="clear" w:pos="4513"/>
        <w:tab w:val="clear" w:pos="9026"/>
        <w:tab w:val="right" w:pos="8789"/>
        <w:tab w:val="right" w:pos="9639"/>
      </w:tabs>
      <w:jc w:val="right"/>
      <w:rPr>
        <w:szCs w:val="22"/>
        <w:lang w:val="ru-RU"/>
      </w:rPr>
    </w:pPr>
    <w:r>
      <w:rPr>
        <w:szCs w:val="22"/>
      </w:rPr>
      <w:tab/>
    </w:r>
    <w:r w:rsidRPr="00E3202A">
      <w:rPr>
        <w:szCs w:val="22"/>
        <w:lang w:val="ru-RU"/>
      </w:rPr>
      <w:t xml:space="preserve">Заключительный отчет ВКРЭ-22 – Часть </w:t>
    </w:r>
    <w:r w:rsidRPr="00895A25">
      <w:rPr>
        <w:szCs w:val="22"/>
      </w:rPr>
      <w:t>IV</w:t>
    </w:r>
    <w:r w:rsidRPr="00895A25">
      <w:rPr>
        <w:szCs w:val="22"/>
        <w:lang w:val="ru-RU"/>
      </w:rPr>
      <w:t xml:space="preserve"> − Резолюци</w:t>
    </w:r>
    <w:r>
      <w:rPr>
        <w:szCs w:val="22"/>
        <w:lang w:val="ru-RU"/>
      </w:rPr>
      <w:t xml:space="preserve">я </w:t>
    </w:r>
    <w:r w:rsidRPr="00F910FE">
      <w:rPr>
        <w:szCs w:val="22"/>
      </w:rPr>
      <w:fldChar w:fldCharType="begin"/>
    </w:r>
    <w:r w:rsidRPr="00F910FE">
      <w:rPr>
        <w:szCs w:val="22"/>
      </w:rPr>
      <w:instrText>styleref</w:instrText>
    </w:r>
    <w:r w:rsidRPr="00E3202A">
      <w:rPr>
        <w:szCs w:val="22"/>
        <w:lang w:val="ru-RU"/>
      </w:rPr>
      <w:instrText xml:space="preserve"> </w:instrText>
    </w:r>
    <w:r w:rsidRPr="00F910FE">
      <w:rPr>
        <w:szCs w:val="22"/>
      </w:rPr>
      <w:instrText>href</w:instrText>
    </w:r>
    <w:r w:rsidRPr="00F910FE">
      <w:rPr>
        <w:szCs w:val="22"/>
      </w:rPr>
      <w:fldChar w:fldCharType="separate"/>
    </w:r>
    <w:r w:rsidR="000600DD">
      <w:rPr>
        <w:noProof/>
        <w:szCs w:val="22"/>
      </w:rPr>
      <w:t>36</w:t>
    </w:r>
    <w:r w:rsidRPr="00F910FE">
      <w:rPr>
        <w:szCs w:val="22"/>
        <w:lang w:val="ru-RU"/>
      </w:rPr>
      <w:fldChar w:fldCharType="end"/>
    </w:r>
    <w:r w:rsidRPr="00E3202A">
      <w:rPr>
        <w:szCs w:val="22"/>
        <w:lang w:val="ru-RU"/>
      </w:rPr>
      <w:tab/>
    </w:r>
    <w:r w:rsidRPr="00763A31">
      <w:fldChar w:fldCharType="begin"/>
    </w:r>
    <w:r w:rsidRPr="00E3202A">
      <w:rPr>
        <w:lang w:val="ru-RU"/>
      </w:rPr>
      <w:instrText xml:space="preserve"> </w:instrText>
    </w:r>
    <w:r w:rsidRPr="00763A31">
      <w:instrText>PAGE</w:instrText>
    </w:r>
    <w:r w:rsidRPr="00E3202A">
      <w:rPr>
        <w:lang w:val="ru-RU"/>
      </w:rPr>
      <w:instrText xml:space="preserve">   \* </w:instrText>
    </w:r>
    <w:r w:rsidRPr="00763A31">
      <w:instrText>MERGEFORMAT</w:instrText>
    </w:r>
    <w:r w:rsidRPr="00E3202A">
      <w:rPr>
        <w:lang w:val="ru-RU"/>
      </w:rPr>
      <w:instrText xml:space="preserve"> </w:instrText>
    </w:r>
    <w:r w:rsidRPr="00763A31">
      <w:fldChar w:fldCharType="separate"/>
    </w:r>
    <w:r w:rsidRPr="003E584B">
      <w:rPr>
        <w:lang w:val="ru-RU"/>
      </w:rPr>
      <w:t>143</w:t>
    </w:r>
    <w:r w:rsidRPr="00763A3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7C37" w14:textId="77777777" w:rsidR="003E584B" w:rsidRDefault="003E58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B"/>
    <w:rsid w:val="000600DD"/>
    <w:rsid w:val="000D1BE4"/>
    <w:rsid w:val="000F689C"/>
    <w:rsid w:val="003E584B"/>
    <w:rsid w:val="00DD3985"/>
    <w:rsid w:val="00E45F09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2872"/>
  <w15:chartTrackingRefBased/>
  <w15:docId w15:val="{5D9E5091-FCB2-40A4-8374-0543ED6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3E584B"/>
    <w:pPr>
      <w:keepNext/>
      <w:keepLines/>
      <w:spacing w:before="160"/>
      <w:ind w:left="113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3E584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Reasons">
    <w:name w:val="Reasons"/>
    <w:basedOn w:val="Normal"/>
    <w:qFormat/>
    <w:rsid w:val="003E584B"/>
    <w:pPr>
      <w:tabs>
        <w:tab w:val="clear" w:pos="2268"/>
        <w:tab w:val="left" w:pos="1588"/>
        <w:tab w:val="left" w:pos="1985"/>
      </w:tabs>
    </w:pPr>
  </w:style>
  <w:style w:type="paragraph" w:customStyle="1" w:styleId="ResNo">
    <w:name w:val="Res_No"/>
    <w:basedOn w:val="Heading2"/>
    <w:next w:val="Normal"/>
    <w:link w:val="ResNoChar"/>
    <w:rsid w:val="003E584B"/>
    <w:pPr>
      <w:spacing w:before="200"/>
      <w:ind w:left="1134" w:hanging="1134"/>
      <w:jc w:val="center"/>
      <w:outlineLvl w:val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Restitle">
    <w:name w:val="Res_title"/>
    <w:basedOn w:val="Heading2"/>
    <w:next w:val="Normal"/>
    <w:link w:val="RestitleChar"/>
    <w:rsid w:val="003E584B"/>
    <w:pPr>
      <w:tabs>
        <w:tab w:val="clear" w:pos="1134"/>
        <w:tab w:val="clear" w:pos="1871"/>
        <w:tab w:val="clear" w:pos="2268"/>
      </w:tabs>
      <w:spacing w:before="200"/>
      <w:jc w:val="center"/>
    </w:pPr>
    <w:rPr>
      <w:rFonts w:ascii="Calibri" w:eastAsia="Times New Roman" w:hAnsi="Calibri" w:cs="Times New Roman"/>
      <w:b/>
      <w:color w:val="auto"/>
      <w:sz w:val="28"/>
      <w:szCs w:val="20"/>
    </w:rPr>
  </w:style>
  <w:style w:type="character" w:customStyle="1" w:styleId="href">
    <w:name w:val="href"/>
    <w:basedOn w:val="DefaultParagraphFont"/>
    <w:rsid w:val="003E584B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3E584B"/>
    <w:rPr>
      <w:rFonts w:ascii="Calibri" w:eastAsia="Times New Roman" w:hAnsi="Calibri" w:cs="Times New Roman"/>
      <w:i/>
      <w:kern w:val="0"/>
      <w:sz w:val="24"/>
      <w:szCs w:val="20"/>
      <w14:ligatures w14:val="none"/>
    </w:rPr>
  </w:style>
  <w:style w:type="character" w:customStyle="1" w:styleId="ResNoChar">
    <w:name w:val="Res_No Char"/>
    <w:basedOn w:val="DefaultParagraphFont"/>
    <w:link w:val="ResNo"/>
    <w:rsid w:val="003E584B"/>
    <w:rPr>
      <w:rFonts w:ascii="Calibri" w:eastAsia="Times New Roman" w:hAnsi="Calibri" w:cs="Times New Roman"/>
      <w:kern w:val="0"/>
      <w:sz w:val="28"/>
      <w:szCs w:val="20"/>
      <w14:ligatures w14:val="none"/>
    </w:rPr>
  </w:style>
  <w:style w:type="character" w:customStyle="1" w:styleId="RestitleChar">
    <w:name w:val="Res_title Char"/>
    <w:basedOn w:val="DefaultParagraphFont"/>
    <w:link w:val="Restitle"/>
    <w:rsid w:val="003E584B"/>
    <w:rPr>
      <w:rFonts w:ascii="Calibri" w:eastAsia="Times New Roman" w:hAnsi="Calibri" w:cs="Times New Roman"/>
      <w:b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8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E584B"/>
    <w:rPr>
      <w:rFonts w:ascii="Calibri" w:eastAsia="Times New Roman" w:hAnsi="Calibri" w:cs="Times New Roman"/>
      <w:kern w:val="0"/>
      <w:sz w:val="1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584B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E584B"/>
    <w:rPr>
      <w:rFonts w:ascii="Calibri" w:eastAsia="Times New Roman" w:hAnsi="Calibri" w:cs="Times New Roman"/>
      <w:kern w:val="0"/>
      <w:sz w:val="24"/>
      <w:szCs w:val="20"/>
      <w14:ligatures w14:val="none"/>
    </w:rPr>
  </w:style>
  <w:style w:type="paragraph" w:customStyle="1" w:styleId="Normalcenteraligned">
    <w:name w:val="Normal center aligned"/>
    <w:basedOn w:val="Normal"/>
    <w:rsid w:val="000D1BE4"/>
    <w:pPr>
      <w:jc w:val="center"/>
    </w:pPr>
    <w:rPr>
      <w:rFonts w:eastAsia="SimSun"/>
    </w:rPr>
  </w:style>
  <w:style w:type="character" w:styleId="FootnoteReference">
    <w:name w:val="footnote reference"/>
    <w:basedOn w:val="DefaultParagraphFont"/>
    <w:rsid w:val="000600D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0600DD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0600DD"/>
    <w:rPr>
      <w:rFonts w:ascii="Calibri" w:eastAsia="Times New Roman" w:hAnsi="Calibri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A771-F19C-48C8-A8DF-69AD9E9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Berdyeva, Elena</dc:creator>
  <cp:keywords/>
  <dc:description/>
  <cp:lastModifiedBy>Berdyeva, Elena</cp:lastModifiedBy>
  <cp:revision>3</cp:revision>
  <dcterms:created xsi:type="dcterms:W3CDTF">2023-10-16T12:49:00Z</dcterms:created>
  <dcterms:modified xsi:type="dcterms:W3CDTF">2023-10-16T13:01:00Z</dcterms:modified>
</cp:coreProperties>
</file>