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5D5B" w14:textId="77777777" w:rsidR="0046286E" w:rsidRPr="007D4F79" w:rsidRDefault="0046286E" w:rsidP="0046286E">
      <w:pPr>
        <w:pStyle w:val="ResNo"/>
        <w:rPr>
          <w:lang w:val="fr-FR"/>
        </w:rPr>
      </w:pPr>
      <w:bookmarkStart w:id="0" w:name="_Toc116542364"/>
      <w:r w:rsidRPr="007D4F79">
        <w:rPr>
          <w:lang w:val="fr-FR"/>
        </w:rPr>
        <w:t>RÉSOLUTION 36 (R</w:t>
      </w:r>
      <w:r w:rsidRPr="007D4F79">
        <w:rPr>
          <w:caps w:val="0"/>
          <w:lang w:val="fr-FR"/>
        </w:rPr>
        <w:t>év. Kigali</w:t>
      </w:r>
      <w:r w:rsidRPr="007D4F79">
        <w:rPr>
          <w:lang w:val="fr-FR"/>
        </w:rPr>
        <w:t>, 2022)</w:t>
      </w:r>
      <w:bookmarkEnd w:id="0"/>
    </w:p>
    <w:p w14:paraId="5A9960CC" w14:textId="77777777" w:rsidR="0046286E" w:rsidRPr="007D4F79" w:rsidRDefault="0046286E" w:rsidP="0046286E">
      <w:pPr>
        <w:pStyle w:val="Restitle"/>
        <w:rPr>
          <w:lang w:val="fr-FR"/>
        </w:rPr>
      </w:pPr>
      <w:bookmarkStart w:id="1" w:name="_Toc116542365"/>
      <w:r w:rsidRPr="007D4F79">
        <w:rPr>
          <w:lang w:val="fr-FR"/>
        </w:rPr>
        <w:t>Soutien à l'Union africaine des télécommunications</w:t>
      </w:r>
      <w:bookmarkEnd w:id="1"/>
    </w:p>
    <w:p w14:paraId="49234BCC" w14:textId="77777777" w:rsidR="0046286E" w:rsidRPr="007D4F79" w:rsidRDefault="0046286E" w:rsidP="0046286E">
      <w:pPr>
        <w:pStyle w:val="Normalaftertitle"/>
        <w:rPr>
          <w:lang w:val="fr-FR"/>
        </w:rPr>
      </w:pPr>
      <w:r w:rsidRPr="007D4F79">
        <w:rPr>
          <w:lang w:val="fr-FR"/>
        </w:rPr>
        <w:t>La</w:t>
      </w:r>
      <w:r w:rsidRPr="007D4F79">
        <w:rPr>
          <w:spacing w:val="-10"/>
          <w:lang w:val="fr-FR"/>
        </w:rPr>
        <w:t xml:space="preserve"> </w:t>
      </w:r>
      <w:r w:rsidRPr="007D4F79">
        <w:rPr>
          <w:lang w:val="fr-FR"/>
        </w:rPr>
        <w:t xml:space="preserve">Conférence </w:t>
      </w:r>
      <w:r w:rsidRPr="007D4F79">
        <w:rPr>
          <w:spacing w:val="-2"/>
          <w:lang w:val="fr-FR"/>
        </w:rPr>
        <w:t>m</w:t>
      </w:r>
      <w:r w:rsidRPr="007D4F79">
        <w:rPr>
          <w:lang w:val="fr-FR"/>
        </w:rPr>
        <w:t>ondiale de développe</w:t>
      </w:r>
      <w:r w:rsidRPr="007D4F79">
        <w:rPr>
          <w:spacing w:val="-3"/>
          <w:lang w:val="fr-FR"/>
        </w:rPr>
        <w:t>m</w:t>
      </w:r>
      <w:r w:rsidRPr="007D4F79">
        <w:rPr>
          <w:lang w:val="fr-FR"/>
        </w:rPr>
        <w:t>ent des télécom</w:t>
      </w:r>
      <w:r w:rsidRPr="007D4F79">
        <w:rPr>
          <w:spacing w:val="-2"/>
          <w:lang w:val="fr-FR"/>
        </w:rPr>
        <w:t>m</w:t>
      </w:r>
      <w:r w:rsidRPr="007D4F79">
        <w:rPr>
          <w:lang w:val="fr-FR"/>
        </w:rPr>
        <w:t>uni</w:t>
      </w:r>
      <w:r w:rsidRPr="007D4F79">
        <w:rPr>
          <w:spacing w:val="2"/>
          <w:lang w:val="fr-FR"/>
        </w:rPr>
        <w:t>c</w:t>
      </w:r>
      <w:r w:rsidRPr="007D4F79">
        <w:rPr>
          <w:lang w:val="fr-FR"/>
        </w:rPr>
        <w:t>ations (</w:t>
      </w:r>
      <w:r w:rsidRPr="007D4F79">
        <w:rPr>
          <w:caps/>
          <w:lang w:val="fr-FR"/>
        </w:rPr>
        <w:t>K</w:t>
      </w:r>
      <w:r w:rsidRPr="007D4F79">
        <w:rPr>
          <w:lang w:val="fr-FR"/>
        </w:rPr>
        <w:t>igali</w:t>
      </w:r>
      <w:r w:rsidRPr="007D4F79">
        <w:rPr>
          <w:caps/>
          <w:lang w:val="fr-FR"/>
        </w:rPr>
        <w:t>, 2022</w:t>
      </w:r>
      <w:r w:rsidRPr="007D4F79">
        <w:rPr>
          <w:lang w:val="fr-FR"/>
        </w:rPr>
        <w:t>),</w:t>
      </w:r>
    </w:p>
    <w:p w14:paraId="6A1FBB35" w14:textId="77777777" w:rsidR="0046286E" w:rsidRPr="007D4F79" w:rsidRDefault="0046286E" w:rsidP="0046286E">
      <w:pPr>
        <w:pStyle w:val="Call"/>
        <w:rPr>
          <w:lang w:val="fr-FR"/>
        </w:rPr>
      </w:pPr>
      <w:r w:rsidRPr="007D4F79">
        <w:rPr>
          <w:lang w:val="fr-FR"/>
        </w:rPr>
        <w:t>rappelant</w:t>
      </w:r>
    </w:p>
    <w:p w14:paraId="5E5DC1E2" w14:textId="77777777" w:rsidR="0046286E" w:rsidRPr="007D4F79" w:rsidRDefault="0046286E" w:rsidP="0046286E">
      <w:pPr>
        <w:textAlignment w:val="auto"/>
        <w:rPr>
          <w:lang w:val="fr-FR"/>
        </w:rPr>
      </w:pPr>
      <w:r w:rsidRPr="007D4F79">
        <w:rPr>
          <w:i/>
          <w:iCs/>
          <w:lang w:val="fr-FR"/>
        </w:rPr>
        <w:t>a)</w:t>
      </w:r>
      <w:r w:rsidRPr="007D4F79">
        <w:rPr>
          <w:lang w:val="fr-FR"/>
        </w:rPr>
        <w:tab/>
        <w:t>la Résolution 70/1 de l'Assemblée générale des Nations Unies intitulée "Transformer notre monde: Le programme de développement durable à l'horizon 2030";</w:t>
      </w:r>
    </w:p>
    <w:p w14:paraId="4DE3EEF1" w14:textId="77777777" w:rsidR="0046286E" w:rsidRPr="007D4F79" w:rsidRDefault="0046286E" w:rsidP="0046286E">
      <w:pPr>
        <w:textAlignment w:val="auto"/>
        <w:rPr>
          <w:lang w:val="fr-FR"/>
        </w:rPr>
      </w:pPr>
      <w:r w:rsidRPr="007D4F79">
        <w:rPr>
          <w:i/>
          <w:iCs/>
          <w:lang w:val="fr-FR"/>
        </w:rPr>
        <w:t>b)</w:t>
      </w:r>
      <w:r w:rsidRPr="007D4F79">
        <w:rPr>
          <w:lang w:val="fr-FR"/>
        </w:rPr>
        <w:tab/>
        <w:t>la Résolution 73/291 de l'Assemblée générale des Nations Unies intitulée "Document final de Buenos Aires issu de la deuxième Conférence de haut niveau des Nations Unies sur la coopération Sud-Sud";</w:t>
      </w:r>
    </w:p>
    <w:p w14:paraId="3C526659" w14:textId="77777777" w:rsidR="0046286E" w:rsidRPr="007D4F79" w:rsidRDefault="0046286E" w:rsidP="0046286E">
      <w:pPr>
        <w:textAlignment w:val="auto"/>
        <w:rPr>
          <w:lang w:val="fr-FR"/>
        </w:rPr>
      </w:pPr>
      <w:r w:rsidRPr="007D4F79">
        <w:rPr>
          <w:i/>
          <w:iCs/>
          <w:lang w:val="fr-FR"/>
        </w:rPr>
        <w:t>c)</w:t>
      </w:r>
      <w:r w:rsidRPr="007D4F79">
        <w:rPr>
          <w:lang w:val="fr-FR"/>
        </w:rPr>
        <w:tab/>
        <w:t>la Résolution 25 (Rév. Dubaï, 2018) de la Conférence de plénipotentiaires, relative au renforcement de la présence régionale;</w:t>
      </w:r>
    </w:p>
    <w:p w14:paraId="402D3328" w14:textId="77777777" w:rsidR="0046286E" w:rsidRPr="007D4F79" w:rsidRDefault="0046286E" w:rsidP="0046286E">
      <w:pPr>
        <w:textAlignment w:val="auto"/>
        <w:rPr>
          <w:lang w:val="fr-FR"/>
        </w:rPr>
      </w:pPr>
      <w:r w:rsidRPr="007D4F79">
        <w:rPr>
          <w:i/>
          <w:iCs/>
          <w:lang w:val="fr-FR"/>
        </w:rPr>
        <w:t>d)</w:t>
      </w:r>
      <w:r w:rsidRPr="007D4F79">
        <w:rPr>
          <w:lang w:val="fr-FR"/>
        </w:rPr>
        <w:tab/>
        <w:t>la</w:t>
      </w:r>
      <w:r w:rsidRPr="007D4F79">
        <w:rPr>
          <w:spacing w:val="-10"/>
          <w:lang w:val="fr-FR"/>
        </w:rPr>
        <w:t xml:space="preserve"> </w:t>
      </w:r>
      <w:r w:rsidRPr="007D4F79">
        <w:rPr>
          <w:lang w:val="fr-FR"/>
        </w:rPr>
        <w:t xml:space="preserve">Résolution 58 (Rév. Busan, 2014) de la Conférence de plénipotentiaires, et notamment son </w:t>
      </w:r>
      <w:r w:rsidRPr="007D4F79">
        <w:rPr>
          <w:i/>
          <w:iCs/>
          <w:lang w:val="fr-FR"/>
        </w:rPr>
        <w:t>décide</w:t>
      </w:r>
      <w:r w:rsidRPr="007D4F79">
        <w:rPr>
          <w:lang w:val="fr-FR"/>
        </w:rPr>
        <w:t>;</w:t>
      </w:r>
    </w:p>
    <w:p w14:paraId="211062AB" w14:textId="77777777" w:rsidR="0046286E" w:rsidRPr="007D4F79" w:rsidRDefault="0046286E" w:rsidP="0046286E">
      <w:pPr>
        <w:textAlignment w:val="auto"/>
        <w:rPr>
          <w:lang w:val="fr-FR"/>
        </w:rPr>
      </w:pPr>
      <w:r w:rsidRPr="007D4F79">
        <w:rPr>
          <w:i/>
          <w:iCs/>
          <w:lang w:val="fr-FR"/>
        </w:rPr>
        <w:t>e)</w:t>
      </w:r>
      <w:r w:rsidRPr="007D4F79">
        <w:rPr>
          <w:lang w:val="fr-FR"/>
        </w:rPr>
        <w:tab/>
        <w:t xml:space="preserve">la Résolution 21 (Rév. </w:t>
      </w:r>
      <w:r w:rsidRPr="007D4F79">
        <w:rPr>
          <w:iCs/>
          <w:lang w:val="fr-FR"/>
        </w:rPr>
        <w:t>Kigali, 2022</w:t>
      </w:r>
      <w:r w:rsidRPr="007D4F79">
        <w:rPr>
          <w:lang w:val="fr-FR"/>
        </w:rPr>
        <w:t xml:space="preserve">) de la présente Conférence, relative </w:t>
      </w:r>
      <w:r w:rsidRPr="007D4F79">
        <w:rPr>
          <w:color w:val="000000"/>
          <w:lang w:val="fr-FR"/>
        </w:rPr>
        <w:t>au renforcement de</w:t>
      </w:r>
      <w:r w:rsidRPr="007D4F79">
        <w:rPr>
          <w:lang w:val="fr-FR"/>
        </w:rPr>
        <w:t xml:space="preserve"> la coordination et de la collaboration avec les organisations régionales et sous</w:t>
      </w:r>
      <w:r w:rsidRPr="007D4F79">
        <w:rPr>
          <w:lang w:val="fr-FR"/>
        </w:rPr>
        <w:noBreakHyphen/>
        <w:t>régionales,</w:t>
      </w:r>
    </w:p>
    <w:p w14:paraId="0CA60B7F" w14:textId="77777777" w:rsidR="0046286E" w:rsidRPr="007D4F79" w:rsidRDefault="0046286E" w:rsidP="0046286E">
      <w:pPr>
        <w:pStyle w:val="Call"/>
        <w:rPr>
          <w:lang w:val="fr-FR"/>
        </w:rPr>
      </w:pPr>
      <w:r w:rsidRPr="007D4F79">
        <w:rPr>
          <w:lang w:val="fr-FR"/>
        </w:rPr>
        <w:t>rappelant en outre</w:t>
      </w:r>
    </w:p>
    <w:p w14:paraId="5913C4A7" w14:textId="77777777" w:rsidR="0046286E" w:rsidRPr="007D4F79" w:rsidRDefault="0046286E" w:rsidP="0046286E">
      <w:pPr>
        <w:textAlignment w:val="auto"/>
        <w:rPr>
          <w:lang w:val="fr-FR"/>
        </w:rPr>
      </w:pPr>
      <w:r w:rsidRPr="007D4F79">
        <w:rPr>
          <w:i/>
          <w:iCs/>
          <w:lang w:val="fr-FR"/>
        </w:rPr>
        <w:t>a)</w:t>
      </w:r>
      <w:r w:rsidRPr="007D4F79">
        <w:rPr>
          <w:lang w:val="fr-FR"/>
        </w:rPr>
        <w:tab/>
        <w:t>la Résolution 68/198 de l'Assemblée générale des Nations Unies, intitulée "Les technologies de l'information et des communications (TIC) au service du développement";</w:t>
      </w:r>
    </w:p>
    <w:p w14:paraId="666C1960" w14:textId="77777777" w:rsidR="0046286E" w:rsidRPr="007D4F79" w:rsidRDefault="0046286E" w:rsidP="0046286E">
      <w:pPr>
        <w:textAlignment w:val="auto"/>
        <w:rPr>
          <w:lang w:val="fr-FR"/>
        </w:rPr>
      </w:pPr>
      <w:r w:rsidRPr="007D4F79">
        <w:rPr>
          <w:i/>
          <w:iCs/>
          <w:lang w:val="fr-FR"/>
        </w:rPr>
        <w:t>b)</w:t>
      </w:r>
      <w:r w:rsidRPr="007D4F79">
        <w:rPr>
          <w:lang w:val="fr-FR"/>
        </w:rPr>
        <w:tab/>
        <w:t xml:space="preserve">la Résolution 135 (Rév. Dubaï, 2018) de la Conférence de plénipotentiaires relative au rôle de l'UIT dans le développement </w:t>
      </w:r>
      <w:r w:rsidRPr="007D4F79">
        <w:rPr>
          <w:color w:val="000000"/>
          <w:lang w:val="fr-FR"/>
        </w:rPr>
        <w:t>pérenne et durable</w:t>
      </w:r>
      <w:r w:rsidRPr="007D4F79">
        <w:rPr>
          <w:lang w:val="fr-FR"/>
        </w:rPr>
        <w:t xml:space="preserve"> des télécommunications et des TIC, dans la fourniture d'une assistance technique et d'avis aux pays en développement et dans la mise en œuvre de projets nationaux, régionaux et interrégionaux;</w:t>
      </w:r>
    </w:p>
    <w:p w14:paraId="5C16687E" w14:textId="77777777" w:rsidR="0046286E" w:rsidRPr="007D4F79" w:rsidRDefault="0046286E" w:rsidP="0046286E">
      <w:pPr>
        <w:textAlignment w:val="auto"/>
        <w:rPr>
          <w:lang w:val="fr-FR"/>
        </w:rPr>
      </w:pPr>
      <w:r w:rsidRPr="007D4F79">
        <w:rPr>
          <w:i/>
          <w:iCs/>
          <w:lang w:val="fr-FR"/>
        </w:rPr>
        <w:t>c)</w:t>
      </w:r>
      <w:r w:rsidRPr="007D4F79">
        <w:rPr>
          <w:lang w:val="fr-FR"/>
        </w:rPr>
        <w:tab/>
        <w:t>que la première Stratégie à l'échelle du système des Nations Unies sur la coopération Sud-Sud et la coopération triangulaire pour le développement durable indique la voie à suivre pour renforcer l'utilisation de cet outil précieux,</w:t>
      </w:r>
    </w:p>
    <w:p w14:paraId="62B383D6" w14:textId="77777777" w:rsidR="0046286E" w:rsidRDefault="0046286E" w:rsidP="0046286E">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1BD58F52" w14:textId="77777777" w:rsidR="0046286E" w:rsidRPr="007D4F79" w:rsidRDefault="0046286E" w:rsidP="0046286E">
      <w:pPr>
        <w:pStyle w:val="Call"/>
        <w:rPr>
          <w:lang w:val="fr-FR"/>
        </w:rPr>
      </w:pPr>
      <w:r w:rsidRPr="007D4F79">
        <w:rPr>
          <w:lang w:val="fr-FR"/>
        </w:rPr>
        <w:lastRenderedPageBreak/>
        <w:t>considérant</w:t>
      </w:r>
    </w:p>
    <w:p w14:paraId="6AE809D0" w14:textId="77777777" w:rsidR="0046286E" w:rsidRPr="007D4F79" w:rsidRDefault="0046286E" w:rsidP="0046286E">
      <w:pPr>
        <w:textAlignment w:val="auto"/>
        <w:rPr>
          <w:szCs w:val="24"/>
          <w:lang w:val="fr-FR"/>
        </w:rPr>
      </w:pPr>
      <w:r w:rsidRPr="007D4F79">
        <w:rPr>
          <w:i/>
          <w:iCs/>
          <w:szCs w:val="24"/>
          <w:lang w:val="fr-FR"/>
        </w:rPr>
        <w:t>a)</w:t>
      </w:r>
      <w:r w:rsidRPr="007D4F79">
        <w:rPr>
          <w:szCs w:val="24"/>
          <w:lang w:val="fr-FR"/>
        </w:rPr>
        <w:tab/>
        <w:t>le rôle essentiel que joue l'Union africaine des télécommunications (UAT) dans la coordination à l'échelle du continent et en tant que catalyseur de la mise en œuvre des résultats des conférences et assemblées de l'UIT;</w:t>
      </w:r>
    </w:p>
    <w:p w14:paraId="62CD6646" w14:textId="77777777" w:rsidR="0046286E" w:rsidRPr="007D4F79" w:rsidRDefault="0046286E" w:rsidP="0046286E">
      <w:pPr>
        <w:textAlignment w:val="auto"/>
        <w:rPr>
          <w:szCs w:val="24"/>
          <w:lang w:val="fr-FR"/>
        </w:rPr>
      </w:pPr>
      <w:r w:rsidRPr="007D4F79">
        <w:rPr>
          <w:i/>
          <w:iCs/>
          <w:szCs w:val="24"/>
          <w:lang w:val="fr-FR"/>
        </w:rPr>
        <w:t>b)</w:t>
      </w:r>
      <w:r w:rsidRPr="007D4F79">
        <w:rPr>
          <w:szCs w:val="24"/>
          <w:lang w:val="fr-FR"/>
        </w:rPr>
        <w:tab/>
        <w:t>les besoins constants et urgents de l'UAT en matière d'assistance, d'appui et de coopération;</w:t>
      </w:r>
    </w:p>
    <w:p w14:paraId="7CD9730D" w14:textId="77777777" w:rsidR="0046286E" w:rsidRPr="007D4F79" w:rsidRDefault="0046286E" w:rsidP="0046286E">
      <w:pPr>
        <w:textAlignment w:val="auto"/>
        <w:rPr>
          <w:szCs w:val="24"/>
          <w:lang w:val="fr-FR"/>
        </w:rPr>
      </w:pPr>
      <w:r w:rsidRPr="007D4F79">
        <w:rPr>
          <w:i/>
          <w:iCs/>
          <w:szCs w:val="24"/>
          <w:lang w:val="fr-FR"/>
        </w:rPr>
        <w:t>c)</w:t>
      </w:r>
      <w:r w:rsidRPr="007D4F79">
        <w:rPr>
          <w:szCs w:val="24"/>
          <w:lang w:val="fr-FR"/>
        </w:rPr>
        <w:tab/>
        <w:t>l'évolution rapide de l'environnement des télécommunications/TIC, qui oblige l'UAT à s'adapter à ces changements, afin de répondre aux besoins de ses membres, tout en prenant en considération ses ressources humaines et financières actuelles;</w:t>
      </w:r>
    </w:p>
    <w:p w14:paraId="3D1FC1F1" w14:textId="77777777" w:rsidR="0046286E" w:rsidRPr="007D4F79" w:rsidRDefault="0046286E" w:rsidP="0046286E">
      <w:pPr>
        <w:textAlignment w:val="auto"/>
        <w:rPr>
          <w:szCs w:val="24"/>
          <w:lang w:val="fr-FR"/>
        </w:rPr>
      </w:pPr>
      <w:r w:rsidRPr="007D4F79">
        <w:rPr>
          <w:i/>
          <w:iCs/>
          <w:szCs w:val="24"/>
          <w:lang w:val="fr-FR"/>
        </w:rPr>
        <w:t>d)</w:t>
      </w:r>
      <w:r w:rsidRPr="007D4F79">
        <w:rPr>
          <w:szCs w:val="24"/>
          <w:lang w:val="fr-FR"/>
        </w:rPr>
        <w:tab/>
        <w:t>que, dans le contexte de la transformation numérique, les télécommunications/TIC deviennent l'un des principaux catalyseurs de la croissance économique des pays en développement</w:t>
      </w:r>
      <w:r>
        <w:rPr>
          <w:rStyle w:val="FootnoteReference"/>
          <w:szCs w:val="24"/>
          <w:lang w:val="fr-FR"/>
        </w:rPr>
        <w:footnoteReference w:customMarkFollows="1" w:id="1"/>
        <w:t>1</w:t>
      </w:r>
      <w:r w:rsidRPr="007D4F79">
        <w:rPr>
          <w:szCs w:val="24"/>
          <w:lang w:val="fr-FR"/>
        </w:rPr>
        <w:t>;</w:t>
      </w:r>
    </w:p>
    <w:p w14:paraId="06601D16" w14:textId="77777777" w:rsidR="0046286E" w:rsidRPr="007D4F79" w:rsidRDefault="0046286E" w:rsidP="0046286E">
      <w:pPr>
        <w:textAlignment w:val="auto"/>
        <w:rPr>
          <w:szCs w:val="24"/>
          <w:lang w:val="fr-FR"/>
        </w:rPr>
      </w:pPr>
      <w:r w:rsidRPr="007D4F79">
        <w:rPr>
          <w:i/>
          <w:iCs/>
          <w:szCs w:val="24"/>
          <w:lang w:val="fr-FR"/>
        </w:rPr>
        <w:t>e)</w:t>
      </w:r>
      <w:r w:rsidRPr="007D4F79">
        <w:rPr>
          <w:szCs w:val="24"/>
          <w:lang w:val="fr-FR"/>
        </w:rPr>
        <w:tab/>
        <w:t>qu'il est nécessaire de disposer d'</w:t>
      </w:r>
      <w:r w:rsidRPr="007D4F79">
        <w:rPr>
          <w:color w:val="000000"/>
          <w:lang w:val="fr-FR"/>
        </w:rPr>
        <w:t>un cadre</w:t>
      </w:r>
      <w:r w:rsidRPr="007D4F79">
        <w:rPr>
          <w:szCs w:val="24"/>
          <w:lang w:val="fr-FR"/>
        </w:rPr>
        <w:t xml:space="preserve"> fédérateur africain pour coordonner, harmoniser et conjuguer les efforts, afin d'accélérer le développement des télécommunications/TIC aux niveaux régional, interrégional et mondial, en vue d'atteindre les objectifs et les cibles adoptés dans le cadre du Plan stratégique de l'UIT, du Programme de développement durable à l'horizon 2030 et de </w:t>
      </w:r>
      <w:r w:rsidRPr="007D4F79">
        <w:rPr>
          <w:color w:val="000000"/>
          <w:lang w:val="fr-FR"/>
        </w:rPr>
        <w:t xml:space="preserve">l'Agenda </w:t>
      </w:r>
      <w:r w:rsidRPr="007D4F79">
        <w:rPr>
          <w:szCs w:val="24"/>
          <w:lang w:val="fr-FR"/>
        </w:rPr>
        <w:t>2063 de l'Union africaine;</w:t>
      </w:r>
    </w:p>
    <w:p w14:paraId="30488300" w14:textId="77777777" w:rsidR="0046286E" w:rsidRPr="007D4F79" w:rsidRDefault="0046286E" w:rsidP="0046286E">
      <w:pPr>
        <w:textAlignment w:val="auto"/>
        <w:rPr>
          <w:szCs w:val="24"/>
          <w:lang w:val="fr-FR"/>
        </w:rPr>
      </w:pPr>
      <w:r w:rsidRPr="007D4F79">
        <w:rPr>
          <w:i/>
          <w:iCs/>
          <w:szCs w:val="24"/>
          <w:lang w:val="fr-FR"/>
        </w:rPr>
        <w:t>f)</w:t>
      </w:r>
      <w:r w:rsidRPr="007D4F79">
        <w:rPr>
          <w:szCs w:val="24"/>
          <w:lang w:val="fr-FR"/>
        </w:rPr>
        <w:tab/>
        <w:t>que</w:t>
      </w:r>
      <w:r w:rsidRPr="007D4F79">
        <w:rPr>
          <w:lang w:val="fr-FR"/>
        </w:rPr>
        <w:t xml:space="preserve"> le </w:t>
      </w:r>
      <w:r w:rsidRPr="007D4F79">
        <w:rPr>
          <w:szCs w:val="24"/>
          <w:lang w:val="fr-FR"/>
        </w:rPr>
        <w:t xml:space="preserve">Secteur du développement des télécommunications de l'UIT devrait apporter </w:t>
      </w:r>
      <w:r w:rsidRPr="007D4F79">
        <w:rPr>
          <w:color w:val="000000"/>
          <w:lang w:val="fr-FR"/>
        </w:rPr>
        <w:t xml:space="preserve">un appui suffisant </w:t>
      </w:r>
      <w:r w:rsidRPr="007D4F79">
        <w:rPr>
          <w:szCs w:val="24"/>
          <w:lang w:val="fr-FR"/>
        </w:rPr>
        <w:t>aux organisations régionales et sous-régionales de télécommunication, afin de faciliter leur participation active aux différentes phases du modèle de gestion des projets mis en place par l'UIT ainsi qu'à l'établissement de partenariats et à la mobilisation de ressources, en vue d'appuyer la mise en œuvre des initiatives régionales,</w:t>
      </w:r>
    </w:p>
    <w:p w14:paraId="68D65EB4" w14:textId="77777777" w:rsidR="0046286E" w:rsidRPr="007D4F79" w:rsidRDefault="0046286E" w:rsidP="0046286E">
      <w:pPr>
        <w:pStyle w:val="Call"/>
        <w:rPr>
          <w:lang w:val="fr-FR"/>
        </w:rPr>
      </w:pPr>
      <w:r w:rsidRPr="007D4F79">
        <w:rPr>
          <w:lang w:val="fr-FR"/>
        </w:rPr>
        <w:t>reconnaissant</w:t>
      </w:r>
    </w:p>
    <w:p w14:paraId="02FC1914" w14:textId="77777777" w:rsidR="0046286E" w:rsidRPr="007D4F79" w:rsidRDefault="0046286E" w:rsidP="0046286E">
      <w:pPr>
        <w:textAlignment w:val="auto"/>
        <w:rPr>
          <w:szCs w:val="24"/>
          <w:lang w:val="fr-FR"/>
        </w:rPr>
      </w:pPr>
      <w:r w:rsidRPr="007D4F79">
        <w:rPr>
          <w:i/>
          <w:iCs/>
          <w:szCs w:val="24"/>
          <w:lang w:val="fr-FR"/>
        </w:rPr>
        <w:t>a)</w:t>
      </w:r>
      <w:r w:rsidRPr="007D4F79">
        <w:rPr>
          <w:szCs w:val="24"/>
          <w:lang w:val="fr-FR"/>
        </w:rPr>
        <w:tab/>
        <w:t>que les organisations régionales ont une meilleure connaissance des difficultés et des problèmes concrets auxquels sont confrontés les États Membres de la région et sont mieux à même d'appréhender la manière de surmonter ces problèmes de manière efficace et effective;</w:t>
      </w:r>
    </w:p>
    <w:p w14:paraId="1C5AC725" w14:textId="77777777" w:rsidR="0046286E" w:rsidRPr="007D4F79" w:rsidRDefault="0046286E" w:rsidP="0046286E">
      <w:pPr>
        <w:textAlignment w:val="auto"/>
        <w:rPr>
          <w:szCs w:val="24"/>
          <w:lang w:val="fr-FR"/>
        </w:rPr>
      </w:pPr>
      <w:r w:rsidRPr="007D4F79">
        <w:rPr>
          <w:i/>
          <w:iCs/>
          <w:szCs w:val="24"/>
          <w:lang w:val="fr-FR"/>
        </w:rPr>
        <w:t>b)</w:t>
      </w:r>
      <w:r w:rsidRPr="007D4F79">
        <w:rPr>
          <w:szCs w:val="24"/>
          <w:lang w:val="fr-FR"/>
        </w:rPr>
        <w:tab/>
        <w:t>que l'UIT et les organisations régionales partagent la conviction qu'une coopération étroite peut promouvoir le développement des télécommunications/TIC au niveau régional, afin de fournir un appui aux États Membres de la région;</w:t>
      </w:r>
    </w:p>
    <w:p w14:paraId="619696BB" w14:textId="77777777" w:rsidR="0046286E" w:rsidRDefault="0046286E" w:rsidP="0046286E">
      <w:pPr>
        <w:tabs>
          <w:tab w:val="clear" w:pos="1134"/>
          <w:tab w:val="clear" w:pos="1871"/>
          <w:tab w:val="clear" w:pos="2268"/>
        </w:tabs>
        <w:overflowPunct/>
        <w:autoSpaceDE/>
        <w:autoSpaceDN/>
        <w:adjustRightInd/>
        <w:spacing w:before="0" w:after="0"/>
        <w:jc w:val="left"/>
        <w:textAlignment w:val="auto"/>
        <w:rPr>
          <w:i/>
          <w:iCs/>
          <w:szCs w:val="24"/>
          <w:lang w:val="fr-FR"/>
        </w:rPr>
      </w:pPr>
      <w:r>
        <w:rPr>
          <w:i/>
          <w:iCs/>
          <w:szCs w:val="24"/>
          <w:lang w:val="fr-FR"/>
        </w:rPr>
        <w:br w:type="page"/>
      </w:r>
    </w:p>
    <w:p w14:paraId="69216EEE" w14:textId="77777777" w:rsidR="0046286E" w:rsidRPr="007D4F79" w:rsidRDefault="0046286E" w:rsidP="0046286E">
      <w:pPr>
        <w:textAlignment w:val="auto"/>
        <w:rPr>
          <w:szCs w:val="24"/>
          <w:lang w:val="fr-FR"/>
        </w:rPr>
      </w:pPr>
      <w:r w:rsidRPr="007D4F79">
        <w:rPr>
          <w:i/>
          <w:iCs/>
          <w:szCs w:val="24"/>
          <w:lang w:val="fr-FR"/>
        </w:rPr>
        <w:lastRenderedPageBreak/>
        <w:t>c)</w:t>
      </w:r>
      <w:r w:rsidRPr="007D4F79">
        <w:rPr>
          <w:i/>
          <w:iCs/>
          <w:szCs w:val="24"/>
          <w:lang w:val="fr-FR"/>
        </w:rPr>
        <w:tab/>
      </w:r>
      <w:r w:rsidRPr="007D4F79">
        <w:rPr>
          <w:szCs w:val="24"/>
          <w:lang w:val="fr-FR"/>
        </w:rPr>
        <w:t>que la coopération de l'UIT avec les organisations régionales doit se poursuivre et s'intensifier, afin de fournir un appui aux États Membres de la région;</w:t>
      </w:r>
    </w:p>
    <w:p w14:paraId="42A988FC" w14:textId="77777777" w:rsidR="0046286E" w:rsidRPr="007D4F79" w:rsidRDefault="0046286E" w:rsidP="0046286E">
      <w:pPr>
        <w:textAlignment w:val="auto"/>
        <w:rPr>
          <w:szCs w:val="24"/>
          <w:lang w:val="fr-FR"/>
        </w:rPr>
      </w:pPr>
      <w:r w:rsidRPr="007D4F79">
        <w:rPr>
          <w:i/>
          <w:iCs/>
          <w:szCs w:val="24"/>
          <w:lang w:val="fr-FR"/>
        </w:rPr>
        <w:t>d)</w:t>
      </w:r>
      <w:r w:rsidRPr="007D4F79">
        <w:rPr>
          <w:i/>
          <w:iCs/>
          <w:szCs w:val="24"/>
          <w:lang w:val="fr-FR"/>
        </w:rPr>
        <w:tab/>
      </w:r>
      <w:r w:rsidRPr="007D4F79">
        <w:rPr>
          <w:szCs w:val="24"/>
          <w:lang w:val="fr-FR"/>
        </w:rPr>
        <w:t>que les organisations régionales jouent un rôle efficace dans l'identification des priorités et des intérêts communs, tout en assurant une meilleure coordination entre les États Membres ainsi que leur participation à toutes les activités et manifestations et tous les plans et projets concernant les télécommunications/TIC,</w:t>
      </w:r>
    </w:p>
    <w:p w14:paraId="7CF9144B" w14:textId="77777777" w:rsidR="0046286E" w:rsidRPr="007D4F79" w:rsidRDefault="0046286E" w:rsidP="0046286E">
      <w:pPr>
        <w:pStyle w:val="Call"/>
        <w:rPr>
          <w:lang w:val="fr-FR"/>
        </w:rPr>
      </w:pPr>
      <w:r w:rsidRPr="007D4F79">
        <w:rPr>
          <w:lang w:val="fr-FR"/>
        </w:rPr>
        <w:t>notant</w:t>
      </w:r>
    </w:p>
    <w:p w14:paraId="7A8C7EE6" w14:textId="77777777" w:rsidR="0046286E" w:rsidRPr="007D4F79" w:rsidRDefault="0046286E" w:rsidP="0046286E">
      <w:pPr>
        <w:textAlignment w:val="auto"/>
        <w:rPr>
          <w:szCs w:val="24"/>
          <w:lang w:val="fr-FR"/>
        </w:rPr>
      </w:pPr>
      <w:r w:rsidRPr="007D4F79">
        <w:rPr>
          <w:szCs w:val="24"/>
          <w:lang w:val="fr-FR"/>
        </w:rPr>
        <w:t>que les organisations régionales concernées jouent un rôle important et de premier plan en apportant un appui aux pays en développement dans des domaines comme la coopération régionale et les activités d'assistance technique,</w:t>
      </w:r>
    </w:p>
    <w:p w14:paraId="7AED2EEB" w14:textId="77777777" w:rsidR="0046286E" w:rsidRPr="007D4F79" w:rsidRDefault="0046286E" w:rsidP="0046286E">
      <w:pPr>
        <w:pStyle w:val="Call"/>
        <w:rPr>
          <w:lang w:val="fr-FR"/>
        </w:rPr>
      </w:pPr>
      <w:r w:rsidRPr="007D4F79">
        <w:rPr>
          <w:lang w:val="fr-FR"/>
        </w:rPr>
        <w:t>décide de charger le Directeur du Bureau de développement des télécommunications, en collaboration avec le Directeur du Bureau des radiocommunications et le Directeur du Bureau de la normalisation des télécommunications</w:t>
      </w:r>
    </w:p>
    <w:p w14:paraId="782DE6D4" w14:textId="77777777" w:rsidR="0046286E" w:rsidRPr="007D4F79" w:rsidRDefault="0046286E" w:rsidP="0046286E">
      <w:pPr>
        <w:textAlignment w:val="auto"/>
        <w:rPr>
          <w:lang w:val="fr-FR"/>
        </w:rPr>
      </w:pPr>
      <w:r w:rsidRPr="007D4F79">
        <w:rPr>
          <w:lang w:val="fr-FR"/>
        </w:rPr>
        <w:t>1</w:t>
      </w:r>
      <w:r w:rsidRPr="007D4F79">
        <w:rPr>
          <w:lang w:val="fr-FR"/>
        </w:rPr>
        <w:tab/>
        <w:t>de</w:t>
      </w:r>
      <w:r w:rsidRPr="007D4F79">
        <w:rPr>
          <w:spacing w:val="4"/>
          <w:lang w:val="fr-FR"/>
        </w:rPr>
        <w:t xml:space="preserve"> </w:t>
      </w:r>
      <w:r w:rsidRPr="007D4F79">
        <w:rPr>
          <w:lang w:val="fr-FR"/>
        </w:rPr>
        <w:t>pren</w:t>
      </w:r>
      <w:r w:rsidRPr="007D4F79">
        <w:rPr>
          <w:spacing w:val="-1"/>
          <w:lang w:val="fr-FR"/>
        </w:rPr>
        <w:t>d</w:t>
      </w:r>
      <w:r w:rsidRPr="007D4F79">
        <w:rPr>
          <w:lang w:val="fr-FR"/>
        </w:rPr>
        <w:t>re</w:t>
      </w:r>
      <w:r w:rsidRPr="007D4F79">
        <w:rPr>
          <w:spacing w:val="14"/>
          <w:lang w:val="fr-FR"/>
        </w:rPr>
        <w:t xml:space="preserve"> </w:t>
      </w:r>
      <w:r w:rsidRPr="007D4F79">
        <w:rPr>
          <w:lang w:val="fr-FR"/>
        </w:rPr>
        <w:t>toutes</w:t>
      </w:r>
      <w:r w:rsidRPr="007D4F79">
        <w:rPr>
          <w:spacing w:val="14"/>
          <w:lang w:val="fr-FR"/>
        </w:rPr>
        <w:t xml:space="preserve"> </w:t>
      </w:r>
      <w:r w:rsidRPr="007D4F79">
        <w:rPr>
          <w:lang w:val="fr-FR"/>
        </w:rPr>
        <w:t>les</w:t>
      </w:r>
      <w:r w:rsidRPr="007D4F79">
        <w:rPr>
          <w:spacing w:val="14"/>
          <w:lang w:val="fr-FR"/>
        </w:rPr>
        <w:t xml:space="preserve"> </w:t>
      </w:r>
      <w:r w:rsidRPr="007D4F79">
        <w:rPr>
          <w:spacing w:val="-2"/>
          <w:lang w:val="fr-FR"/>
        </w:rPr>
        <w:t>m</w:t>
      </w:r>
      <w:r w:rsidRPr="007D4F79">
        <w:rPr>
          <w:spacing w:val="2"/>
          <w:lang w:val="fr-FR"/>
        </w:rPr>
        <w:t>e</w:t>
      </w:r>
      <w:r w:rsidRPr="007D4F79">
        <w:rPr>
          <w:lang w:val="fr-FR"/>
        </w:rPr>
        <w:t>sures</w:t>
      </w:r>
      <w:r w:rsidRPr="007D4F79">
        <w:rPr>
          <w:spacing w:val="14"/>
          <w:lang w:val="fr-FR"/>
        </w:rPr>
        <w:t xml:space="preserve"> </w:t>
      </w:r>
      <w:r w:rsidRPr="007D4F79">
        <w:rPr>
          <w:spacing w:val="-1"/>
          <w:lang w:val="fr-FR"/>
        </w:rPr>
        <w:t>n</w:t>
      </w:r>
      <w:r w:rsidRPr="007D4F79">
        <w:rPr>
          <w:lang w:val="fr-FR"/>
        </w:rPr>
        <w:t>écessaires</w:t>
      </w:r>
      <w:r w:rsidRPr="007D4F79">
        <w:rPr>
          <w:spacing w:val="14"/>
          <w:lang w:val="fr-FR"/>
        </w:rPr>
        <w:t xml:space="preserve"> </w:t>
      </w:r>
      <w:r w:rsidRPr="007D4F79">
        <w:rPr>
          <w:lang w:val="fr-FR"/>
        </w:rPr>
        <w:t>pour</w:t>
      </w:r>
      <w:r w:rsidRPr="007D4F79">
        <w:rPr>
          <w:spacing w:val="14"/>
          <w:lang w:val="fr-FR"/>
        </w:rPr>
        <w:t xml:space="preserve"> </w:t>
      </w:r>
      <w:r w:rsidRPr="007D4F79">
        <w:rPr>
          <w:lang w:val="fr-FR"/>
        </w:rPr>
        <w:t>associer</w:t>
      </w:r>
      <w:r w:rsidRPr="007D4F79">
        <w:rPr>
          <w:spacing w:val="14"/>
          <w:lang w:val="fr-FR"/>
        </w:rPr>
        <w:t xml:space="preserve"> </w:t>
      </w:r>
      <w:r w:rsidRPr="007D4F79">
        <w:rPr>
          <w:lang w:val="fr-FR"/>
        </w:rPr>
        <w:t>l</w:t>
      </w:r>
      <w:r w:rsidRPr="007D4F79">
        <w:rPr>
          <w:spacing w:val="-1"/>
          <w:lang w:val="fr-FR"/>
        </w:rPr>
        <w:t>'</w:t>
      </w:r>
      <w:r w:rsidRPr="007D4F79">
        <w:rPr>
          <w:lang w:val="fr-FR"/>
        </w:rPr>
        <w:t>UAT</w:t>
      </w:r>
      <w:r w:rsidRPr="007D4F79">
        <w:rPr>
          <w:spacing w:val="14"/>
          <w:lang w:val="fr-FR"/>
        </w:rPr>
        <w:t xml:space="preserve"> </w:t>
      </w:r>
      <w:r w:rsidRPr="007D4F79">
        <w:rPr>
          <w:lang w:val="fr-FR"/>
        </w:rPr>
        <w:t>à</w:t>
      </w:r>
      <w:r w:rsidRPr="007D4F79">
        <w:rPr>
          <w:spacing w:val="14"/>
          <w:lang w:val="fr-FR"/>
        </w:rPr>
        <w:t xml:space="preserve"> </w:t>
      </w:r>
      <w:r w:rsidRPr="007D4F79">
        <w:rPr>
          <w:lang w:val="fr-FR"/>
        </w:rPr>
        <w:t>la</w:t>
      </w:r>
      <w:r w:rsidRPr="007D4F79">
        <w:rPr>
          <w:spacing w:val="13"/>
          <w:lang w:val="fr-FR"/>
        </w:rPr>
        <w:t xml:space="preserve"> </w:t>
      </w:r>
      <w:r w:rsidRPr="007D4F79">
        <w:rPr>
          <w:spacing w:val="-2"/>
          <w:lang w:val="fr-FR"/>
        </w:rPr>
        <w:t>m</w:t>
      </w:r>
      <w:r w:rsidRPr="007D4F79">
        <w:rPr>
          <w:spacing w:val="1"/>
          <w:lang w:val="fr-FR"/>
        </w:rPr>
        <w:t>i</w:t>
      </w:r>
      <w:r w:rsidRPr="007D4F79">
        <w:rPr>
          <w:lang w:val="fr-FR"/>
        </w:rPr>
        <w:t>se</w:t>
      </w:r>
      <w:r w:rsidRPr="007D4F79">
        <w:rPr>
          <w:spacing w:val="14"/>
          <w:lang w:val="fr-FR"/>
        </w:rPr>
        <w:t xml:space="preserve"> </w:t>
      </w:r>
      <w:r w:rsidRPr="007D4F79">
        <w:rPr>
          <w:lang w:val="fr-FR"/>
        </w:rPr>
        <w:t>en</w:t>
      </w:r>
      <w:r w:rsidRPr="007D4F79">
        <w:rPr>
          <w:spacing w:val="14"/>
          <w:lang w:val="fr-FR"/>
        </w:rPr>
        <w:t xml:space="preserve"> </w:t>
      </w:r>
      <w:r w:rsidRPr="007D4F79">
        <w:rPr>
          <w:lang w:val="fr-FR"/>
        </w:rPr>
        <w:t>œuvre</w:t>
      </w:r>
      <w:r w:rsidRPr="007D4F79">
        <w:rPr>
          <w:spacing w:val="14"/>
          <w:lang w:val="fr-FR"/>
        </w:rPr>
        <w:t xml:space="preserve"> </w:t>
      </w:r>
      <w:r w:rsidRPr="007D4F79">
        <w:rPr>
          <w:lang w:val="fr-FR"/>
        </w:rPr>
        <w:t>du</w:t>
      </w:r>
      <w:r w:rsidRPr="007D4F79">
        <w:rPr>
          <w:spacing w:val="13"/>
          <w:lang w:val="fr-FR"/>
        </w:rPr>
        <w:t xml:space="preserve"> </w:t>
      </w:r>
      <w:r w:rsidRPr="007D4F79">
        <w:rPr>
          <w:lang w:val="fr-FR"/>
        </w:rPr>
        <w:t>Plan</w:t>
      </w:r>
      <w:r w:rsidRPr="007D4F79">
        <w:rPr>
          <w:spacing w:val="14"/>
          <w:lang w:val="fr-FR"/>
        </w:rPr>
        <w:t xml:space="preserve"> </w:t>
      </w:r>
      <w:r w:rsidRPr="007D4F79">
        <w:rPr>
          <w:lang w:val="fr-FR"/>
        </w:rPr>
        <w:t>d</w:t>
      </w:r>
      <w:r w:rsidRPr="007D4F79">
        <w:rPr>
          <w:spacing w:val="-1"/>
          <w:lang w:val="fr-FR"/>
        </w:rPr>
        <w:t>'</w:t>
      </w:r>
      <w:r w:rsidRPr="007D4F79">
        <w:rPr>
          <w:lang w:val="fr-FR"/>
        </w:rPr>
        <w:t>acti</w:t>
      </w:r>
      <w:r w:rsidRPr="007D4F79">
        <w:rPr>
          <w:spacing w:val="-1"/>
          <w:lang w:val="fr-FR"/>
        </w:rPr>
        <w:t>o</w:t>
      </w:r>
      <w:r w:rsidRPr="007D4F79">
        <w:rPr>
          <w:lang w:val="fr-FR"/>
        </w:rPr>
        <w:t>n de Kigali de 2022 en</w:t>
      </w:r>
      <w:r w:rsidRPr="007D4F79">
        <w:rPr>
          <w:spacing w:val="13"/>
          <w:lang w:val="fr-FR"/>
        </w:rPr>
        <w:t xml:space="preserve"> </w:t>
      </w:r>
      <w:r w:rsidRPr="007D4F79">
        <w:rPr>
          <w:lang w:val="fr-FR"/>
        </w:rPr>
        <w:t>ce</w:t>
      </w:r>
      <w:r w:rsidRPr="007D4F79">
        <w:rPr>
          <w:spacing w:val="13"/>
          <w:lang w:val="fr-FR"/>
        </w:rPr>
        <w:t xml:space="preserve"> </w:t>
      </w:r>
      <w:r w:rsidRPr="007D4F79">
        <w:rPr>
          <w:lang w:val="fr-FR"/>
        </w:rPr>
        <w:t>qui concerne</w:t>
      </w:r>
      <w:r w:rsidRPr="007D4F79">
        <w:rPr>
          <w:spacing w:val="19"/>
          <w:lang w:val="fr-FR"/>
        </w:rPr>
        <w:t xml:space="preserve"> </w:t>
      </w:r>
      <w:r w:rsidRPr="007D4F79">
        <w:rPr>
          <w:lang w:val="fr-FR"/>
        </w:rPr>
        <w:t>l</w:t>
      </w:r>
      <w:r w:rsidRPr="007D4F79">
        <w:rPr>
          <w:spacing w:val="-1"/>
          <w:lang w:val="fr-FR"/>
        </w:rPr>
        <w:t>'</w:t>
      </w:r>
      <w:r w:rsidRPr="007D4F79">
        <w:rPr>
          <w:lang w:val="fr-FR"/>
        </w:rPr>
        <w:t>appui</w:t>
      </w:r>
      <w:r w:rsidRPr="007D4F79">
        <w:rPr>
          <w:spacing w:val="19"/>
          <w:lang w:val="fr-FR"/>
        </w:rPr>
        <w:t xml:space="preserve"> </w:t>
      </w:r>
      <w:r w:rsidRPr="007D4F79">
        <w:rPr>
          <w:lang w:val="fr-FR"/>
        </w:rPr>
        <w:t>fourni</w:t>
      </w:r>
      <w:r w:rsidRPr="007D4F79">
        <w:rPr>
          <w:spacing w:val="19"/>
          <w:lang w:val="fr-FR"/>
        </w:rPr>
        <w:t xml:space="preserve"> </w:t>
      </w:r>
      <w:r w:rsidRPr="007D4F79">
        <w:rPr>
          <w:lang w:val="fr-FR"/>
        </w:rPr>
        <w:t>au</w:t>
      </w:r>
      <w:r w:rsidRPr="007D4F79">
        <w:rPr>
          <w:spacing w:val="19"/>
          <w:lang w:val="fr-FR"/>
        </w:rPr>
        <w:t xml:space="preserve"> </w:t>
      </w:r>
      <w:r w:rsidRPr="007D4F79">
        <w:rPr>
          <w:lang w:val="fr-FR"/>
        </w:rPr>
        <w:t>secte</w:t>
      </w:r>
      <w:r w:rsidRPr="007D4F79">
        <w:rPr>
          <w:spacing w:val="-1"/>
          <w:lang w:val="fr-FR"/>
        </w:rPr>
        <w:t>u</w:t>
      </w:r>
      <w:r w:rsidRPr="007D4F79">
        <w:rPr>
          <w:lang w:val="fr-FR"/>
        </w:rPr>
        <w:t>r</w:t>
      </w:r>
      <w:r w:rsidRPr="007D4F79">
        <w:rPr>
          <w:spacing w:val="19"/>
          <w:lang w:val="fr-FR"/>
        </w:rPr>
        <w:t xml:space="preserve"> </w:t>
      </w:r>
      <w:r w:rsidRPr="007D4F79">
        <w:rPr>
          <w:lang w:val="fr-FR"/>
        </w:rPr>
        <w:t>des</w:t>
      </w:r>
      <w:r w:rsidRPr="007D4F79">
        <w:rPr>
          <w:spacing w:val="19"/>
          <w:lang w:val="fr-FR"/>
        </w:rPr>
        <w:t xml:space="preserve"> </w:t>
      </w:r>
      <w:r w:rsidRPr="007D4F79">
        <w:rPr>
          <w:lang w:val="fr-FR"/>
        </w:rPr>
        <w:t>télécommunications/TIC</w:t>
      </w:r>
      <w:r w:rsidRPr="007D4F79">
        <w:rPr>
          <w:spacing w:val="19"/>
          <w:lang w:val="fr-FR"/>
        </w:rPr>
        <w:t xml:space="preserve"> </w:t>
      </w:r>
      <w:r w:rsidRPr="007D4F79">
        <w:rPr>
          <w:lang w:val="fr-FR"/>
        </w:rPr>
        <w:t>en Afrique;</w:t>
      </w:r>
    </w:p>
    <w:p w14:paraId="13FD3DCB" w14:textId="77777777" w:rsidR="0046286E" w:rsidRPr="007D4F79" w:rsidRDefault="0046286E" w:rsidP="0046286E">
      <w:pPr>
        <w:textAlignment w:val="auto"/>
        <w:rPr>
          <w:lang w:val="fr-FR"/>
        </w:rPr>
      </w:pPr>
      <w:r w:rsidRPr="007D4F79">
        <w:rPr>
          <w:lang w:val="fr-FR"/>
        </w:rPr>
        <w:t>2</w:t>
      </w:r>
      <w:r w:rsidRPr="007D4F79">
        <w:rPr>
          <w:lang w:val="fr-FR"/>
        </w:rPr>
        <w:tab/>
        <w:t>de mobiliser et d'apporter l'appui nécessaire à l'UAT pour qu'elle joue un rôle de coordination de premier plan parmi les entités concernées s'occupant des activités liées aux TIC au niveau régional;</w:t>
      </w:r>
    </w:p>
    <w:p w14:paraId="75384213" w14:textId="77777777" w:rsidR="0046286E" w:rsidRPr="007D4F79" w:rsidRDefault="0046286E" w:rsidP="0046286E">
      <w:pPr>
        <w:textAlignment w:val="auto"/>
        <w:rPr>
          <w:lang w:val="fr-FR"/>
        </w:rPr>
      </w:pPr>
      <w:r w:rsidRPr="007D4F79">
        <w:rPr>
          <w:lang w:val="fr-FR"/>
        </w:rPr>
        <w:t>3</w:t>
      </w:r>
      <w:r w:rsidRPr="007D4F79">
        <w:rPr>
          <w:lang w:val="fr-FR"/>
        </w:rPr>
        <w:tab/>
        <w:t>de renforcer les relations avec les organisations régionales et sous-régionales de télécommunication, afin d'identifier les synergies avec les activités de ces organisations susceptibles d'appuyer la mise en œuvre des initiatives régionales;</w:t>
      </w:r>
    </w:p>
    <w:p w14:paraId="0A4BCEFD" w14:textId="77777777" w:rsidR="0046286E" w:rsidRPr="007D4F79" w:rsidRDefault="0046286E" w:rsidP="0046286E">
      <w:pPr>
        <w:textAlignment w:val="auto"/>
        <w:rPr>
          <w:lang w:val="fr-FR"/>
        </w:rPr>
      </w:pPr>
      <w:r w:rsidRPr="007D4F79">
        <w:rPr>
          <w:lang w:val="fr-FR"/>
        </w:rPr>
        <w:t>4</w:t>
      </w:r>
      <w:r w:rsidRPr="007D4F79">
        <w:rPr>
          <w:lang w:val="fr-FR"/>
        </w:rPr>
        <w:tab/>
        <w:t>de continuer de déployer et de renforcer la disponibilité des ressources humaines et financières nécessaires dans le cadre de la présence régionale de l'UIT, afin d'apporter un appui à l'UAT,</w:t>
      </w:r>
    </w:p>
    <w:p w14:paraId="19506B99" w14:textId="77777777" w:rsidR="0046286E" w:rsidRPr="007D4F79" w:rsidRDefault="0046286E" w:rsidP="0046286E">
      <w:pPr>
        <w:pStyle w:val="Call"/>
        <w:rPr>
          <w:lang w:val="fr-FR"/>
        </w:rPr>
      </w:pPr>
      <w:r w:rsidRPr="007D4F79">
        <w:rPr>
          <w:lang w:val="fr-FR"/>
        </w:rPr>
        <w:t>prie le Secrétaire général de l'UIT et charge le Directeur du Bureau de développement des télécommunications</w:t>
      </w:r>
    </w:p>
    <w:p w14:paraId="3D3C7C16" w14:textId="77777777" w:rsidR="0046286E" w:rsidRPr="007D4F79" w:rsidRDefault="0046286E" w:rsidP="0046286E">
      <w:pPr>
        <w:textAlignment w:val="auto"/>
        <w:rPr>
          <w:lang w:val="fr-FR"/>
        </w:rPr>
      </w:pPr>
      <w:r w:rsidRPr="007D4F79">
        <w:rPr>
          <w:lang w:val="fr-FR"/>
        </w:rPr>
        <w:t>1</w:t>
      </w:r>
      <w:r w:rsidRPr="007D4F79">
        <w:rPr>
          <w:lang w:val="fr-FR"/>
        </w:rPr>
        <w:tab/>
        <w:t>de</w:t>
      </w:r>
      <w:r w:rsidRPr="007D4F79">
        <w:rPr>
          <w:spacing w:val="56"/>
          <w:lang w:val="fr-FR"/>
        </w:rPr>
        <w:t xml:space="preserve"> </w:t>
      </w:r>
      <w:r w:rsidRPr="007D4F79">
        <w:rPr>
          <w:lang w:val="fr-FR"/>
        </w:rPr>
        <w:t>prendre toutes les</w:t>
      </w:r>
      <w:r w:rsidRPr="007D4F79">
        <w:rPr>
          <w:spacing w:val="16"/>
          <w:lang w:val="fr-FR"/>
        </w:rPr>
        <w:t xml:space="preserve"> </w:t>
      </w:r>
      <w:r w:rsidRPr="007D4F79">
        <w:rPr>
          <w:spacing w:val="-2"/>
          <w:lang w:val="fr-FR"/>
        </w:rPr>
        <w:t>m</w:t>
      </w:r>
      <w:r w:rsidRPr="007D4F79">
        <w:rPr>
          <w:lang w:val="fr-FR"/>
        </w:rPr>
        <w:t>esures</w:t>
      </w:r>
      <w:r w:rsidRPr="007D4F79">
        <w:rPr>
          <w:spacing w:val="16"/>
          <w:lang w:val="fr-FR"/>
        </w:rPr>
        <w:t xml:space="preserve"> </w:t>
      </w:r>
      <w:r w:rsidRPr="007D4F79">
        <w:rPr>
          <w:lang w:val="fr-FR"/>
        </w:rPr>
        <w:t>nécessaires pour recenser chaque année de nouveaux domaines de coopération et fournir à l'UAT</w:t>
      </w:r>
      <w:r w:rsidRPr="007D4F79">
        <w:rPr>
          <w:spacing w:val="16"/>
          <w:lang w:val="fr-FR"/>
        </w:rPr>
        <w:t xml:space="preserve"> </w:t>
      </w:r>
      <w:r w:rsidRPr="007D4F79">
        <w:rPr>
          <w:lang w:val="fr-FR"/>
        </w:rPr>
        <w:t>tout l'appui</w:t>
      </w:r>
      <w:r w:rsidRPr="007D4F79">
        <w:rPr>
          <w:spacing w:val="16"/>
          <w:lang w:val="fr-FR"/>
        </w:rPr>
        <w:t xml:space="preserve"> </w:t>
      </w:r>
      <w:r w:rsidRPr="007D4F79">
        <w:rPr>
          <w:lang w:val="fr-FR"/>
        </w:rPr>
        <w:t>et</w:t>
      </w:r>
      <w:r w:rsidRPr="007D4F79">
        <w:rPr>
          <w:spacing w:val="16"/>
          <w:lang w:val="fr-FR"/>
        </w:rPr>
        <w:t xml:space="preserve"> </w:t>
      </w:r>
      <w:r w:rsidRPr="007D4F79">
        <w:rPr>
          <w:lang w:val="fr-FR"/>
        </w:rPr>
        <w:t>toute l'assistance dont elle aura besoin, y compris un appui administratif, financier, logistique et informatique/technique,</w:t>
      </w:r>
      <w:r w:rsidRPr="007D4F79">
        <w:rPr>
          <w:spacing w:val="22"/>
          <w:lang w:val="fr-FR"/>
        </w:rPr>
        <w:t xml:space="preserve"> </w:t>
      </w:r>
      <w:r w:rsidRPr="007D4F79">
        <w:rPr>
          <w:lang w:val="fr-FR"/>
        </w:rPr>
        <w:t>notamment en inten</w:t>
      </w:r>
      <w:r w:rsidRPr="007D4F79">
        <w:rPr>
          <w:spacing w:val="-1"/>
          <w:lang w:val="fr-FR"/>
        </w:rPr>
        <w:t>s</w:t>
      </w:r>
      <w:r w:rsidRPr="007D4F79">
        <w:rPr>
          <w:lang w:val="fr-FR"/>
        </w:rPr>
        <w:t>i</w:t>
      </w:r>
      <w:r w:rsidRPr="007D4F79">
        <w:rPr>
          <w:spacing w:val="-1"/>
          <w:lang w:val="fr-FR"/>
        </w:rPr>
        <w:t>f</w:t>
      </w:r>
      <w:r w:rsidRPr="007D4F79">
        <w:rPr>
          <w:lang w:val="fr-FR"/>
        </w:rPr>
        <w:t>iant, favorisant et renforçant la coopération</w:t>
      </w:r>
      <w:r w:rsidRPr="007D4F79">
        <w:rPr>
          <w:spacing w:val="14"/>
          <w:lang w:val="fr-FR"/>
        </w:rPr>
        <w:t xml:space="preserve"> </w:t>
      </w:r>
      <w:r w:rsidRPr="007D4F79">
        <w:rPr>
          <w:lang w:val="fr-FR"/>
        </w:rPr>
        <w:t>entre</w:t>
      </w:r>
      <w:r w:rsidRPr="007D4F79">
        <w:rPr>
          <w:spacing w:val="14"/>
          <w:lang w:val="fr-FR"/>
        </w:rPr>
        <w:t xml:space="preserve"> </w:t>
      </w:r>
      <w:r w:rsidRPr="007D4F79">
        <w:rPr>
          <w:lang w:val="fr-FR"/>
        </w:rPr>
        <w:t>l</w:t>
      </w:r>
      <w:r w:rsidRPr="007D4F79">
        <w:rPr>
          <w:spacing w:val="-1"/>
          <w:lang w:val="fr-FR"/>
        </w:rPr>
        <w:t>'</w:t>
      </w:r>
      <w:r w:rsidRPr="007D4F79">
        <w:rPr>
          <w:lang w:val="fr-FR"/>
        </w:rPr>
        <w:t>UAT</w:t>
      </w:r>
      <w:r w:rsidRPr="007D4F79">
        <w:rPr>
          <w:spacing w:val="14"/>
          <w:lang w:val="fr-FR"/>
        </w:rPr>
        <w:t xml:space="preserve"> </w:t>
      </w:r>
      <w:r w:rsidRPr="007D4F79">
        <w:rPr>
          <w:lang w:val="fr-FR"/>
        </w:rPr>
        <w:t>et</w:t>
      </w:r>
      <w:r w:rsidRPr="007D4F79">
        <w:rPr>
          <w:spacing w:val="14"/>
          <w:lang w:val="fr-FR"/>
        </w:rPr>
        <w:t xml:space="preserve"> </w:t>
      </w:r>
      <w:r w:rsidRPr="007D4F79">
        <w:rPr>
          <w:lang w:val="fr-FR"/>
        </w:rPr>
        <w:t>le</w:t>
      </w:r>
      <w:r w:rsidRPr="007D4F79">
        <w:rPr>
          <w:spacing w:val="14"/>
          <w:lang w:val="fr-FR"/>
        </w:rPr>
        <w:t xml:space="preserve"> </w:t>
      </w:r>
      <w:r w:rsidRPr="007D4F79">
        <w:rPr>
          <w:lang w:val="fr-FR"/>
        </w:rPr>
        <w:t>bureau</w:t>
      </w:r>
      <w:r w:rsidRPr="007D4F79">
        <w:rPr>
          <w:spacing w:val="13"/>
          <w:lang w:val="fr-FR"/>
        </w:rPr>
        <w:t xml:space="preserve"> </w:t>
      </w:r>
      <w:r w:rsidRPr="007D4F79">
        <w:rPr>
          <w:lang w:val="fr-FR"/>
        </w:rPr>
        <w:t>régional</w:t>
      </w:r>
      <w:r w:rsidRPr="007D4F79">
        <w:rPr>
          <w:spacing w:val="15"/>
          <w:lang w:val="fr-FR"/>
        </w:rPr>
        <w:t xml:space="preserve"> </w:t>
      </w:r>
      <w:r w:rsidRPr="007D4F79">
        <w:rPr>
          <w:lang w:val="fr-FR"/>
        </w:rPr>
        <w:t>de</w:t>
      </w:r>
      <w:r w:rsidRPr="007D4F79">
        <w:rPr>
          <w:spacing w:val="15"/>
          <w:lang w:val="fr-FR"/>
        </w:rPr>
        <w:t xml:space="preserve"> </w:t>
      </w:r>
      <w:r w:rsidRPr="007D4F79">
        <w:rPr>
          <w:lang w:val="fr-FR"/>
        </w:rPr>
        <w:t>l</w:t>
      </w:r>
      <w:r w:rsidRPr="007D4F79">
        <w:rPr>
          <w:spacing w:val="-1"/>
          <w:lang w:val="fr-FR"/>
        </w:rPr>
        <w:t>'</w:t>
      </w:r>
      <w:r w:rsidRPr="007D4F79">
        <w:rPr>
          <w:lang w:val="fr-FR"/>
        </w:rPr>
        <w:t>UIT</w:t>
      </w:r>
      <w:r w:rsidRPr="007D4F79">
        <w:rPr>
          <w:spacing w:val="14"/>
          <w:lang w:val="fr-FR"/>
        </w:rPr>
        <w:t xml:space="preserve"> </w:t>
      </w:r>
      <w:r w:rsidRPr="007D4F79">
        <w:rPr>
          <w:lang w:val="fr-FR"/>
        </w:rPr>
        <w:t>pour</w:t>
      </w:r>
      <w:r w:rsidRPr="007D4F79">
        <w:rPr>
          <w:spacing w:val="14"/>
          <w:lang w:val="fr-FR"/>
        </w:rPr>
        <w:t xml:space="preserve"> </w:t>
      </w:r>
      <w:r w:rsidRPr="007D4F79">
        <w:rPr>
          <w:lang w:val="fr-FR"/>
        </w:rPr>
        <w:t>l</w:t>
      </w:r>
      <w:r w:rsidRPr="007D4F79">
        <w:rPr>
          <w:spacing w:val="-1"/>
          <w:lang w:val="fr-FR"/>
        </w:rPr>
        <w:t>'</w:t>
      </w:r>
      <w:r w:rsidRPr="007D4F79">
        <w:rPr>
          <w:lang w:val="fr-FR"/>
        </w:rPr>
        <w:t>Afrique</w:t>
      </w:r>
      <w:r w:rsidRPr="007D4F79">
        <w:rPr>
          <w:spacing w:val="14"/>
          <w:lang w:val="fr-FR"/>
        </w:rPr>
        <w:t xml:space="preserve"> </w:t>
      </w:r>
      <w:r w:rsidRPr="007D4F79">
        <w:rPr>
          <w:lang w:val="fr-FR"/>
        </w:rPr>
        <w:t>et</w:t>
      </w:r>
      <w:r w:rsidRPr="007D4F79">
        <w:rPr>
          <w:spacing w:val="14"/>
          <w:lang w:val="fr-FR"/>
        </w:rPr>
        <w:t xml:space="preserve"> </w:t>
      </w:r>
      <w:r w:rsidRPr="007D4F79">
        <w:rPr>
          <w:lang w:val="fr-FR"/>
        </w:rPr>
        <w:t>en</w:t>
      </w:r>
      <w:r w:rsidRPr="007D4F79">
        <w:rPr>
          <w:spacing w:val="14"/>
          <w:lang w:val="fr-FR"/>
        </w:rPr>
        <w:t xml:space="preserve"> </w:t>
      </w:r>
      <w:r w:rsidRPr="007D4F79">
        <w:rPr>
          <w:spacing w:val="-2"/>
          <w:lang w:val="fr-FR"/>
        </w:rPr>
        <w:t>m</w:t>
      </w:r>
      <w:r w:rsidRPr="007D4F79">
        <w:rPr>
          <w:lang w:val="fr-FR"/>
        </w:rPr>
        <w:t>ettant</w:t>
      </w:r>
      <w:r w:rsidRPr="007D4F79">
        <w:rPr>
          <w:spacing w:val="14"/>
          <w:lang w:val="fr-FR"/>
        </w:rPr>
        <w:t xml:space="preserve"> </w:t>
      </w:r>
      <w:r w:rsidRPr="007D4F79">
        <w:rPr>
          <w:lang w:val="fr-FR"/>
        </w:rPr>
        <w:t>des</w:t>
      </w:r>
      <w:r w:rsidRPr="007D4F79">
        <w:rPr>
          <w:spacing w:val="14"/>
          <w:lang w:val="fr-FR"/>
        </w:rPr>
        <w:t xml:space="preserve"> </w:t>
      </w:r>
      <w:r w:rsidRPr="007D4F79">
        <w:rPr>
          <w:lang w:val="fr-FR"/>
        </w:rPr>
        <w:t>experts</w:t>
      </w:r>
      <w:r w:rsidRPr="007D4F79">
        <w:rPr>
          <w:spacing w:val="14"/>
          <w:lang w:val="fr-FR"/>
        </w:rPr>
        <w:t xml:space="preserve"> </w:t>
      </w:r>
      <w:r w:rsidRPr="007D4F79">
        <w:rPr>
          <w:lang w:val="fr-FR"/>
        </w:rPr>
        <w:t>à la disposition de cette organisation;</w:t>
      </w:r>
    </w:p>
    <w:p w14:paraId="547137F9" w14:textId="77777777" w:rsidR="0046286E" w:rsidRPr="007D4F79" w:rsidRDefault="0046286E" w:rsidP="0046286E">
      <w:pPr>
        <w:textAlignment w:val="auto"/>
        <w:rPr>
          <w:lang w:val="fr-FR"/>
        </w:rPr>
      </w:pPr>
      <w:r w:rsidRPr="007D4F79">
        <w:rPr>
          <w:lang w:val="fr-FR"/>
        </w:rPr>
        <w:br w:type="page"/>
      </w:r>
    </w:p>
    <w:p w14:paraId="167D3F73" w14:textId="77777777" w:rsidR="0046286E" w:rsidRPr="007D4F79" w:rsidRDefault="0046286E" w:rsidP="0046286E">
      <w:pPr>
        <w:textAlignment w:val="auto"/>
        <w:rPr>
          <w:lang w:val="fr-FR"/>
        </w:rPr>
      </w:pPr>
      <w:r w:rsidRPr="007D4F79">
        <w:rPr>
          <w:lang w:val="fr-FR"/>
        </w:rPr>
        <w:lastRenderedPageBreak/>
        <w:t>2</w:t>
      </w:r>
      <w:r w:rsidRPr="007D4F79">
        <w:rPr>
          <w:lang w:val="fr-FR"/>
        </w:rPr>
        <w:tab/>
        <w:t>de travailler en coordination et en collaboration avec les organisations concernées du système des Nations Unies, comme le Bureau des Nations Unies pour la coopération Sud-Sud, pour les questions de télécommunication/TIC, y compris les mécanismes de financement correspondants, en vue d'apporter un appui à l'UAT;</w:t>
      </w:r>
    </w:p>
    <w:p w14:paraId="5DF7D925" w14:textId="77777777" w:rsidR="0046286E" w:rsidRPr="007D4F79" w:rsidRDefault="0046286E" w:rsidP="0046286E">
      <w:pPr>
        <w:textAlignment w:val="auto"/>
        <w:rPr>
          <w:lang w:val="fr-FR"/>
        </w:rPr>
      </w:pPr>
      <w:r w:rsidRPr="007D4F79">
        <w:rPr>
          <w:lang w:val="fr-FR"/>
        </w:rPr>
        <w:t>3</w:t>
      </w:r>
      <w:r w:rsidRPr="007D4F79">
        <w:rPr>
          <w:lang w:val="fr-FR"/>
        </w:rPr>
        <w:tab/>
        <w:t>d'élaborer un cadre de partenariat UAT/UIT, sur la base d'un plan de travail annuel, qui permettrait de mieux contribuer à la mise en œuvre des initiatives régionales et de toutes les activités communes identifiées;</w:t>
      </w:r>
    </w:p>
    <w:p w14:paraId="08524D64" w14:textId="484C20AC" w:rsidR="0046286E" w:rsidRPr="007D4F79" w:rsidRDefault="0046286E" w:rsidP="0046286E">
      <w:pPr>
        <w:textAlignment w:val="auto"/>
        <w:rPr>
          <w:lang w:val="fr-FR"/>
        </w:rPr>
      </w:pPr>
      <w:r w:rsidRPr="007D4F79">
        <w:rPr>
          <w:lang w:val="fr-FR"/>
        </w:rPr>
        <w:t>4</w:t>
      </w:r>
      <w:r w:rsidRPr="007D4F79">
        <w:rPr>
          <w:lang w:val="fr-FR"/>
        </w:rPr>
        <w:tab/>
        <w:t>de porter la présente Résolution à l'attention de la Conférence de plénipotentiaires pour examen et suite à donner.</w:t>
      </w:r>
    </w:p>
    <w:p w14:paraId="105683D3" w14:textId="492624DB" w:rsidR="00F16487" w:rsidRDefault="00F16487"/>
    <w:p w14:paraId="5760CC95" w14:textId="379566F7" w:rsidR="0046286E" w:rsidRDefault="0046286E"/>
    <w:p w14:paraId="799BEEB7" w14:textId="6E21CC47" w:rsidR="0046286E" w:rsidRDefault="0046286E"/>
    <w:p w14:paraId="21A6ABEB" w14:textId="121E0E0C" w:rsidR="0046286E" w:rsidRDefault="0046286E"/>
    <w:p w14:paraId="260D9443" w14:textId="71FDA721" w:rsidR="0046286E" w:rsidRDefault="0046286E"/>
    <w:p w14:paraId="2B018032" w14:textId="77777777" w:rsidR="0046286E" w:rsidRDefault="0046286E"/>
    <w:p w14:paraId="2EDC3A47" w14:textId="51B486A4" w:rsidR="0046286E" w:rsidRDefault="0046286E"/>
    <w:p w14:paraId="159E1B0C" w14:textId="6D804A30" w:rsidR="0046286E" w:rsidRDefault="0046286E"/>
    <w:p w14:paraId="6DAB016E" w14:textId="5462CBAD" w:rsidR="0046286E" w:rsidRDefault="0046286E"/>
    <w:p w14:paraId="6D2C8948" w14:textId="609B7C66" w:rsidR="0046286E" w:rsidRDefault="0046286E"/>
    <w:p w14:paraId="48004EF6" w14:textId="4EE22183" w:rsidR="0046286E" w:rsidRDefault="0046286E"/>
    <w:p w14:paraId="542C78E1" w14:textId="77777777" w:rsidR="0046286E" w:rsidRDefault="0046286E"/>
    <w:sectPr w:rsidR="0046286E" w:rsidSect="0046286E">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5427" w14:textId="77777777" w:rsidR="0046286E" w:rsidRDefault="0046286E" w:rsidP="0046286E">
      <w:pPr>
        <w:spacing w:before="0" w:after="0"/>
      </w:pPr>
      <w:r>
        <w:separator/>
      </w:r>
    </w:p>
  </w:endnote>
  <w:endnote w:type="continuationSeparator" w:id="0">
    <w:p w14:paraId="41DD4636" w14:textId="77777777" w:rsidR="0046286E" w:rsidRDefault="0046286E" w:rsidP="004628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5092" w14:textId="77777777" w:rsidR="0046286E" w:rsidRDefault="0046286E" w:rsidP="0046286E">
      <w:pPr>
        <w:spacing w:before="0" w:after="0"/>
      </w:pPr>
      <w:r>
        <w:separator/>
      </w:r>
    </w:p>
  </w:footnote>
  <w:footnote w:type="continuationSeparator" w:id="0">
    <w:p w14:paraId="47AED8DF" w14:textId="77777777" w:rsidR="0046286E" w:rsidRDefault="0046286E" w:rsidP="0046286E">
      <w:pPr>
        <w:spacing w:before="0" w:after="0"/>
      </w:pPr>
      <w:r>
        <w:continuationSeparator/>
      </w:r>
    </w:p>
  </w:footnote>
  <w:footnote w:id="1">
    <w:p w14:paraId="586FACD9" w14:textId="77777777" w:rsidR="0046286E" w:rsidRPr="00F87E6C" w:rsidRDefault="0046286E" w:rsidP="0046286E">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209622863"/>
      <w:docPartObj>
        <w:docPartGallery w:val="Page Numbers (Top of Page)"/>
        <w:docPartUnique/>
      </w:docPartObj>
    </w:sdtPr>
    <w:sdtEndPr>
      <w:rPr>
        <w:noProof/>
      </w:rPr>
    </w:sdtEndPr>
    <w:sdtContent>
      <w:p w14:paraId="105E46DF" w14:textId="77777777" w:rsidR="0046286E" w:rsidRPr="0046286E" w:rsidRDefault="0046286E" w:rsidP="0046286E">
        <w:pPr>
          <w:tabs>
            <w:tab w:val="left" w:pos="426"/>
            <w:tab w:val="left" w:pos="851"/>
          </w:tabs>
          <w:spacing w:before="0"/>
          <w:jc w:val="left"/>
          <w:rPr>
            <w:rFonts w:ascii="Calibri" w:hAnsi="Calibri"/>
            <w:sz w:val="16"/>
            <w:szCs w:val="16"/>
            <w:lang w:val="fr-FR"/>
          </w:rPr>
        </w:pPr>
        <w:r w:rsidRPr="0046286E">
          <w:rPr>
            <w:rFonts w:ascii="Calibri" w:hAnsi="Calibri"/>
            <w:sz w:val="16"/>
            <w:szCs w:val="16"/>
          </w:rPr>
          <w:fldChar w:fldCharType="begin"/>
        </w:r>
        <w:r w:rsidRPr="0046286E">
          <w:rPr>
            <w:rFonts w:ascii="Calibri" w:hAnsi="Calibri"/>
            <w:sz w:val="16"/>
            <w:szCs w:val="16"/>
            <w:lang w:val="fr-FR"/>
          </w:rPr>
          <w:instrText xml:space="preserve"> PAGE   \* MERGEFORMAT </w:instrText>
        </w:r>
        <w:r w:rsidRPr="0046286E">
          <w:rPr>
            <w:rFonts w:ascii="Calibri" w:hAnsi="Calibri"/>
            <w:sz w:val="16"/>
            <w:szCs w:val="16"/>
          </w:rPr>
          <w:fldChar w:fldCharType="separate"/>
        </w:r>
        <w:r w:rsidRPr="0046286E">
          <w:rPr>
            <w:rFonts w:ascii="Calibri" w:hAnsi="Calibri"/>
            <w:sz w:val="16"/>
            <w:szCs w:val="16"/>
          </w:rPr>
          <w:t>176</w:t>
        </w:r>
        <w:r w:rsidRPr="0046286E">
          <w:rPr>
            <w:rFonts w:ascii="Calibri" w:hAnsi="Calibri"/>
            <w:noProof/>
            <w:sz w:val="16"/>
            <w:szCs w:val="16"/>
          </w:rPr>
          <w:fldChar w:fldCharType="end"/>
        </w:r>
        <w:r w:rsidRPr="0046286E">
          <w:rPr>
            <w:rFonts w:ascii="Calibri" w:hAnsi="Calibri"/>
            <w:sz w:val="16"/>
            <w:szCs w:val="16"/>
            <w:lang w:val="fr-FR"/>
          </w:rPr>
          <w:tab/>
          <w:t>Rapport final de la CMDT-22 – Partie IV – Résolution 36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2087291545"/>
      <w:docPartObj>
        <w:docPartGallery w:val="Page Numbers (Top of Page)"/>
        <w:docPartUnique/>
      </w:docPartObj>
    </w:sdtPr>
    <w:sdtEndPr>
      <w:rPr>
        <w:noProof/>
      </w:rPr>
    </w:sdtEndPr>
    <w:sdtContent>
      <w:p w14:paraId="5763D6ED" w14:textId="77777777" w:rsidR="0046286E" w:rsidRPr="0046286E" w:rsidRDefault="0046286E" w:rsidP="0046286E">
        <w:pPr>
          <w:tabs>
            <w:tab w:val="clear" w:pos="1134"/>
            <w:tab w:val="clear" w:pos="1871"/>
            <w:tab w:val="clear" w:pos="2268"/>
            <w:tab w:val="left" w:pos="5387"/>
            <w:tab w:val="left" w:pos="9356"/>
          </w:tabs>
          <w:spacing w:before="0"/>
          <w:jc w:val="right"/>
          <w:rPr>
            <w:rFonts w:ascii="Calibri" w:hAnsi="Calibri"/>
            <w:sz w:val="16"/>
            <w:szCs w:val="16"/>
            <w:lang w:val="fr-FR"/>
          </w:rPr>
        </w:pPr>
        <w:r w:rsidRPr="0046286E">
          <w:rPr>
            <w:rFonts w:ascii="Calibri" w:hAnsi="Calibri"/>
            <w:sz w:val="16"/>
            <w:szCs w:val="16"/>
            <w:lang w:val="fr-FR"/>
          </w:rPr>
          <w:tab/>
          <w:t>Rapport final de la CMDT-22 – Partie IV – Résolution 36</w:t>
        </w:r>
        <w:r w:rsidRPr="0046286E">
          <w:rPr>
            <w:rFonts w:ascii="Calibri" w:hAnsi="Calibri"/>
            <w:sz w:val="16"/>
            <w:szCs w:val="16"/>
            <w:lang w:val="fr-FR"/>
          </w:rPr>
          <w:tab/>
        </w:r>
        <w:r w:rsidRPr="0046286E">
          <w:rPr>
            <w:rFonts w:ascii="Calibri" w:hAnsi="Calibri"/>
            <w:sz w:val="16"/>
            <w:szCs w:val="16"/>
          </w:rPr>
          <w:fldChar w:fldCharType="begin"/>
        </w:r>
        <w:r w:rsidRPr="0046286E">
          <w:rPr>
            <w:rFonts w:ascii="Calibri" w:hAnsi="Calibri"/>
            <w:sz w:val="16"/>
            <w:szCs w:val="16"/>
            <w:lang w:val="fr-FR"/>
          </w:rPr>
          <w:instrText xml:space="preserve"> PAGE   \* MERGEFORMAT </w:instrText>
        </w:r>
        <w:r w:rsidRPr="0046286E">
          <w:rPr>
            <w:rFonts w:ascii="Calibri" w:hAnsi="Calibri"/>
            <w:sz w:val="16"/>
            <w:szCs w:val="16"/>
          </w:rPr>
          <w:fldChar w:fldCharType="separate"/>
        </w:r>
        <w:r w:rsidRPr="0046286E">
          <w:rPr>
            <w:rFonts w:ascii="Calibri" w:hAnsi="Calibri"/>
            <w:sz w:val="16"/>
            <w:szCs w:val="16"/>
          </w:rPr>
          <w:t>175</w:t>
        </w:r>
        <w:r w:rsidRPr="0046286E">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6E"/>
    <w:rsid w:val="000D71A8"/>
    <w:rsid w:val="00400A99"/>
    <w:rsid w:val="0045258F"/>
    <w:rsid w:val="0046286E"/>
    <w:rsid w:val="004A0B3D"/>
    <w:rsid w:val="0051703C"/>
    <w:rsid w:val="005C0E4B"/>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BA81"/>
  <w15:chartTrackingRefBased/>
  <w15:docId w15:val="{CC01B1DA-649E-466A-A948-7754D148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6E"/>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46286E"/>
    <w:pPr>
      <w:keepNext/>
      <w:keepLines/>
      <w:spacing w:before="160"/>
      <w:ind w:left="1134"/>
    </w:pPr>
    <w:rPr>
      <w:i/>
    </w:rPr>
  </w:style>
  <w:style w:type="character" w:styleId="FootnoteReference">
    <w:name w:val="footnote reference"/>
    <w:basedOn w:val="DefaultParagraphFont"/>
    <w:rsid w:val="0046286E"/>
    <w:rPr>
      <w:rFonts w:asciiTheme="minorHAnsi" w:hAnsiTheme="minorHAnsi"/>
      <w:position w:val="6"/>
      <w:sz w:val="18"/>
    </w:rPr>
  </w:style>
  <w:style w:type="paragraph" w:styleId="FootnoteText">
    <w:name w:val="footnote text"/>
    <w:basedOn w:val="Normal"/>
    <w:link w:val="FootnoteTextChar"/>
    <w:rsid w:val="0046286E"/>
    <w:pPr>
      <w:keepLines/>
      <w:tabs>
        <w:tab w:val="left" w:pos="255"/>
      </w:tabs>
    </w:pPr>
    <w:rPr>
      <w:sz w:val="22"/>
    </w:rPr>
  </w:style>
  <w:style w:type="character" w:customStyle="1" w:styleId="FootnoteTextChar">
    <w:name w:val="Footnote Text Char"/>
    <w:basedOn w:val="DefaultParagraphFont"/>
    <w:link w:val="FootnoteText"/>
    <w:rsid w:val="0046286E"/>
    <w:rPr>
      <w:rFonts w:eastAsia="Times New Roman" w:cs="Times New Roman"/>
      <w:szCs w:val="20"/>
      <w:lang w:val="en-GB"/>
    </w:rPr>
  </w:style>
  <w:style w:type="paragraph" w:customStyle="1" w:styleId="Normalaftertitle">
    <w:name w:val="Normal after title"/>
    <w:basedOn w:val="Normal"/>
    <w:next w:val="Normal"/>
    <w:link w:val="NormalaftertitleChar"/>
    <w:rsid w:val="0046286E"/>
    <w:pPr>
      <w:spacing w:before="280"/>
    </w:pPr>
  </w:style>
  <w:style w:type="paragraph" w:customStyle="1" w:styleId="ResNo">
    <w:name w:val="Res_No"/>
    <w:basedOn w:val="Normal"/>
    <w:next w:val="Normal"/>
    <w:rsid w:val="0046286E"/>
    <w:pPr>
      <w:keepNext/>
      <w:keepLines/>
      <w:spacing w:before="480"/>
      <w:jc w:val="center"/>
      <w:outlineLvl w:val="0"/>
    </w:pPr>
    <w:rPr>
      <w:caps/>
      <w:sz w:val="28"/>
    </w:rPr>
  </w:style>
  <w:style w:type="paragraph" w:customStyle="1" w:styleId="Restitle">
    <w:name w:val="Res_title"/>
    <w:basedOn w:val="Normal"/>
    <w:next w:val="Normal"/>
    <w:rsid w:val="0046286E"/>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46286E"/>
    <w:rPr>
      <w:rFonts w:eastAsia="Times New Roman" w:cs="Times New Roman"/>
      <w:sz w:val="24"/>
      <w:szCs w:val="20"/>
      <w:lang w:val="en-GB"/>
    </w:rPr>
  </w:style>
  <w:style w:type="paragraph" w:styleId="Header">
    <w:name w:val="header"/>
    <w:basedOn w:val="Normal"/>
    <w:link w:val="HeaderChar"/>
    <w:uiPriority w:val="99"/>
    <w:unhideWhenUsed/>
    <w:rsid w:val="0046286E"/>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46286E"/>
    <w:rPr>
      <w:rFonts w:eastAsia="Times New Roman" w:cs="Times New Roman"/>
      <w:sz w:val="24"/>
      <w:szCs w:val="20"/>
      <w:lang w:val="en-GB"/>
    </w:rPr>
  </w:style>
  <w:style w:type="paragraph" w:styleId="Footer">
    <w:name w:val="footer"/>
    <w:basedOn w:val="Normal"/>
    <w:link w:val="FooterChar"/>
    <w:uiPriority w:val="99"/>
    <w:unhideWhenUsed/>
    <w:rsid w:val="0046286E"/>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46286E"/>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1057</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2023-10-16T12:54:00Z</dcterms:created>
  <dcterms:modified xsi:type="dcterms:W3CDTF">2023-10-16T13:16:00Z</dcterms:modified>
</cp:coreProperties>
</file>