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F612" w14:textId="77777777" w:rsidR="004C5787" w:rsidRPr="003C0233" w:rsidRDefault="004C5787" w:rsidP="004C5787">
      <w:pPr>
        <w:pStyle w:val="ResNo"/>
        <w:rPr>
          <w:lang w:val="es-ES_tradnl"/>
        </w:rPr>
      </w:pPr>
      <w:bookmarkStart w:id="0" w:name="_Toc227854931"/>
      <w:bookmarkStart w:id="1" w:name="_Toc227855247"/>
      <w:bookmarkStart w:id="2" w:name="_Toc227855458"/>
      <w:bookmarkStart w:id="3" w:name="_Toc227856222"/>
      <w:r w:rsidRPr="003C0233">
        <w:rPr>
          <w:lang w:val="es-ES_tradnl"/>
        </w:rPr>
        <w:t>RESOLUCIÓN </w:t>
      </w:r>
      <w:r w:rsidRPr="003C0233">
        <w:rPr>
          <w:rStyle w:val="href"/>
          <w:lang w:val="es-ES_tradnl"/>
        </w:rPr>
        <w:t>33</w:t>
      </w:r>
      <w:r w:rsidRPr="003C0233">
        <w:rPr>
          <w:lang w:val="es-ES_tradnl"/>
        </w:rPr>
        <w:t xml:space="preserve"> (Rev. Dubái, 2014)</w:t>
      </w:r>
      <w:bookmarkEnd w:id="0"/>
      <w:bookmarkEnd w:id="1"/>
      <w:bookmarkEnd w:id="2"/>
      <w:bookmarkEnd w:id="3"/>
    </w:p>
    <w:p w14:paraId="5B59F83D" w14:textId="0FFFAF2B" w:rsidR="004C5787" w:rsidRPr="003C0233" w:rsidRDefault="004C5787" w:rsidP="004C5787">
      <w:pPr>
        <w:pStyle w:val="Restitle"/>
        <w:rPr>
          <w:lang w:val="es-ES_tradnl"/>
        </w:rPr>
      </w:pPr>
      <w:bookmarkStart w:id="4" w:name="_Toc227854932"/>
      <w:bookmarkStart w:id="5" w:name="_Toc227855248"/>
      <w:bookmarkStart w:id="6" w:name="_Toc227855459"/>
      <w:bookmarkStart w:id="7" w:name="_Toc227856223"/>
      <w:r w:rsidRPr="003C0233">
        <w:rPr>
          <w:lang w:val="es-ES_tradnl"/>
        </w:rPr>
        <w:t>Asistencia y apoyo a Serbia para la reconstrucción</w:t>
      </w:r>
      <w:r w:rsidR="00A4058F" w:rsidRPr="003C0233">
        <w:rPr>
          <w:lang w:val="es-ES_tradnl"/>
        </w:rPr>
        <w:t xml:space="preserve"> </w:t>
      </w:r>
      <w:r w:rsidR="00310118">
        <w:rPr>
          <w:lang w:val="es-ES_tradnl"/>
        </w:rPr>
        <w:br/>
      </w:r>
      <w:r w:rsidRPr="003C0233">
        <w:rPr>
          <w:lang w:val="es-ES_tradnl"/>
        </w:rPr>
        <w:t>del sistema público de</w:t>
      </w:r>
      <w:r w:rsidR="00310118">
        <w:rPr>
          <w:lang w:val="es-ES_tradnl"/>
        </w:rPr>
        <w:t> </w:t>
      </w:r>
      <w:r w:rsidRPr="003C0233">
        <w:rPr>
          <w:lang w:val="es-ES_tradnl"/>
        </w:rPr>
        <w:t>radiodifusión destruido</w:t>
      </w:r>
      <w:bookmarkEnd w:id="4"/>
      <w:bookmarkEnd w:id="5"/>
      <w:bookmarkEnd w:id="6"/>
      <w:bookmarkEnd w:id="7"/>
    </w:p>
    <w:p w14:paraId="259524FD" w14:textId="77777777" w:rsidR="004C5787" w:rsidRPr="003C0233" w:rsidRDefault="004C5787" w:rsidP="004C578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(Dubái, 2014),</w:t>
      </w:r>
    </w:p>
    <w:p w14:paraId="65B8B5CE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7A238D01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los nobles principios, fines y objetivos de la Carta de las Naciones Unidas y de la Declaración Universal de Derechos Humanos;</w:t>
      </w:r>
    </w:p>
    <w:p w14:paraId="40E55227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los objetivos de la Unión, enunciados en el Artículo 1 de su Constitución,</w:t>
      </w:r>
    </w:p>
    <w:p w14:paraId="388D867F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286D984B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33 (Rev. Doha, 2006) de la Conferencia Mundial de Desarrollo de las Telecomunicaciones de la UIT;</w:t>
      </w:r>
    </w:p>
    <w:p w14:paraId="0F784D24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126 (Rev. Guadalajara, 2010) de la Conferencia de Plenipotenciarios de la UIT,</w:t>
      </w:r>
    </w:p>
    <w:p w14:paraId="15341408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observando con reconocimiento</w:t>
      </w:r>
    </w:p>
    <w:p w14:paraId="09F121FE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los esfuerzos desplegados por 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de la UIT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 (BDT) con miras a la aplicación de las Resoluciones indicadas </w:t>
      </w:r>
      <w:r w:rsidRPr="003C0233">
        <w:rPr>
          <w:i/>
          <w:iCs/>
          <w:lang w:val="es-ES_tradnl"/>
        </w:rPr>
        <w:t>supra</w:t>
      </w:r>
      <w:r w:rsidRPr="003C0233">
        <w:rPr>
          <w:lang w:val="es-ES_tradnl"/>
        </w:rPr>
        <w:t>;</w:t>
      </w:r>
    </w:p>
    <w:p w14:paraId="02B1D1C3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importante ayuda de la Unión Europea (UE) a través de los fondos de preadhesión (IPA) para la puesta en práctica del proceso de digitalización,</w:t>
      </w:r>
    </w:p>
    <w:p w14:paraId="7AC8DA10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066288D0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un sistema público de radiodifusión fiable es indispensable para el desarrollo socioeconómico de los países, en particular de aquellos que han sufrido catástrofes naturales, conflictos internos o guerras;</w:t>
      </w:r>
    </w:p>
    <w:p w14:paraId="0D273476" w14:textId="45A55463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el recién creado organismo de radiodifusión pública de Serbia, a saber, «Múltiplex de radiodifusión y operador de red» (ETV), que antes formaba parte de la Radiotelevisión de Serbia, es la entidad pública responsable de la radiodifusión terrenal;</w:t>
      </w:r>
    </w:p>
    <w:p w14:paraId="34143C61" w14:textId="70F1EA9F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los graves daños causados al sistema público de radiodifusión (ETV) de Serbia atañen a toda la comunidad internacional, y en particular a la UIT;</w:t>
      </w:r>
    </w:p>
    <w:p w14:paraId="6CB9D283" w14:textId="77777777" w:rsidR="00AF5C7C" w:rsidRPr="003C0233" w:rsidRDefault="00AF5C7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1AC1BC83" w14:textId="29DF0B1B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d)</w:t>
      </w:r>
      <w:r w:rsidRPr="003C0233">
        <w:rPr>
          <w:lang w:val="es-ES_tradnl"/>
        </w:rPr>
        <w:tab/>
        <w:t>que, en la situación actual y en el futuro previsible, Serbia no podrá mejorar el sistema público de radiodifusión en Serbia hasta un nivel aceptable sin la ayuda de la comunidad internacional, ya sea lograda bilateralmente o por conducto de organizaciones internacionales,</w:t>
      </w:r>
    </w:p>
    <w:p w14:paraId="1569B05B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129F4078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proseguir una acción especial, en el marco del Sector de Desarrollo de las Telecomunicaciones de la UIT y de sus recursos presupuestarios disponibles, y con la ayuda especializada de los Sectores de Radiocomunicaciones y de Normalización de las Telecomunicaciones de la UIT;</w:t>
      </w:r>
    </w:p>
    <w:p w14:paraId="0278F1EC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prestar asistencia adecuada;</w:t>
      </w:r>
    </w:p>
    <w:p w14:paraId="74E5924B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prestar apoyo a Serbia en la reconstrucción del sistema público de radiodifusión,</w:t>
      </w:r>
    </w:p>
    <w:p w14:paraId="262A43DB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pide a los Estados Miembros</w:t>
      </w:r>
    </w:p>
    <w:p w14:paraId="3E79F5A9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ofrezcan toda la ayuda posible;</w:t>
      </w:r>
    </w:p>
    <w:p w14:paraId="67D22AB6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ofrezcan apoyo al Gobierno de Serbia, ya sea bilateralmente o por medio de la referida acción especial de la Unión y, en todo caso, coordinando con ella,</w:t>
      </w:r>
    </w:p>
    <w:p w14:paraId="04BD6B8D" w14:textId="5A42E331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71D3B51F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que consigne los fondos necesarios, dentro de los recursos disponibles, con miras a proseguir dicha acción,</w:t>
      </w:r>
    </w:p>
    <w:p w14:paraId="61D8493E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pide al </w:t>
      </w:r>
      <w:proofErr w:type="gramStart"/>
      <w:r w:rsidRPr="003C0233">
        <w:rPr>
          <w:lang w:val="es-ES_tradnl"/>
        </w:rPr>
        <w:t>Secretario General</w:t>
      </w:r>
      <w:proofErr w:type="gramEnd"/>
    </w:p>
    <w:p w14:paraId="417EA76A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que coordine las actividades de los Sectores de la UIT conforme a lo indicado </w:t>
      </w:r>
      <w:r w:rsidRPr="003C0233">
        <w:rPr>
          <w:i/>
          <w:iCs/>
          <w:lang w:val="es-ES_tradnl"/>
        </w:rPr>
        <w:t>supra</w:t>
      </w:r>
      <w:r w:rsidRPr="003C0233">
        <w:rPr>
          <w:lang w:val="es-ES_tradnl"/>
        </w:rPr>
        <w:t>;</w:t>
      </w:r>
    </w:p>
    <w:p w14:paraId="32E969D2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vele por que la acción de la UIT en favor de Serbia sea lo más eficaz posible;</w:t>
      </w:r>
    </w:p>
    <w:p w14:paraId="3F8D6EBD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informe sobre el asunto al Consejo;</w:t>
      </w:r>
    </w:p>
    <w:p w14:paraId="2FDE0D25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comunique esta Resolución a la Conferencia de Plenipotenciarios (</w:t>
      </w:r>
      <w:proofErr w:type="spellStart"/>
      <w:r w:rsidRPr="003C0233">
        <w:rPr>
          <w:lang w:val="es-ES_tradnl"/>
        </w:rPr>
        <w:t>Busán</w:t>
      </w:r>
      <w:proofErr w:type="spellEnd"/>
      <w:r w:rsidRPr="003C0233">
        <w:rPr>
          <w:lang w:val="es-ES_tradnl"/>
        </w:rPr>
        <w:t>, 2014).</w:t>
      </w:r>
    </w:p>
    <w:sectPr w:rsidR="004C5787" w:rsidRPr="003C0233" w:rsidSect="005A19A1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BE17C" w14:textId="77777777" w:rsidR="00C07B9C" w:rsidRDefault="00C07B9C">
      <w:r>
        <w:separator/>
      </w:r>
    </w:p>
  </w:endnote>
  <w:endnote w:type="continuationSeparator" w:id="0">
    <w:p w14:paraId="1CBFB45D" w14:textId="77777777" w:rsidR="00C07B9C" w:rsidRDefault="00C07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06E42" w14:textId="77777777" w:rsidR="00C07B9C" w:rsidRDefault="00C07B9C">
      <w:r>
        <w:rPr>
          <w:b/>
        </w:rPr>
        <w:t>_______________</w:t>
      </w:r>
    </w:p>
  </w:footnote>
  <w:footnote w:type="continuationSeparator" w:id="0">
    <w:p w14:paraId="26EAC518" w14:textId="77777777" w:rsidR="00C07B9C" w:rsidRDefault="00C07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990390142"/>
      <w:docPartObj>
        <w:docPartGallery w:val="Page Numbers (Top of Page)"/>
        <w:docPartUnique/>
      </w:docPartObj>
    </w:sdtPr>
    <w:sdtEndPr/>
    <w:sdtContent>
      <w:p w14:paraId="773D4E79" w14:textId="292F02BF" w:rsidR="00544754" w:rsidRPr="005A19A1" w:rsidRDefault="00544754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5A19A1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5A19A1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5A19A1">
          <w:rPr>
            <w:sz w:val="16"/>
            <w:szCs w:val="16"/>
            <w:lang w:val="es-ES"/>
          </w:rPr>
          <w:tab/>
        </w:r>
        <w:r w:rsidRPr="005A19A1">
          <w:rPr>
            <w:rFonts w:ascii="Calibri" w:hAnsi="Calibri"/>
            <w:sz w:val="16"/>
            <w:szCs w:val="16"/>
            <w:lang w:val="es-ES"/>
          </w:rPr>
          <w:t>Informe final de la CMDT-25 – Parte IV – Resolución 31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502043802"/>
      <w:docPartObj>
        <w:docPartGallery w:val="Page Numbers (Top of Page)"/>
        <w:docPartUnique/>
      </w:docPartObj>
    </w:sdtPr>
    <w:sdtEndPr/>
    <w:sdtContent>
      <w:p w14:paraId="0AC938EF" w14:textId="7BF33B2B" w:rsidR="00544754" w:rsidRPr="005A19A1" w:rsidRDefault="00544754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5A19A1">
          <w:rPr>
            <w:rFonts w:ascii="Calibri" w:hAnsi="Calibri"/>
            <w:sz w:val="16"/>
            <w:szCs w:val="16"/>
            <w:lang w:val="es-ES"/>
          </w:rPr>
          <w:t>Informe final de la CMDT-25 – Parte IV – Resolución 33</w:t>
        </w:r>
        <w:r w:rsidRPr="005A19A1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5A19A1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5A19A1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1393774191"/>
      <w:docPartObj>
        <w:docPartGallery w:val="Page Numbers (Top of Page)"/>
        <w:docPartUnique/>
      </w:docPartObj>
    </w:sdtPr>
    <w:sdtContent>
      <w:p w14:paraId="01EDB996" w14:textId="3018948B" w:rsidR="00544754" w:rsidRPr="005A19A1" w:rsidRDefault="005A19A1" w:rsidP="005A19A1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541F26">
          <w:rPr>
            <w:rFonts w:ascii="Calibri" w:hAnsi="Calibri"/>
            <w:sz w:val="16"/>
            <w:szCs w:val="16"/>
            <w:lang w:val="es-ES"/>
          </w:rPr>
          <w:t>Informe final de la CMDT-25 – Parte IV – Resolución 3</w:t>
        </w:r>
        <w:r>
          <w:rPr>
            <w:rFonts w:ascii="Calibri" w:hAnsi="Calibri"/>
            <w:sz w:val="16"/>
            <w:szCs w:val="16"/>
            <w:lang w:val="es-ES"/>
          </w:rPr>
          <w:t>3</w:t>
        </w:r>
        <w:r w:rsidRPr="00541F26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541F26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5A19A1">
          <w:rPr>
            <w:rFonts w:ascii="Calibri" w:hAnsi="Calibri"/>
            <w:sz w:val="16"/>
            <w:szCs w:val="16"/>
            <w:lang w:val="es-ES"/>
          </w:rPr>
          <w:t>1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19A1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07B9C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2689</TotalTime>
  <Pages>2</Pages>
  <Words>472</Words>
  <Characters>2607</Characters>
  <Application>Microsoft Office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3060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33 (Rev. Dubái, 2014) Asistencia y apoyo a Serbia para la reconstrucción del sistema público de radiodifusión destruido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214</cp:revision>
  <cp:lastPrinted>2026-04-30T13:21:00Z</cp:lastPrinted>
  <dcterms:created xsi:type="dcterms:W3CDTF">2026-02-17T07:51:00Z</dcterms:created>
  <dcterms:modified xsi:type="dcterms:W3CDTF">2026-09-23T11:03:00Z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