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F94DF" w14:textId="77777777" w:rsidR="00084785" w:rsidRPr="003C3B63" w:rsidRDefault="00084785" w:rsidP="00084785">
      <w:pPr>
        <w:pStyle w:val="ResNo"/>
      </w:pPr>
      <w:bookmarkStart w:id="0" w:name="_Toc228194319"/>
      <w:r w:rsidRPr="003C3B63">
        <w:t xml:space="preserve">RESOLUTION </w:t>
      </w:r>
      <w:r w:rsidRPr="003C3B63">
        <w:rPr>
          <w:rStyle w:val="href"/>
        </w:rPr>
        <w:t>31</w:t>
      </w:r>
      <w:r w:rsidRPr="003C3B63">
        <w:t xml:space="preserve"> (Rev. Baku, 2025)</w:t>
      </w:r>
      <w:bookmarkEnd w:id="0"/>
    </w:p>
    <w:p w14:paraId="2EDF05B5" w14:textId="77777777" w:rsidR="00084785" w:rsidRPr="003C3B63" w:rsidRDefault="00084785" w:rsidP="00084785">
      <w:pPr>
        <w:pStyle w:val="Restitle"/>
      </w:pPr>
      <w:bookmarkStart w:id="1" w:name="_Toc228194320"/>
      <w:r w:rsidRPr="003C3B63">
        <w:t xml:space="preserve">Regional preparations for world telecommunication </w:t>
      </w:r>
      <w:r w:rsidRPr="003C3B63">
        <w:br/>
        <w:t>development conferences</w:t>
      </w:r>
      <w:bookmarkEnd w:id="1"/>
    </w:p>
    <w:p w14:paraId="3CEAAA4D" w14:textId="77777777" w:rsidR="00084785" w:rsidRPr="003C3B63" w:rsidRDefault="00084785" w:rsidP="00084785">
      <w:pPr>
        <w:pStyle w:val="Normalaftertitle"/>
        <w:rPr>
          <w:snapToGrid w:val="0"/>
          <w:lang w:eastAsia="fr-FR"/>
        </w:rPr>
      </w:pPr>
      <w:r w:rsidRPr="003C3B63">
        <w:rPr>
          <w:snapToGrid w:val="0"/>
          <w:lang w:eastAsia="fr-FR"/>
        </w:rPr>
        <w:t>The World Telecommunication Development Conference (Baku, 2025),</w:t>
      </w:r>
    </w:p>
    <w:p w14:paraId="119412A2" w14:textId="77777777" w:rsidR="00084785" w:rsidRPr="003C3B63" w:rsidRDefault="00084785" w:rsidP="00084785">
      <w:pPr>
        <w:pStyle w:val="Call"/>
        <w:rPr>
          <w:lang w:eastAsia="fr-FR"/>
        </w:rPr>
      </w:pPr>
      <w:r w:rsidRPr="003C3B63">
        <w:rPr>
          <w:lang w:eastAsia="fr-FR"/>
        </w:rPr>
        <w:t>recalling</w:t>
      </w:r>
    </w:p>
    <w:p w14:paraId="789B8F57" w14:textId="77777777" w:rsidR="00084785" w:rsidRPr="003C3B63" w:rsidRDefault="00084785" w:rsidP="00084785">
      <w:pPr>
        <w:rPr>
          <w:lang w:eastAsia="fr-FR"/>
        </w:rPr>
      </w:pPr>
      <w:r w:rsidRPr="003C3B63">
        <w:rPr>
          <w:i/>
          <w:iCs/>
          <w:lang w:eastAsia="fr-FR"/>
        </w:rPr>
        <w:t>a)</w:t>
      </w:r>
      <w:r w:rsidRPr="003C3B63">
        <w:rPr>
          <w:lang w:eastAsia="fr-FR"/>
        </w:rPr>
        <w:tab/>
        <w:t>Resolution 58 (Rev. Busan, 2014) of the Plenipotentiary Conference, on strengthening of relations between ITU and regional telecommunication organizations (RTOs) and regional preparations for the Plenipotentiary Conference;</w:t>
      </w:r>
    </w:p>
    <w:p w14:paraId="02D6E92E" w14:textId="77777777" w:rsidR="00084785" w:rsidRPr="003C3B63" w:rsidRDefault="00084785" w:rsidP="00084785">
      <w:pPr>
        <w:rPr>
          <w:snapToGrid w:val="0"/>
          <w:lang w:eastAsia="fr-FR"/>
        </w:rPr>
      </w:pPr>
      <w:r w:rsidRPr="003C3B63">
        <w:rPr>
          <w:i/>
          <w:lang w:eastAsia="fr-FR"/>
        </w:rPr>
        <w:t>b)</w:t>
      </w:r>
      <w:r w:rsidRPr="003C3B63">
        <w:rPr>
          <w:lang w:eastAsia="fr-FR"/>
        </w:rPr>
        <w:tab/>
        <w:t>Resolution </w:t>
      </w:r>
      <w:r w:rsidRPr="003C3B63">
        <w:rPr>
          <w:iCs/>
          <w:lang w:eastAsia="fr-FR"/>
        </w:rPr>
        <w:t>25 (Rev. Bucharest, 2022) of the Plenipotentiary Conference, on strengthening the regional presence,</w:t>
      </w:r>
    </w:p>
    <w:p w14:paraId="09BC44D5" w14:textId="77777777" w:rsidR="00084785" w:rsidRPr="003C3B63" w:rsidRDefault="00084785" w:rsidP="00084785">
      <w:pPr>
        <w:pStyle w:val="Call"/>
        <w:rPr>
          <w:snapToGrid w:val="0"/>
          <w:lang w:eastAsia="fr-FR"/>
        </w:rPr>
      </w:pPr>
      <w:r w:rsidRPr="003C3B63">
        <w:rPr>
          <w:snapToGrid w:val="0"/>
          <w:lang w:eastAsia="fr-FR"/>
        </w:rPr>
        <w:t>considering</w:t>
      </w:r>
    </w:p>
    <w:p w14:paraId="16A95EEC" w14:textId="77777777" w:rsidR="00084785" w:rsidRPr="003C3B63" w:rsidRDefault="00084785" w:rsidP="00084785">
      <w:pPr>
        <w:rPr>
          <w:iCs/>
          <w:snapToGrid w:val="0"/>
          <w:lang w:eastAsia="fr-FR"/>
        </w:rPr>
      </w:pPr>
      <w:r w:rsidRPr="003C3B63">
        <w:rPr>
          <w:i/>
          <w:snapToGrid w:val="0"/>
          <w:lang w:eastAsia="fr-FR"/>
        </w:rPr>
        <w:t>a)</w:t>
      </w:r>
      <w:r w:rsidRPr="003C3B63">
        <w:rPr>
          <w:i/>
          <w:snapToGrid w:val="0"/>
          <w:lang w:eastAsia="fr-FR"/>
        </w:rPr>
        <w:tab/>
      </w:r>
      <w:r w:rsidRPr="003C3B63">
        <w:rPr>
          <w:iCs/>
          <w:snapToGrid w:val="0"/>
          <w:lang w:eastAsia="fr-FR"/>
        </w:rPr>
        <w:t>that many RTOs, including the six principal ones, namely the Asia-Pacific Telecommunity (APT), the European Conference of Postal and Telecommunications Administrations (CEPT), the Inter-American Telecommunications Commission (CITEL), the African Telecommunications Union (ATU), the Council of Arab Ministers of Telecommunication and Information, represented by the Secretariat-General of the League of Arab States (LAS), and the Regional Commonwealth in the field of Communications (RCC), seek close cooperation with the Union and have coordinated their preparations for this and preceding conferences</w:t>
      </w:r>
      <w:r w:rsidRPr="003C3B63">
        <w:rPr>
          <w:snapToGrid w:val="0"/>
          <w:lang w:eastAsia="fr-FR"/>
        </w:rPr>
        <w:t>;</w:t>
      </w:r>
    </w:p>
    <w:p w14:paraId="7AAB4F66" w14:textId="77777777" w:rsidR="00084785" w:rsidRPr="003C3B63" w:rsidRDefault="00084785" w:rsidP="00084785">
      <w:pPr>
        <w:rPr>
          <w:snapToGrid w:val="0"/>
          <w:lang w:eastAsia="fr-FR"/>
        </w:rPr>
      </w:pPr>
      <w:r w:rsidRPr="003C3B63">
        <w:rPr>
          <w:i/>
          <w:snapToGrid w:val="0"/>
          <w:lang w:eastAsia="fr-FR"/>
        </w:rPr>
        <w:t>b)</w:t>
      </w:r>
      <w:r w:rsidRPr="003C3B63">
        <w:rPr>
          <w:i/>
          <w:snapToGrid w:val="0"/>
          <w:lang w:eastAsia="fr-FR"/>
        </w:rPr>
        <w:tab/>
      </w:r>
      <w:r w:rsidRPr="003C3B63">
        <w:rPr>
          <w:snapToGrid w:val="0"/>
          <w:lang w:eastAsia="fr-FR"/>
        </w:rPr>
        <w:t>that many common proposals have been submitted to this conference from administrations which have participated in the preparations, thereby facilitating the work of this conference;</w:t>
      </w:r>
    </w:p>
    <w:p w14:paraId="1911FE8C" w14:textId="77777777" w:rsidR="00084785" w:rsidRPr="003C3B63" w:rsidRDefault="00084785" w:rsidP="00084785">
      <w:pPr>
        <w:rPr>
          <w:snapToGrid w:val="0"/>
          <w:lang w:eastAsia="fr-FR"/>
        </w:rPr>
      </w:pPr>
      <w:r w:rsidRPr="003C3B63">
        <w:rPr>
          <w:i/>
          <w:snapToGrid w:val="0"/>
          <w:lang w:eastAsia="fr-FR"/>
        </w:rPr>
        <w:t>c)</w:t>
      </w:r>
      <w:r w:rsidRPr="003C3B63">
        <w:rPr>
          <w:i/>
          <w:snapToGrid w:val="0"/>
          <w:lang w:eastAsia="fr-FR"/>
        </w:rPr>
        <w:tab/>
      </w:r>
      <w:r w:rsidRPr="003C3B63">
        <w:rPr>
          <w:snapToGrid w:val="0"/>
          <w:lang w:eastAsia="fr-FR"/>
        </w:rPr>
        <w:t>that this consolidation of views at regional level, together with the opportunity for interregional discussions prior to the conference, has eased the task of reaching a consensus at the last meeting of the Telecommunication Development Advisory Group (TDAG) of the ITU Telecommunication Development Sector (ITU</w:t>
      </w:r>
      <w:r w:rsidRPr="003C3B63">
        <w:rPr>
          <w:snapToGrid w:val="0"/>
          <w:lang w:eastAsia="fr-FR"/>
        </w:rPr>
        <w:noBreakHyphen/>
        <w:t>D) and during the conference;</w:t>
      </w:r>
    </w:p>
    <w:p w14:paraId="625EEDBD" w14:textId="77777777" w:rsidR="00084785" w:rsidRPr="003C3B63" w:rsidRDefault="00084785" w:rsidP="00084785">
      <w:pPr>
        <w:rPr>
          <w:snapToGrid w:val="0"/>
          <w:lang w:eastAsia="fr-FR"/>
        </w:rPr>
      </w:pPr>
      <w:r w:rsidRPr="003C3B63">
        <w:rPr>
          <w:i/>
          <w:snapToGrid w:val="0"/>
          <w:lang w:eastAsia="fr-FR"/>
        </w:rPr>
        <w:t>d)</w:t>
      </w:r>
      <w:r w:rsidRPr="003C3B63">
        <w:rPr>
          <w:i/>
          <w:snapToGrid w:val="0"/>
          <w:lang w:eastAsia="fr-FR"/>
        </w:rPr>
        <w:tab/>
      </w:r>
      <w:r w:rsidRPr="003C3B63">
        <w:rPr>
          <w:snapToGrid w:val="0"/>
          <w:lang w:eastAsia="fr-FR"/>
        </w:rPr>
        <w:t>that preparation for future conferences is likely to increase;</w:t>
      </w:r>
    </w:p>
    <w:p w14:paraId="3595F8EE" w14:textId="77777777" w:rsidR="004F5B95" w:rsidRPr="003C3B63" w:rsidRDefault="004F5B95" w:rsidP="004F5B95">
      <w:pPr>
        <w:rPr>
          <w:snapToGrid w:val="0"/>
          <w:lang w:eastAsia="fr-FR"/>
        </w:rPr>
      </w:pPr>
      <w:r w:rsidRPr="003C3B63">
        <w:br w:type="page"/>
      </w:r>
    </w:p>
    <w:p w14:paraId="39919F83" w14:textId="77777777" w:rsidR="00084785" w:rsidRPr="003C3B63" w:rsidRDefault="00084785" w:rsidP="00084785">
      <w:r w:rsidRPr="003C3B63">
        <w:rPr>
          <w:i/>
          <w:snapToGrid w:val="0"/>
          <w:lang w:eastAsia="fr-FR"/>
        </w:rPr>
        <w:lastRenderedPageBreak/>
        <w:t>e)</w:t>
      </w:r>
      <w:r w:rsidRPr="003C3B63">
        <w:rPr>
          <w:i/>
          <w:snapToGrid w:val="0"/>
          <w:lang w:eastAsia="fr-FR"/>
        </w:rPr>
        <w:tab/>
      </w:r>
      <w:r w:rsidRPr="003C3B63">
        <w:t>the firm conviction</w:t>
      </w:r>
      <w:r w:rsidRPr="003C3B63">
        <w:rPr>
          <w:i/>
          <w:snapToGrid w:val="0"/>
          <w:lang w:eastAsia="fr-FR"/>
        </w:rPr>
        <w:t xml:space="preserve"> </w:t>
      </w:r>
      <w:r w:rsidRPr="003C3B63">
        <w:rPr>
          <w:snapToGrid w:val="0"/>
          <w:lang w:eastAsia="fr-FR"/>
        </w:rPr>
        <w:t xml:space="preserve">that the </w:t>
      </w:r>
      <w:r w:rsidRPr="003C3B63">
        <w:t>coordination of preparations at regional level for the six regions has been of great benefit to the Member States</w:t>
      </w:r>
      <w:r w:rsidRPr="003C3B63">
        <w:rPr>
          <w:rFonts w:eastAsiaTheme="minorEastAsia"/>
        </w:rPr>
        <w:t xml:space="preserve"> and Sector Members</w:t>
      </w:r>
      <w:r w:rsidRPr="003C3B63">
        <w:t>;</w:t>
      </w:r>
    </w:p>
    <w:p w14:paraId="22A13A4F" w14:textId="77777777" w:rsidR="00084785" w:rsidRPr="003C3B63" w:rsidRDefault="00084785" w:rsidP="00084785">
      <w:pPr>
        <w:rPr>
          <w:snapToGrid w:val="0"/>
          <w:lang w:eastAsia="fr-FR"/>
        </w:rPr>
      </w:pPr>
      <w:r w:rsidRPr="003C3B63">
        <w:rPr>
          <w:i/>
          <w:snapToGrid w:val="0"/>
          <w:lang w:eastAsia="fr-FR"/>
        </w:rPr>
        <w:t>f)</w:t>
      </w:r>
      <w:r w:rsidRPr="003C3B63">
        <w:rPr>
          <w:i/>
          <w:snapToGrid w:val="0"/>
          <w:lang w:eastAsia="fr-FR"/>
        </w:rPr>
        <w:tab/>
      </w:r>
      <w:r w:rsidRPr="003C3B63">
        <w:rPr>
          <w:snapToGrid w:val="0"/>
          <w:lang w:eastAsia="fr-FR"/>
        </w:rPr>
        <w:t xml:space="preserve">that the continued success of future conferences will depend on greater efficiency of regional coordination and interaction at interregional level prior to such conferences, and </w:t>
      </w:r>
      <w:proofErr w:type="gramStart"/>
      <w:r w:rsidRPr="003C3B63">
        <w:rPr>
          <w:snapToGrid w:val="0"/>
          <w:lang w:eastAsia="fr-FR"/>
        </w:rPr>
        <w:t>in particular at</w:t>
      </w:r>
      <w:proofErr w:type="gramEnd"/>
      <w:r w:rsidRPr="003C3B63">
        <w:rPr>
          <w:snapToGrid w:val="0"/>
          <w:lang w:eastAsia="fr-FR"/>
        </w:rPr>
        <w:t xml:space="preserve"> the last TDAG meeting before the conference, as well as during the conference;</w:t>
      </w:r>
    </w:p>
    <w:p w14:paraId="1E46BAC0" w14:textId="77777777" w:rsidR="00084785" w:rsidRPr="003C3B63" w:rsidRDefault="00084785" w:rsidP="00084785">
      <w:pPr>
        <w:rPr>
          <w:snapToGrid w:val="0"/>
          <w:lang w:eastAsia="fr-FR"/>
        </w:rPr>
      </w:pPr>
      <w:r w:rsidRPr="003C3B63">
        <w:rPr>
          <w:i/>
          <w:iCs/>
          <w:snapToGrid w:val="0"/>
          <w:lang w:eastAsia="fr-FR"/>
        </w:rPr>
        <w:t>g)</w:t>
      </w:r>
      <w:r w:rsidRPr="003C3B63">
        <w:rPr>
          <w:snapToGrid w:val="0"/>
          <w:lang w:eastAsia="fr-FR"/>
        </w:rPr>
        <w:tab/>
        <w:t>that there is a need for RTOs to collaborate closely with relevant subregional organizations within their region;</w:t>
      </w:r>
    </w:p>
    <w:p w14:paraId="1A770742" w14:textId="77777777" w:rsidR="00084785" w:rsidRPr="003C3B63" w:rsidRDefault="00084785" w:rsidP="00084785">
      <w:pPr>
        <w:rPr>
          <w:snapToGrid w:val="0"/>
          <w:lang w:eastAsia="fr-FR"/>
        </w:rPr>
      </w:pPr>
      <w:r w:rsidRPr="003C3B63">
        <w:rPr>
          <w:i/>
          <w:iCs/>
          <w:snapToGrid w:val="0"/>
          <w:lang w:eastAsia="fr-FR"/>
        </w:rPr>
        <w:t>h)</w:t>
      </w:r>
      <w:r w:rsidRPr="003C3B63">
        <w:rPr>
          <w:snapToGrid w:val="0"/>
          <w:lang w:eastAsia="fr-FR"/>
        </w:rPr>
        <w:tab/>
        <w:t>that some regional organizations lack the resources necessary to organize adequately and participate in such preparations;</w:t>
      </w:r>
    </w:p>
    <w:p w14:paraId="635E2898" w14:textId="77777777" w:rsidR="00084785" w:rsidRPr="003C3B63" w:rsidRDefault="00084785" w:rsidP="00084785">
      <w:pPr>
        <w:rPr>
          <w:snapToGrid w:val="0"/>
          <w:lang w:eastAsia="fr-FR"/>
        </w:rPr>
      </w:pPr>
      <w:r w:rsidRPr="003C3B63">
        <w:rPr>
          <w:i/>
          <w:snapToGrid w:val="0"/>
          <w:lang w:eastAsia="fr-FR"/>
        </w:rPr>
        <w:t>i)</w:t>
      </w:r>
      <w:r w:rsidRPr="003C3B63">
        <w:rPr>
          <w:i/>
          <w:snapToGrid w:val="0"/>
          <w:lang w:eastAsia="fr-FR"/>
        </w:rPr>
        <w:tab/>
      </w:r>
      <w:r w:rsidRPr="003C3B63">
        <w:rPr>
          <w:snapToGrid w:val="0"/>
          <w:lang w:eastAsia="fr-FR"/>
        </w:rPr>
        <w:t>that there is a continuing need for overall coordination of the interregional consultations,</w:t>
      </w:r>
    </w:p>
    <w:p w14:paraId="2E484336" w14:textId="77777777" w:rsidR="00084785" w:rsidRPr="003C3B63" w:rsidRDefault="00084785" w:rsidP="00084785">
      <w:pPr>
        <w:pStyle w:val="Call"/>
        <w:rPr>
          <w:snapToGrid w:val="0"/>
          <w:lang w:eastAsia="fr-FR"/>
        </w:rPr>
      </w:pPr>
      <w:r w:rsidRPr="003C3B63">
        <w:rPr>
          <w:snapToGrid w:val="0"/>
          <w:lang w:eastAsia="fr-FR"/>
        </w:rPr>
        <w:t>recognizing</w:t>
      </w:r>
    </w:p>
    <w:p w14:paraId="254728FD" w14:textId="77777777" w:rsidR="00084785" w:rsidRPr="003C3B63" w:rsidRDefault="00084785" w:rsidP="00084785">
      <w:pPr>
        <w:rPr>
          <w:snapToGrid w:val="0"/>
          <w:lang w:eastAsia="fr-FR"/>
        </w:rPr>
      </w:pPr>
      <w:r w:rsidRPr="003C3B63">
        <w:rPr>
          <w:i/>
          <w:iCs/>
          <w:snapToGrid w:val="0"/>
          <w:lang w:eastAsia="fr-FR"/>
        </w:rPr>
        <w:t>a)</w:t>
      </w:r>
      <w:r w:rsidRPr="003C3B63">
        <w:rPr>
          <w:snapToGrid w:val="0"/>
          <w:lang w:eastAsia="fr-FR"/>
        </w:rPr>
        <w:tab/>
        <w:t>the benefits of regional coordination for the six regions as already experienced in the preparation of all ITU conferences and assemblies;</w:t>
      </w:r>
    </w:p>
    <w:p w14:paraId="35FC387E" w14:textId="77777777" w:rsidR="00084785" w:rsidRPr="003C3B63" w:rsidRDefault="00084785" w:rsidP="00084785">
      <w:pPr>
        <w:rPr>
          <w:snapToGrid w:val="0"/>
          <w:lang w:eastAsia="fr-FR"/>
        </w:rPr>
      </w:pPr>
      <w:r w:rsidRPr="003C3B63">
        <w:rPr>
          <w:i/>
          <w:iCs/>
          <w:snapToGrid w:val="0"/>
          <w:lang w:eastAsia="fr-FR"/>
        </w:rPr>
        <w:t>b)</w:t>
      </w:r>
      <w:r w:rsidRPr="003C3B63">
        <w:rPr>
          <w:snapToGrid w:val="0"/>
          <w:lang w:eastAsia="fr-FR"/>
        </w:rPr>
        <w:tab/>
        <w:t>the benefits of interregional coordination and preparation prior to plenipotentiary conferences and ITU Sector conferences and assemblies in terms of developing regional cooperation in areas of common interest; facilitating coordination among all regions on major issues; establishing channels of communication among regional coordinators from Member States; and providing opportunities for negotiations prior to a conference;</w:t>
      </w:r>
    </w:p>
    <w:p w14:paraId="281017A9" w14:textId="77777777" w:rsidR="00084785" w:rsidRPr="003C3B63" w:rsidRDefault="00084785" w:rsidP="00084785">
      <w:pPr>
        <w:rPr>
          <w:snapToGrid w:val="0"/>
          <w:lang w:eastAsia="fr-FR"/>
        </w:rPr>
      </w:pPr>
      <w:r w:rsidRPr="003C3B63">
        <w:rPr>
          <w:i/>
          <w:iCs/>
          <w:snapToGrid w:val="0"/>
          <w:lang w:eastAsia="fr-FR"/>
        </w:rPr>
        <w:t>c)</w:t>
      </w:r>
      <w:r w:rsidRPr="003C3B63">
        <w:rPr>
          <w:snapToGrid w:val="0"/>
          <w:lang w:eastAsia="fr-FR"/>
        </w:rPr>
        <w:tab/>
        <w:t xml:space="preserve">that regional preparatory meetings (RPMs) for plenipotentiary conferences and world telecommunication development conferences (WTDCs) have helped in identifying and coordinating regional views on issues considered to be of </w:t>
      </w:r>
      <w:proofErr w:type="gramStart"/>
      <w:r w:rsidRPr="003C3B63">
        <w:rPr>
          <w:snapToGrid w:val="0"/>
          <w:lang w:eastAsia="fr-FR"/>
        </w:rPr>
        <w:t>particular relevance</w:t>
      </w:r>
      <w:proofErr w:type="gramEnd"/>
      <w:r w:rsidRPr="003C3B63">
        <w:rPr>
          <w:snapToGrid w:val="0"/>
          <w:lang w:eastAsia="fr-FR"/>
        </w:rPr>
        <w:t xml:space="preserve"> to each region and in developing common regional proposals for submission to those conferences,</w:t>
      </w:r>
    </w:p>
    <w:p w14:paraId="7EBE2EF5" w14:textId="77777777" w:rsidR="004F5B95" w:rsidRPr="003C3B63" w:rsidRDefault="004F5B95" w:rsidP="004F5B95">
      <w:pPr>
        <w:rPr>
          <w:snapToGrid w:val="0"/>
          <w:lang w:eastAsia="fr-FR"/>
        </w:rPr>
      </w:pPr>
      <w:r w:rsidRPr="003C3B63">
        <w:br w:type="page"/>
      </w:r>
    </w:p>
    <w:p w14:paraId="6650309D" w14:textId="77777777" w:rsidR="00084785" w:rsidRPr="003C3B63" w:rsidRDefault="00084785" w:rsidP="00084785">
      <w:pPr>
        <w:pStyle w:val="Call"/>
        <w:rPr>
          <w:snapToGrid w:val="0"/>
          <w:lang w:eastAsia="fr-FR"/>
        </w:rPr>
      </w:pPr>
      <w:proofErr w:type="gramStart"/>
      <w:r w:rsidRPr="003C3B63">
        <w:rPr>
          <w:snapToGrid w:val="0"/>
          <w:lang w:eastAsia="fr-FR"/>
        </w:rPr>
        <w:lastRenderedPageBreak/>
        <w:t>taking into account</w:t>
      </w:r>
      <w:proofErr w:type="gramEnd"/>
    </w:p>
    <w:p w14:paraId="2D65EACD" w14:textId="77777777" w:rsidR="00084785" w:rsidRPr="003C3B63" w:rsidRDefault="00084785" w:rsidP="00084785">
      <w:pPr>
        <w:rPr>
          <w:snapToGrid w:val="0"/>
          <w:lang w:eastAsia="fr-FR"/>
        </w:rPr>
      </w:pPr>
      <w:r w:rsidRPr="003C3B63">
        <w:rPr>
          <w:snapToGrid w:val="0"/>
          <w:lang w:eastAsia="fr-FR"/>
        </w:rPr>
        <w:t>the continued belief in the benefits that a WTDC could gain in terms of efficiency from an increased amount and level of preparation by the six regions for the ITU Member States prior to the conference,</w:t>
      </w:r>
    </w:p>
    <w:p w14:paraId="39ED864D" w14:textId="77777777" w:rsidR="00084785" w:rsidRPr="003C3B63" w:rsidRDefault="00084785" w:rsidP="00084785">
      <w:pPr>
        <w:pStyle w:val="Call"/>
        <w:rPr>
          <w:snapToGrid w:val="0"/>
          <w:lang w:eastAsia="fr-FR"/>
        </w:rPr>
      </w:pPr>
      <w:r w:rsidRPr="003C3B63">
        <w:rPr>
          <w:snapToGrid w:val="0"/>
          <w:lang w:eastAsia="fr-FR"/>
        </w:rPr>
        <w:t>noting</w:t>
      </w:r>
    </w:p>
    <w:p w14:paraId="68460AEB" w14:textId="77777777" w:rsidR="00084785" w:rsidRPr="003C3B63" w:rsidRDefault="00084785" w:rsidP="00084785">
      <w:pPr>
        <w:rPr>
          <w:snapToGrid w:val="0"/>
          <w:lang w:eastAsia="fr-FR"/>
        </w:rPr>
      </w:pPr>
      <w:r w:rsidRPr="003C3B63">
        <w:rPr>
          <w:i/>
          <w:iCs/>
          <w:snapToGrid w:val="0"/>
          <w:lang w:eastAsia="fr-FR"/>
        </w:rPr>
        <w:t>a)</w:t>
      </w:r>
      <w:r w:rsidRPr="003C3B63">
        <w:rPr>
          <w:snapToGrid w:val="0"/>
          <w:lang w:eastAsia="fr-FR"/>
        </w:rPr>
        <w:tab/>
        <w:t>that many RTOs have expressed the need for the Union to cooperate more closely with them (see Resolution 21 (Rev. Baku, 2025) of this conference, on strengthening coordination and collaboration with regional and subregional organizations);</w:t>
      </w:r>
    </w:p>
    <w:p w14:paraId="621DB621" w14:textId="77777777" w:rsidR="00084785" w:rsidRPr="003C3B63" w:rsidRDefault="00084785" w:rsidP="00084785">
      <w:pPr>
        <w:rPr>
          <w:snapToGrid w:val="0"/>
          <w:lang w:eastAsia="fr-FR"/>
        </w:rPr>
      </w:pPr>
      <w:r w:rsidRPr="003C3B63">
        <w:rPr>
          <w:i/>
          <w:iCs/>
          <w:snapToGrid w:val="0"/>
          <w:lang w:eastAsia="fr-FR"/>
        </w:rPr>
        <w:t>b)</w:t>
      </w:r>
      <w:r w:rsidRPr="003C3B63">
        <w:rPr>
          <w:snapToGrid w:val="0"/>
          <w:lang w:eastAsia="fr-FR"/>
        </w:rPr>
        <w:tab/>
        <w:t>that relations between ITU regional offices and RTOs have proved to be of great benefit, and that regional offices should continue to be used to facilitate the preparation of WTDCs;</w:t>
      </w:r>
    </w:p>
    <w:p w14:paraId="28E10B3F" w14:textId="77777777" w:rsidR="00084785" w:rsidRPr="003C3B63" w:rsidRDefault="00084785" w:rsidP="00084785">
      <w:r w:rsidRPr="003C3B63">
        <w:rPr>
          <w:i/>
          <w:iCs/>
        </w:rPr>
        <w:t>c)</w:t>
      </w:r>
      <w:r w:rsidRPr="003C3B63">
        <w:tab/>
        <w:t>that some ITU Member States are not members of an RTO,</w:t>
      </w:r>
    </w:p>
    <w:p w14:paraId="5C794202" w14:textId="77777777" w:rsidR="00084785" w:rsidRPr="003C3B63" w:rsidRDefault="00084785" w:rsidP="00084785">
      <w:pPr>
        <w:pStyle w:val="Call"/>
      </w:pPr>
      <w:r w:rsidRPr="003C3B63">
        <w:t>resolves to instruct the Director of the Telecommunication Development Bureau</w:t>
      </w:r>
    </w:p>
    <w:p w14:paraId="32E62390" w14:textId="77777777" w:rsidR="00084785" w:rsidRPr="003C3B63" w:rsidRDefault="00084785" w:rsidP="00084785">
      <w:r w:rsidRPr="003C3B63">
        <w:t>1</w:t>
      </w:r>
      <w:r w:rsidRPr="003C3B63">
        <w:tab/>
        <w:t>to continue to organize, within the financial limitations set by the Plenipotentiary Conference, one RPM per region for each of the six regions (if the relevant region deems appropriate), in close coordination and cooperation with the relevant regional organizations and in partnership with all Member States in the region, even if they do not belong to any of the RTOs, as soon as possible before the last meeting of TDAG before the next WTDC, avoiding overlap with other relevant ITU</w:t>
      </w:r>
      <w:r w:rsidRPr="003C3B63">
        <w:noBreakHyphen/>
        <w:t>D meetings and making full use of ITU regional offices to facilitate such meetings;</w:t>
      </w:r>
    </w:p>
    <w:p w14:paraId="41EF272D" w14:textId="77777777" w:rsidR="00084785" w:rsidRPr="003C3B63" w:rsidRDefault="00084785" w:rsidP="00084785">
      <w:r w:rsidRPr="003C3B63">
        <w:t>2</w:t>
      </w:r>
      <w:r w:rsidRPr="003C3B63">
        <w:tab/>
        <w:t>to organize a coordination meeting of the chairs and vice-chairs of RPMs in conjunction with the last meeting of TDAG before the next WTDC, with the participation of interested ITU</w:t>
      </w:r>
      <w:r w:rsidRPr="003C3B63">
        <w:noBreakHyphen/>
        <w:t>D members;</w:t>
      </w:r>
    </w:p>
    <w:p w14:paraId="0EBEB75A" w14:textId="77777777" w:rsidR="00084785" w:rsidRPr="003C3B63" w:rsidRDefault="00084785" w:rsidP="00084785">
      <w:r w:rsidRPr="003C3B63">
        <w:t>3</w:t>
      </w:r>
      <w:r w:rsidRPr="003C3B63">
        <w:tab/>
        <w:t xml:space="preserve">to support the organization of briefings and training sessions during RPMs </w:t>
      </w:r>
      <w:proofErr w:type="gramStart"/>
      <w:r w:rsidRPr="003C3B63">
        <w:t>in order to</w:t>
      </w:r>
      <w:proofErr w:type="gramEnd"/>
      <w:r w:rsidRPr="003C3B63">
        <w:t xml:space="preserve"> provide information on the conference, procedures for nominating candidates and preparing documents, and rules of procedure;</w:t>
      </w:r>
    </w:p>
    <w:p w14:paraId="188B338A" w14:textId="77777777" w:rsidR="004F5B95" w:rsidRPr="003C3B63" w:rsidRDefault="004F5B95" w:rsidP="004F5B95">
      <w:r w:rsidRPr="003C3B63">
        <w:br w:type="page"/>
      </w:r>
    </w:p>
    <w:p w14:paraId="3FDB0B80" w14:textId="77777777" w:rsidR="00084785" w:rsidRPr="003C3B63" w:rsidRDefault="00084785" w:rsidP="00084785">
      <w:r w:rsidRPr="003C3B63">
        <w:lastRenderedPageBreak/>
        <w:t>4</w:t>
      </w:r>
      <w:r w:rsidRPr="003C3B63">
        <w:tab/>
        <w:t>to help the least developed countries to participate in RPMs, within the financial resources available;</w:t>
      </w:r>
    </w:p>
    <w:p w14:paraId="51550C95" w14:textId="77777777" w:rsidR="00084785" w:rsidRPr="003C3B63" w:rsidRDefault="00084785" w:rsidP="00084785">
      <w:r w:rsidRPr="003C3B63">
        <w:t>5</w:t>
      </w:r>
      <w:r w:rsidRPr="003C3B63">
        <w:tab/>
        <w:t>to prepare, in close consultation with the chairs and vice-chairs of RPMs, a report consolidating the results of such meetings, to be submitted to the TDAG meeting immediately preceding WTDC;</w:t>
      </w:r>
    </w:p>
    <w:p w14:paraId="46D09D39" w14:textId="77777777" w:rsidR="00084785" w:rsidRPr="003C3B63" w:rsidRDefault="00084785" w:rsidP="00084785">
      <w:r w:rsidRPr="003C3B63">
        <w:t>6</w:t>
      </w:r>
      <w:r w:rsidRPr="003C3B63">
        <w:tab/>
        <w:t>to convene the last TDAG meeting not less than three months and not more than six months before WTDC, in order to study, discuss and adopt the consolidated report presenting the outputs of the six RPMs in final form, as a basic document to be included, once approved by TDAG, in the report on the application of this resolution for submission to WTDC, as well as to accomplish whatever else is desirable prior to WTDC (such as consideration of Questions proposed for study by the study groups), including also a review and revision of all resolutions, Recommendations and programmes with the aim of proposing the necessary updates to some or all of them if possible and their submission as reports from TDAG to WTDC,</w:t>
      </w:r>
    </w:p>
    <w:p w14:paraId="4C2C7F87" w14:textId="77777777" w:rsidR="00084785" w:rsidRPr="003C3B63" w:rsidRDefault="00084785" w:rsidP="00084785">
      <w:pPr>
        <w:pStyle w:val="Call"/>
      </w:pPr>
      <w:r w:rsidRPr="003C3B63">
        <w:t>requests the Secretary-General, in cooperation with the Director of the Telecommunication Development Bureau</w:t>
      </w:r>
    </w:p>
    <w:p w14:paraId="6225467E" w14:textId="77777777" w:rsidR="00084785" w:rsidRPr="003C3B63" w:rsidRDefault="00084785" w:rsidP="00084785">
      <w:pPr>
        <w:rPr>
          <w:snapToGrid w:val="0"/>
          <w:lang w:eastAsia="fr-FR"/>
        </w:rPr>
      </w:pPr>
      <w:r w:rsidRPr="003C3B63">
        <w:rPr>
          <w:snapToGrid w:val="0"/>
          <w:lang w:eastAsia="fr-FR"/>
        </w:rPr>
        <w:t>1</w:t>
      </w:r>
      <w:r w:rsidRPr="003C3B63">
        <w:rPr>
          <w:snapToGrid w:val="0"/>
          <w:lang w:eastAsia="fr-FR"/>
        </w:rPr>
        <w:tab/>
        <w:t xml:space="preserve">to continue to consult with Member States and RTOs in the six regions on </w:t>
      </w:r>
      <w:proofErr w:type="gramStart"/>
      <w:r w:rsidRPr="003C3B63">
        <w:rPr>
          <w:snapToGrid w:val="0"/>
          <w:lang w:eastAsia="fr-FR"/>
        </w:rPr>
        <w:t>the means by which</w:t>
      </w:r>
      <w:proofErr w:type="gramEnd"/>
      <w:r w:rsidRPr="003C3B63">
        <w:rPr>
          <w:snapToGrid w:val="0"/>
          <w:lang w:eastAsia="fr-FR"/>
        </w:rPr>
        <w:t xml:space="preserve"> assistance can be provided in support of their preparations for future WTDCs;</w:t>
      </w:r>
    </w:p>
    <w:p w14:paraId="4B0E318E" w14:textId="77777777" w:rsidR="00084785" w:rsidRPr="003C3B63" w:rsidRDefault="00084785" w:rsidP="00084785">
      <w:pPr>
        <w:keepNext/>
        <w:rPr>
          <w:snapToGrid w:val="0"/>
          <w:lang w:eastAsia="fr-FR"/>
        </w:rPr>
      </w:pPr>
      <w:r w:rsidRPr="003C3B63">
        <w:rPr>
          <w:snapToGrid w:val="0"/>
          <w:lang w:eastAsia="fr-FR"/>
        </w:rPr>
        <w:t>2</w:t>
      </w:r>
      <w:r w:rsidRPr="003C3B63">
        <w:rPr>
          <w:snapToGrid w:val="0"/>
          <w:lang w:eastAsia="fr-FR"/>
        </w:rPr>
        <w:tab/>
        <w:t xml:space="preserve">to continue, </w:t>
      </w:r>
      <w:proofErr w:type="gramStart"/>
      <w:r w:rsidRPr="003C3B63">
        <w:rPr>
          <w:snapToGrid w:val="0"/>
          <w:lang w:eastAsia="fr-FR"/>
        </w:rPr>
        <w:t>on the basis of</w:t>
      </w:r>
      <w:proofErr w:type="gramEnd"/>
      <w:r w:rsidRPr="003C3B63">
        <w:rPr>
          <w:snapToGrid w:val="0"/>
          <w:lang w:eastAsia="fr-FR"/>
        </w:rPr>
        <w:t xml:space="preserve"> such consultations, to assist Member States and RTOs in such areas as:</w:t>
      </w:r>
    </w:p>
    <w:p w14:paraId="7A8FEFFF" w14:textId="77777777" w:rsidR="00084785" w:rsidRPr="003C3B63" w:rsidRDefault="00084785" w:rsidP="00084785">
      <w:pPr>
        <w:pStyle w:val="enumlev1"/>
        <w:rPr>
          <w:snapToGrid w:val="0"/>
          <w:lang w:eastAsia="fr-FR"/>
        </w:rPr>
      </w:pPr>
      <w:r w:rsidRPr="003C3B63">
        <w:rPr>
          <w:snapToGrid w:val="0"/>
          <w:lang w:eastAsia="fr-FR"/>
        </w:rPr>
        <w:t>i)</w:t>
      </w:r>
      <w:r w:rsidRPr="003C3B63">
        <w:rPr>
          <w:snapToGrid w:val="0"/>
          <w:lang w:eastAsia="fr-FR"/>
        </w:rPr>
        <w:tab/>
        <w:t>organization of informal and formal regional and interregional preparatory meetings;</w:t>
      </w:r>
    </w:p>
    <w:p w14:paraId="7EF6FA8D" w14:textId="77777777" w:rsidR="00084785" w:rsidRPr="003C3B63" w:rsidRDefault="00084785" w:rsidP="00084785">
      <w:pPr>
        <w:pStyle w:val="enumlev1"/>
      </w:pPr>
      <w:r w:rsidRPr="003C3B63">
        <w:t>ii)</w:t>
      </w:r>
      <w:r w:rsidRPr="003C3B63">
        <w:tab/>
        <w:t>organization of information sessions;</w:t>
      </w:r>
    </w:p>
    <w:p w14:paraId="63F6E93C" w14:textId="77777777" w:rsidR="00084785" w:rsidRPr="003C3B63" w:rsidRDefault="00084785" w:rsidP="00084785">
      <w:pPr>
        <w:pStyle w:val="enumlev1"/>
        <w:rPr>
          <w:snapToGrid w:val="0"/>
          <w:lang w:eastAsia="fr-FR"/>
        </w:rPr>
      </w:pPr>
      <w:r w:rsidRPr="003C3B63">
        <w:rPr>
          <w:snapToGrid w:val="0"/>
          <w:lang w:eastAsia="fr-FR"/>
        </w:rPr>
        <w:t>iii)</w:t>
      </w:r>
      <w:r w:rsidRPr="003C3B63">
        <w:rPr>
          <w:snapToGrid w:val="0"/>
          <w:lang w:eastAsia="fr-FR"/>
        </w:rPr>
        <w:tab/>
        <w:t>identification of mutual coordination methods;</w:t>
      </w:r>
    </w:p>
    <w:p w14:paraId="125E7FF0" w14:textId="77777777" w:rsidR="00084785" w:rsidRPr="003C3B63" w:rsidRDefault="00084785" w:rsidP="00084785">
      <w:pPr>
        <w:pStyle w:val="enumlev1"/>
        <w:rPr>
          <w:snapToGrid w:val="0"/>
          <w:lang w:eastAsia="fr-FR"/>
        </w:rPr>
      </w:pPr>
      <w:r w:rsidRPr="003C3B63">
        <w:rPr>
          <w:snapToGrid w:val="0"/>
          <w:lang w:eastAsia="fr-FR"/>
        </w:rPr>
        <w:t>iv)</w:t>
      </w:r>
      <w:r w:rsidRPr="003C3B63">
        <w:rPr>
          <w:snapToGrid w:val="0"/>
          <w:lang w:eastAsia="fr-FR"/>
        </w:rPr>
        <w:tab/>
        <w:t>identification of major matters to be resolved by the future WTDC;</w:t>
      </w:r>
    </w:p>
    <w:p w14:paraId="4E5EC532" w14:textId="77777777" w:rsidR="00084785" w:rsidRPr="003C3B63" w:rsidRDefault="00084785" w:rsidP="00084785">
      <w:pPr>
        <w:rPr>
          <w:snapToGrid w:val="0"/>
          <w:lang w:eastAsia="fr-FR"/>
        </w:rPr>
      </w:pPr>
      <w:r w:rsidRPr="003C3B63">
        <w:rPr>
          <w:snapToGrid w:val="0"/>
          <w:lang w:eastAsia="fr-FR"/>
        </w:rPr>
        <w:t>3</w:t>
      </w:r>
      <w:r w:rsidRPr="003C3B63">
        <w:rPr>
          <w:snapToGrid w:val="0"/>
          <w:lang w:eastAsia="fr-FR"/>
        </w:rPr>
        <w:tab/>
        <w:t>to continue to submit to the next WTDC a report on the application of this resolution;</w:t>
      </w:r>
    </w:p>
    <w:p w14:paraId="05C12AA0" w14:textId="77777777" w:rsidR="004F5B95" w:rsidRPr="003C3B63" w:rsidRDefault="004F5B95" w:rsidP="004F5B95">
      <w:pPr>
        <w:rPr>
          <w:snapToGrid w:val="0"/>
          <w:lang w:eastAsia="fr-FR"/>
        </w:rPr>
      </w:pPr>
      <w:r w:rsidRPr="003C3B63">
        <w:br w:type="page"/>
      </w:r>
    </w:p>
    <w:p w14:paraId="7522A901" w14:textId="77777777" w:rsidR="00084785" w:rsidRPr="003C3B63" w:rsidRDefault="00084785" w:rsidP="00084785">
      <w:r w:rsidRPr="003C3B63">
        <w:rPr>
          <w:snapToGrid w:val="0"/>
          <w:lang w:eastAsia="fr-FR"/>
        </w:rPr>
        <w:lastRenderedPageBreak/>
        <w:t>4</w:t>
      </w:r>
      <w:r w:rsidRPr="003C3B63">
        <w:rPr>
          <w:snapToGrid w:val="0"/>
          <w:lang w:eastAsia="fr-FR"/>
        </w:rPr>
        <w:tab/>
        <w:t>to submit, no later than the session of the ITU Council during the calendar year following a WTDC, a report on feedback from Member States concerning WTDC regional preparatory meetings, the results of the meetings and implementation of this resolution,</w:t>
      </w:r>
    </w:p>
    <w:p w14:paraId="4DBA8BDD" w14:textId="77777777" w:rsidR="00084785" w:rsidRPr="003C3B63" w:rsidRDefault="00084785" w:rsidP="00084785">
      <w:pPr>
        <w:pStyle w:val="Call"/>
        <w:rPr>
          <w:snapToGrid w:val="0"/>
          <w:lang w:eastAsia="fr-FR"/>
        </w:rPr>
      </w:pPr>
      <w:r w:rsidRPr="003C3B63">
        <w:rPr>
          <w:snapToGrid w:val="0"/>
          <w:lang w:eastAsia="fr-FR"/>
        </w:rPr>
        <w:t>invites Member States</w:t>
      </w:r>
    </w:p>
    <w:p w14:paraId="08948AE9" w14:textId="77777777" w:rsidR="00084785" w:rsidRPr="003C3B63" w:rsidRDefault="00084785" w:rsidP="00084785">
      <w:pPr>
        <w:rPr>
          <w:snapToGrid w:val="0"/>
          <w:lang w:eastAsia="fr-FR"/>
        </w:rPr>
      </w:pPr>
      <w:r w:rsidRPr="003C3B63">
        <w:rPr>
          <w:snapToGrid w:val="0"/>
          <w:lang w:eastAsia="fr-FR"/>
        </w:rPr>
        <w:t>to participate actively in the implementation of this resolution,</w:t>
      </w:r>
    </w:p>
    <w:p w14:paraId="45A1B628" w14:textId="77777777" w:rsidR="00084785" w:rsidRPr="003C3B63" w:rsidRDefault="00084785" w:rsidP="00084785">
      <w:pPr>
        <w:pStyle w:val="Call"/>
        <w:rPr>
          <w:snapToGrid w:val="0"/>
          <w:lang w:eastAsia="fr-FR"/>
        </w:rPr>
      </w:pPr>
      <w:r w:rsidRPr="003C3B63">
        <w:rPr>
          <w:snapToGrid w:val="0"/>
          <w:lang w:eastAsia="fr-FR"/>
        </w:rPr>
        <w:t>invites regional and subregional telecommunication organizations</w:t>
      </w:r>
    </w:p>
    <w:p w14:paraId="67D5E822" w14:textId="77777777" w:rsidR="00084785" w:rsidRPr="003C3B63" w:rsidRDefault="00084785" w:rsidP="00084785">
      <w:pPr>
        <w:rPr>
          <w:rFonts w:eastAsiaTheme="minorEastAsia"/>
        </w:rPr>
      </w:pPr>
      <w:r w:rsidRPr="003C3B63">
        <w:rPr>
          <w:rFonts w:eastAsiaTheme="minorEastAsia"/>
        </w:rPr>
        <w:t>1</w:t>
      </w:r>
      <w:r w:rsidRPr="003C3B63">
        <w:rPr>
          <w:rFonts w:eastAsiaTheme="minorEastAsia"/>
        </w:rPr>
        <w:tab/>
        <w:t xml:space="preserve">to participate in coordinating and harmonizing the contributions of their respective Member States </w:t>
      </w:r>
      <w:proofErr w:type="gramStart"/>
      <w:r w:rsidRPr="003C3B63">
        <w:rPr>
          <w:rFonts w:eastAsiaTheme="minorEastAsia"/>
        </w:rPr>
        <w:t>in order to</w:t>
      </w:r>
      <w:proofErr w:type="gramEnd"/>
      <w:r w:rsidRPr="003C3B63">
        <w:rPr>
          <w:rFonts w:eastAsiaTheme="minorEastAsia"/>
        </w:rPr>
        <w:t xml:space="preserve"> generate common proposals where possible;</w:t>
      </w:r>
    </w:p>
    <w:p w14:paraId="143744C2" w14:textId="77777777" w:rsidR="00084785" w:rsidRPr="003C3B63" w:rsidRDefault="00084785" w:rsidP="00084785">
      <w:pPr>
        <w:rPr>
          <w:rFonts w:eastAsiaTheme="minorEastAsia"/>
        </w:rPr>
      </w:pPr>
      <w:r w:rsidRPr="003C3B63">
        <w:rPr>
          <w:rFonts w:eastAsiaTheme="minorEastAsia"/>
        </w:rPr>
        <w:t>2</w:t>
      </w:r>
      <w:r w:rsidRPr="003C3B63">
        <w:rPr>
          <w:rFonts w:eastAsiaTheme="minorEastAsia"/>
        </w:rPr>
        <w:tab/>
        <w:t>to take an active part in the preparation and holding of RPMs for WTDC;</w:t>
      </w:r>
    </w:p>
    <w:p w14:paraId="2755893D" w14:textId="77777777" w:rsidR="00084785" w:rsidRDefault="00084785" w:rsidP="00084785">
      <w:pPr>
        <w:rPr>
          <w:rFonts w:eastAsiaTheme="minorEastAsia"/>
        </w:rPr>
      </w:pPr>
      <w:r w:rsidRPr="003C3B63">
        <w:rPr>
          <w:rFonts w:eastAsiaTheme="minorEastAsia"/>
        </w:rPr>
        <w:t>3</w:t>
      </w:r>
      <w:r w:rsidRPr="003C3B63">
        <w:rPr>
          <w:rFonts w:eastAsiaTheme="minorEastAsia"/>
        </w:rPr>
        <w:tab/>
        <w:t xml:space="preserve">to take part in the preparatory meetings of other regional organizations and to convene, if possible, informal interregional meetings </w:t>
      </w:r>
      <w:proofErr w:type="gramStart"/>
      <w:r w:rsidRPr="003C3B63">
        <w:rPr>
          <w:rFonts w:eastAsiaTheme="minorEastAsia"/>
        </w:rPr>
        <w:t>in order to</w:t>
      </w:r>
      <w:proofErr w:type="gramEnd"/>
      <w:r w:rsidRPr="003C3B63">
        <w:rPr>
          <w:rFonts w:eastAsiaTheme="minorEastAsia"/>
        </w:rPr>
        <w:t xml:space="preserve"> exchange information and to coordinate interregional common proposals.</w:t>
      </w:r>
    </w:p>
    <w:p w14:paraId="7083C521" w14:textId="77777777" w:rsidR="00245F66" w:rsidRDefault="00245F66" w:rsidP="00084785">
      <w:pPr>
        <w:rPr>
          <w:rFonts w:eastAsiaTheme="minorEastAsia"/>
        </w:rPr>
      </w:pPr>
    </w:p>
    <w:p w14:paraId="31B44B48" w14:textId="77777777" w:rsidR="00245F66" w:rsidRDefault="00245F66" w:rsidP="00084785">
      <w:pPr>
        <w:rPr>
          <w:rFonts w:eastAsiaTheme="minorEastAsia"/>
        </w:rPr>
      </w:pPr>
    </w:p>
    <w:p w14:paraId="094B6072" w14:textId="77777777" w:rsidR="00245F66" w:rsidRDefault="00245F66" w:rsidP="00084785">
      <w:pPr>
        <w:rPr>
          <w:rFonts w:eastAsiaTheme="minorEastAsia"/>
        </w:rPr>
      </w:pPr>
    </w:p>
    <w:p w14:paraId="72DBC334" w14:textId="77777777" w:rsidR="00245F66" w:rsidRDefault="00245F66" w:rsidP="00084785">
      <w:pPr>
        <w:rPr>
          <w:rFonts w:eastAsiaTheme="minorEastAsia"/>
        </w:rPr>
      </w:pPr>
    </w:p>
    <w:p w14:paraId="71C4CA27" w14:textId="77777777" w:rsidR="00245F66" w:rsidRDefault="00245F66" w:rsidP="00084785">
      <w:pPr>
        <w:rPr>
          <w:rFonts w:eastAsiaTheme="minorEastAsia"/>
        </w:rPr>
      </w:pPr>
    </w:p>
    <w:p w14:paraId="0F12A6FD" w14:textId="77777777" w:rsidR="00245F66" w:rsidRDefault="00245F66" w:rsidP="00084785">
      <w:pPr>
        <w:rPr>
          <w:rFonts w:eastAsiaTheme="minorEastAsia"/>
        </w:rPr>
      </w:pPr>
    </w:p>
    <w:p w14:paraId="7297B6CD" w14:textId="77777777" w:rsidR="00245F66" w:rsidRDefault="00245F66" w:rsidP="00084785">
      <w:pPr>
        <w:rPr>
          <w:rFonts w:eastAsiaTheme="minorEastAsia"/>
        </w:rPr>
      </w:pPr>
    </w:p>
    <w:p w14:paraId="38790330" w14:textId="77777777" w:rsidR="00245F66" w:rsidRDefault="00245F66" w:rsidP="00084785">
      <w:pPr>
        <w:rPr>
          <w:rFonts w:eastAsiaTheme="minorEastAsia"/>
        </w:rPr>
      </w:pPr>
    </w:p>
    <w:p w14:paraId="56D9E85A" w14:textId="77777777" w:rsidR="00245F66" w:rsidRDefault="00245F66" w:rsidP="00084785">
      <w:pPr>
        <w:rPr>
          <w:rFonts w:eastAsiaTheme="minorEastAsia"/>
        </w:rPr>
      </w:pPr>
    </w:p>
    <w:p w14:paraId="064B9A25" w14:textId="77777777" w:rsidR="00245F66" w:rsidRDefault="00245F66" w:rsidP="00084785">
      <w:pPr>
        <w:rPr>
          <w:rFonts w:eastAsiaTheme="minorEastAsia"/>
        </w:rPr>
      </w:pPr>
    </w:p>
    <w:p w14:paraId="4BAE4016" w14:textId="77777777" w:rsidR="00245F66" w:rsidRDefault="00245F66" w:rsidP="00084785">
      <w:pPr>
        <w:rPr>
          <w:rFonts w:eastAsiaTheme="minorEastAsia"/>
        </w:rPr>
      </w:pPr>
    </w:p>
    <w:sectPr w:rsidR="00245F66" w:rsidSect="00245F66">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5744B" w14:textId="77777777" w:rsidR="00CB606B" w:rsidRPr="008B6E73" w:rsidRDefault="00CB606B">
      <w:r w:rsidRPr="008B6E73">
        <w:separator/>
      </w:r>
    </w:p>
  </w:endnote>
  <w:endnote w:type="continuationSeparator" w:id="0">
    <w:p w14:paraId="4BD3B2F2" w14:textId="77777777" w:rsidR="00CB606B" w:rsidRPr="008B6E73" w:rsidRDefault="00CB606B">
      <w:r w:rsidRPr="008B6E73">
        <w:continuationSeparator/>
      </w:r>
    </w:p>
  </w:endnote>
  <w:endnote w:type="continuationNotice" w:id="1">
    <w:p w14:paraId="66B3D702" w14:textId="77777777" w:rsidR="00CB606B" w:rsidRPr="008B6E73" w:rsidRDefault="00CB606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D58B0" w14:textId="77777777" w:rsidR="00731D8C" w:rsidRPr="008B6E73" w:rsidRDefault="00731D8C"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C8705" w14:textId="77777777" w:rsidR="00CB606B" w:rsidRPr="008B6E73" w:rsidRDefault="00CB606B">
      <w:r w:rsidRPr="008B6E73">
        <w:rPr>
          <w:b/>
        </w:rPr>
        <w:t>_______________</w:t>
      </w:r>
    </w:p>
  </w:footnote>
  <w:footnote w:type="continuationSeparator" w:id="0">
    <w:p w14:paraId="58CC132A" w14:textId="77777777" w:rsidR="00CB606B" w:rsidRPr="008B6E73" w:rsidRDefault="00CB606B">
      <w:r w:rsidRPr="008B6E73">
        <w:continuationSeparator/>
      </w:r>
    </w:p>
  </w:footnote>
  <w:footnote w:type="continuationNotice" w:id="1">
    <w:p w14:paraId="577D1B73" w14:textId="77777777" w:rsidR="00CB606B" w:rsidRPr="008B6E73" w:rsidRDefault="00CB606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640644278"/>
      <w:docPartObj>
        <w:docPartGallery w:val="Page Numbers (Top of Page)"/>
        <w:docPartUnique/>
      </w:docPartObj>
    </w:sdtPr>
    <w:sdtEndPr>
      <w:rPr>
        <w:noProof/>
      </w:rPr>
    </w:sdtEndPr>
    <w:sdtContent>
      <w:sdt>
        <w:sdtPr>
          <w:rPr>
            <w:szCs w:val="18"/>
          </w:rPr>
          <w:id w:val="-1749105169"/>
          <w:docPartObj>
            <w:docPartGallery w:val="Page Numbers (Top of Page)"/>
            <w:docPartUnique/>
          </w:docPartObj>
        </w:sdtPr>
        <w:sdtEndPr>
          <w:rPr>
            <w:noProof/>
          </w:rPr>
        </w:sdtEndPr>
        <w:sdtContent>
          <w:p w14:paraId="5EAD69ED" w14:textId="6E89CB2D" w:rsidR="00731D8C" w:rsidRPr="006F1B46" w:rsidRDefault="00731D8C" w:rsidP="00B93024">
            <w:pPr>
              <w:pStyle w:val="Header"/>
              <w:jc w:val="left"/>
              <w:rPr>
                <w:szCs w:val="18"/>
              </w:rPr>
            </w:pPr>
            <w:r w:rsidRPr="002243E8">
              <w:rPr>
                <w:sz w:val="16"/>
                <w:szCs w:val="16"/>
              </w:rPr>
              <w:fldChar w:fldCharType="begin"/>
            </w:r>
            <w:r w:rsidRPr="002243E8">
              <w:rPr>
                <w:sz w:val="16"/>
                <w:szCs w:val="16"/>
              </w:rPr>
              <w:instrText xml:space="preserve"> PAGE   \* MERGEFORMAT </w:instrText>
            </w:r>
            <w:r w:rsidRPr="002243E8">
              <w:rPr>
                <w:sz w:val="16"/>
                <w:szCs w:val="16"/>
              </w:rPr>
              <w:fldChar w:fldCharType="separate"/>
            </w:r>
            <w:r w:rsidRPr="002243E8">
              <w:rPr>
                <w:sz w:val="16"/>
                <w:szCs w:val="16"/>
              </w:rPr>
              <w:t>20</w:t>
            </w:r>
            <w:r w:rsidRPr="002243E8">
              <w:rPr>
                <w:noProof/>
                <w:sz w:val="16"/>
                <w:szCs w:val="16"/>
              </w:rPr>
              <w:fldChar w:fldCharType="end"/>
            </w:r>
            <w:r w:rsidRPr="006F1B46">
              <w:rPr>
                <w:szCs w:val="18"/>
              </w:rPr>
              <w:tab/>
              <w:t xml:space="preserve">WTDC-25 </w:t>
            </w:r>
            <w:r w:rsidR="00B44F21" w:rsidRPr="006F1B46">
              <w:rPr>
                <w:szCs w:val="18"/>
              </w:rPr>
              <w:t xml:space="preserve">Final Report </w:t>
            </w:r>
            <w:r w:rsidRPr="006F1B46">
              <w:rPr>
                <w:szCs w:val="18"/>
              </w:rPr>
              <w:t>– Part IV – Resolution 31</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967699252"/>
      <w:docPartObj>
        <w:docPartGallery w:val="Page Numbers (Top of Page)"/>
        <w:docPartUnique/>
      </w:docPartObj>
    </w:sdtPr>
    <w:sdtEndPr>
      <w:rPr>
        <w:noProof/>
        <w:sz w:val="16"/>
        <w:szCs w:val="16"/>
      </w:rPr>
    </w:sdtEndPr>
    <w:sdtContent>
      <w:p w14:paraId="74351B10" w14:textId="45820F32" w:rsidR="00731D8C" w:rsidRPr="002243E8" w:rsidRDefault="00731D8C" w:rsidP="005450BA">
        <w:pPr>
          <w:pStyle w:val="Header"/>
          <w:jc w:val="right"/>
          <w:rPr>
            <w:sz w:val="16"/>
            <w:szCs w:val="16"/>
          </w:rPr>
        </w:pPr>
        <w:r w:rsidRPr="00FD7F1E">
          <w:rPr>
            <w:szCs w:val="18"/>
          </w:rPr>
          <w:t xml:space="preserve">WTDC-25 </w:t>
        </w:r>
        <w:r w:rsidR="00B44F21" w:rsidRPr="00FD7F1E">
          <w:rPr>
            <w:szCs w:val="18"/>
          </w:rPr>
          <w:t xml:space="preserve">Final Report </w:t>
        </w:r>
        <w:r w:rsidRPr="00FD7F1E">
          <w:rPr>
            <w:szCs w:val="18"/>
          </w:rPr>
          <w:t>– Part IV – Resolution 31</w:t>
        </w:r>
        <w:r w:rsidRPr="00FD7F1E">
          <w:rPr>
            <w:szCs w:val="18"/>
          </w:rPr>
          <w:tab/>
        </w:r>
        <w:r w:rsidRPr="002243E8">
          <w:rPr>
            <w:sz w:val="16"/>
            <w:szCs w:val="16"/>
          </w:rPr>
          <w:fldChar w:fldCharType="begin"/>
        </w:r>
        <w:r w:rsidRPr="002243E8">
          <w:rPr>
            <w:sz w:val="16"/>
            <w:szCs w:val="16"/>
          </w:rPr>
          <w:instrText xml:space="preserve"> PAGE   \* MERGEFORMAT </w:instrText>
        </w:r>
        <w:r w:rsidRPr="002243E8">
          <w:rPr>
            <w:sz w:val="16"/>
            <w:szCs w:val="16"/>
          </w:rPr>
          <w:fldChar w:fldCharType="separate"/>
        </w:r>
        <w:r w:rsidRPr="002243E8">
          <w:rPr>
            <w:sz w:val="16"/>
            <w:szCs w:val="16"/>
          </w:rPr>
          <w:t>97</w:t>
        </w:r>
        <w:r w:rsidRPr="002243E8">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5F66"/>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606B"/>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5.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3.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customXml/itemProps5.xml><?xml version="1.0" encoding="utf-8"?>
<ds:datastoreItem xmlns:ds="http://schemas.openxmlformats.org/officeDocument/2006/customXml" ds:itemID="{7A6575AD-94D3-4D93-8D77-43E98F7BD4E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5</Pages>
  <Words>1175</Words>
  <Characters>6665</Characters>
  <Application>Microsoft Office Word</Application>
  <DocSecurity>0</DocSecurity>
  <Lines>114</Lines>
  <Paragraphs>56</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7784</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31 (Rev. Baku, 2025) Regional preparations for world telecommunication development conferences</dc:title>
  <dc:subject/>
  <dc:description/>
  <cp:lastModifiedBy>Gachet, Christelle</cp:lastModifiedBy>
  <cp:revision>765</cp:revision>
  <cp:lastPrinted>2026-05-04T06:46:00Z</cp:lastPrinted>
  <dcterms:created xsi:type="dcterms:W3CDTF">2026-03-27T16:33:00Z</dcterms:created>
  <dcterms:modified xsi:type="dcterms:W3CDTF">2026-09-23T07:34:00Z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