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115B" w14:textId="77777777" w:rsidR="009E280F" w:rsidRPr="007D4F79" w:rsidRDefault="009E280F" w:rsidP="009E280F">
      <w:pPr>
        <w:pStyle w:val="ResNo"/>
        <w:rPr>
          <w:lang w:val="fr-FR"/>
        </w:rPr>
      </w:pPr>
      <w:bookmarkStart w:id="0" w:name="_Toc116542358"/>
      <w:r w:rsidRPr="007D4F79">
        <w:rPr>
          <w:lang w:val="fr-FR"/>
        </w:rPr>
        <w:t>RÉSOLUTION 31 (</w:t>
      </w:r>
      <w:r w:rsidRPr="007D4F79">
        <w:rPr>
          <w:caps w:val="0"/>
          <w:lang w:val="fr-FR"/>
        </w:rPr>
        <w:t>Rév. </w:t>
      </w:r>
      <w:r w:rsidRPr="007D4F79">
        <w:rPr>
          <w:lang w:val="fr-FR"/>
        </w:rPr>
        <w:t>K</w:t>
      </w:r>
      <w:r w:rsidRPr="007D4F79">
        <w:rPr>
          <w:caps w:val="0"/>
          <w:lang w:val="fr-FR"/>
        </w:rPr>
        <w:t>igali</w:t>
      </w:r>
      <w:r w:rsidRPr="007D4F79">
        <w:rPr>
          <w:lang w:val="fr-FR"/>
        </w:rPr>
        <w:t>, 2022)</w:t>
      </w:r>
      <w:bookmarkEnd w:id="0"/>
    </w:p>
    <w:p w14:paraId="16D186D6" w14:textId="77777777" w:rsidR="009E280F" w:rsidRPr="007D4F79" w:rsidRDefault="009E280F" w:rsidP="009E280F">
      <w:pPr>
        <w:pStyle w:val="Restitle"/>
        <w:rPr>
          <w:lang w:val="fr-FR"/>
        </w:rPr>
      </w:pPr>
      <w:bookmarkStart w:id="1" w:name="_Toc116542359"/>
      <w:r w:rsidRPr="007D4F79">
        <w:rPr>
          <w:lang w:val="fr-FR"/>
        </w:rPr>
        <w:t>Travaux préparatoires régionaux pour les conférences mondiales</w:t>
      </w:r>
      <w:r w:rsidRPr="007D4F79">
        <w:rPr>
          <w:lang w:val="fr-FR"/>
        </w:rPr>
        <w:br/>
        <w:t>de développement des télécommunications</w:t>
      </w:r>
      <w:bookmarkEnd w:id="1"/>
    </w:p>
    <w:p w14:paraId="7F2E6ABF" w14:textId="77777777" w:rsidR="009E280F" w:rsidRPr="007D4F79" w:rsidRDefault="009E280F" w:rsidP="009E280F">
      <w:pPr>
        <w:pStyle w:val="Normalaftertitle"/>
        <w:rPr>
          <w:lang w:val="fr-FR"/>
        </w:rPr>
      </w:pPr>
      <w:r w:rsidRPr="007D4F79">
        <w:rPr>
          <w:lang w:val="fr-FR"/>
        </w:rPr>
        <w:t>La Conférence mondiale de développement des télécommunications (Kigali, 2022),</w:t>
      </w:r>
    </w:p>
    <w:p w14:paraId="32C22BA1" w14:textId="77777777" w:rsidR="009E280F" w:rsidRPr="007D4F79" w:rsidRDefault="009E280F" w:rsidP="009E280F">
      <w:pPr>
        <w:pStyle w:val="Call"/>
        <w:rPr>
          <w:lang w:val="fr-FR"/>
        </w:rPr>
      </w:pPr>
      <w:r w:rsidRPr="007D4F79">
        <w:rPr>
          <w:lang w:val="fr-FR"/>
        </w:rPr>
        <w:t>reconnaissant</w:t>
      </w:r>
    </w:p>
    <w:p w14:paraId="5E109E45" w14:textId="77777777" w:rsidR="009E280F" w:rsidRPr="007D4F79" w:rsidRDefault="009E280F" w:rsidP="009E280F">
      <w:pPr>
        <w:rPr>
          <w:lang w:val="fr-FR"/>
        </w:rPr>
      </w:pPr>
      <w:r w:rsidRPr="007D4F79">
        <w:rPr>
          <w:i/>
          <w:iCs/>
          <w:lang w:val="fr-FR"/>
        </w:rPr>
        <w:t>a)</w:t>
      </w:r>
      <w:r w:rsidRPr="007D4F79">
        <w:rPr>
          <w:lang w:val="fr-FR"/>
        </w:rPr>
        <w:tab/>
        <w:t>la Résolution 58 (Rév. Busan, 2014) de la Conférence de plénipotentiaires, relative au renforcement des relations entre l'UIT et les organisations régionales de télécommunication et aux travaux préparatoires régionaux en vue de la Conférence de plénipotentiaires;</w:t>
      </w:r>
    </w:p>
    <w:p w14:paraId="3E94B4A7" w14:textId="77777777" w:rsidR="009E280F" w:rsidRPr="007D4F79" w:rsidRDefault="009E280F" w:rsidP="009E280F">
      <w:pPr>
        <w:rPr>
          <w:lang w:val="fr-FR"/>
        </w:rPr>
      </w:pPr>
      <w:r w:rsidRPr="007D4F79">
        <w:rPr>
          <w:i/>
          <w:iCs/>
          <w:lang w:val="fr-FR"/>
        </w:rPr>
        <w:t>b)</w:t>
      </w:r>
      <w:r w:rsidRPr="007D4F79">
        <w:rPr>
          <w:lang w:val="fr-FR"/>
        </w:rPr>
        <w:tab/>
        <w:t xml:space="preserve">la Résolution 25 (Rév. </w:t>
      </w:r>
      <w:r w:rsidRPr="007D4F79">
        <w:rPr>
          <w:szCs w:val="24"/>
          <w:lang w:val="fr-FR"/>
        </w:rPr>
        <w:t>Dubaï</w:t>
      </w:r>
      <w:r w:rsidRPr="007D4F79">
        <w:rPr>
          <w:lang w:val="fr-FR"/>
        </w:rPr>
        <w:t>, 2018) de la Conférence de plénipotentiaires, relative au renforcement de la présence régionale,</w:t>
      </w:r>
    </w:p>
    <w:p w14:paraId="69E3409C" w14:textId="77777777" w:rsidR="009E280F" w:rsidRPr="007D4F79" w:rsidRDefault="009E280F" w:rsidP="009E280F">
      <w:pPr>
        <w:pStyle w:val="Call"/>
        <w:rPr>
          <w:lang w:val="fr-FR"/>
        </w:rPr>
      </w:pPr>
      <w:r w:rsidRPr="007D4F79">
        <w:rPr>
          <w:lang w:val="fr-FR"/>
        </w:rPr>
        <w:t>considérant</w:t>
      </w:r>
    </w:p>
    <w:p w14:paraId="4E32879F" w14:textId="77777777" w:rsidR="009E280F" w:rsidRPr="007D4F79" w:rsidRDefault="009E280F" w:rsidP="009E280F">
      <w:pPr>
        <w:rPr>
          <w:lang w:val="fr-FR"/>
        </w:rPr>
      </w:pPr>
      <w:r w:rsidRPr="007D4F79">
        <w:rPr>
          <w:i/>
          <w:iCs/>
          <w:lang w:val="fr-FR"/>
        </w:rPr>
        <w:t>a)</w:t>
      </w:r>
      <w:r w:rsidRPr="007D4F79">
        <w:rPr>
          <w:lang w:val="fr-FR"/>
        </w:rPr>
        <w:tab/>
        <w:t>que les six</w:t>
      </w:r>
      <w:r>
        <w:rPr>
          <w:rStyle w:val="FootnoteReference"/>
          <w:lang w:val="fr-FR"/>
        </w:rPr>
        <w:footnoteReference w:customMarkFollows="1" w:id="1"/>
        <w:t>1</w:t>
      </w:r>
      <w:r w:rsidRPr="007D4F79">
        <w:rPr>
          <w:lang w:val="fr-FR"/>
        </w:rPr>
        <w:t xml:space="preserve"> régions ont coordonné leurs travaux préparatoires pour la présente conférence dans le cadre de réunions préparatoires et cherchent à coopérer étroitement avec l'Union;</w:t>
      </w:r>
    </w:p>
    <w:p w14:paraId="0389CEA2" w14:textId="77777777" w:rsidR="009E280F" w:rsidRPr="007D4F79" w:rsidRDefault="009E280F" w:rsidP="009E280F">
      <w:pPr>
        <w:rPr>
          <w:lang w:val="fr-FR"/>
        </w:rPr>
      </w:pPr>
      <w:r w:rsidRPr="007D4F79">
        <w:rPr>
          <w:i/>
          <w:iCs/>
          <w:lang w:val="fr-FR"/>
        </w:rPr>
        <w:t>b)</w:t>
      </w:r>
      <w:r w:rsidRPr="007D4F79">
        <w:rPr>
          <w:lang w:val="fr-FR"/>
        </w:rPr>
        <w:tab/>
        <w:t>que bon nombre de propositions communes ont été soumises à la présente conférence par des administrations ayant participé aux travaux préparatoires, facilitant ainsi le travail de la présente conférence;</w:t>
      </w:r>
    </w:p>
    <w:p w14:paraId="58C8D798" w14:textId="77777777" w:rsidR="009E280F" w:rsidRPr="007D4F79" w:rsidRDefault="009E280F" w:rsidP="009E280F">
      <w:pPr>
        <w:rPr>
          <w:lang w:val="fr-FR"/>
        </w:rPr>
      </w:pPr>
      <w:r w:rsidRPr="007D4F79">
        <w:rPr>
          <w:i/>
          <w:iCs/>
          <w:lang w:val="fr-FR"/>
        </w:rPr>
        <w:t>c)</w:t>
      </w:r>
      <w:r w:rsidRPr="007D4F79">
        <w:rPr>
          <w:lang w:val="fr-FR"/>
        </w:rPr>
        <w:tab/>
        <w:t>qu'une telle synthèse des points de vue au niveau régional, ainsi que la possibilité de procéder à des discussions interrégionales avant la conférence, ont facilité l'obtention d'un consensus à la dernière réunion du Groupe consultatif pour le développement des télécommunications (GCDT) du Secteur du développement des télécommunications de l'UIT (UIT</w:t>
      </w:r>
      <w:r w:rsidRPr="007D4F79">
        <w:rPr>
          <w:lang w:val="fr-FR"/>
        </w:rPr>
        <w:noBreakHyphen/>
        <w:t>D) et au cours de la conférence;</w:t>
      </w:r>
    </w:p>
    <w:p w14:paraId="2C03CBA5" w14:textId="77777777" w:rsidR="009E280F" w:rsidRPr="007D4F79" w:rsidRDefault="009E280F" w:rsidP="009E280F">
      <w:pPr>
        <w:rPr>
          <w:lang w:val="fr-FR"/>
        </w:rPr>
      </w:pPr>
      <w:r w:rsidRPr="007D4F79">
        <w:rPr>
          <w:i/>
          <w:iCs/>
          <w:lang w:val="fr-FR"/>
        </w:rPr>
        <w:t>d)</w:t>
      </w:r>
      <w:r w:rsidRPr="007D4F79">
        <w:rPr>
          <w:lang w:val="fr-FR"/>
        </w:rPr>
        <w:tab/>
        <w:t>que les travaux préparatoires pour les futures conférences vont vraisemblablement s'alourdir;</w:t>
      </w:r>
    </w:p>
    <w:p w14:paraId="28A84239" w14:textId="77777777" w:rsidR="009E280F" w:rsidRPr="007D4F79" w:rsidRDefault="009E280F" w:rsidP="009E280F">
      <w:pPr>
        <w:rPr>
          <w:lang w:val="fr-FR"/>
        </w:rPr>
      </w:pPr>
      <w:r w:rsidRPr="007D4F79">
        <w:rPr>
          <w:i/>
          <w:iCs/>
          <w:lang w:val="fr-FR"/>
        </w:rPr>
        <w:t>e)</w:t>
      </w:r>
      <w:r w:rsidRPr="007D4F79">
        <w:rPr>
          <w:lang w:val="fr-FR"/>
        </w:rPr>
        <w:tab/>
        <w:t>la ferme conviction que la coordination des travaux préparatoires au niveau régional pour les six régions a constitué un grand avantage pour les États Membres et les Membres de Secteur;</w:t>
      </w:r>
    </w:p>
    <w:p w14:paraId="5A0150E8" w14:textId="77777777" w:rsidR="009E280F" w:rsidRDefault="009E280F" w:rsidP="009E280F">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F89CA11" w14:textId="77777777" w:rsidR="009E280F" w:rsidRPr="007D4F79" w:rsidRDefault="009E280F" w:rsidP="009E280F">
      <w:pPr>
        <w:rPr>
          <w:lang w:val="fr-FR"/>
        </w:rPr>
      </w:pPr>
      <w:r w:rsidRPr="007D4F79">
        <w:rPr>
          <w:i/>
          <w:iCs/>
          <w:lang w:val="fr-FR"/>
        </w:rPr>
        <w:lastRenderedPageBreak/>
        <w:t>f)</w:t>
      </w:r>
      <w:r w:rsidRPr="007D4F79">
        <w:rPr>
          <w:lang w:val="fr-FR"/>
        </w:rPr>
        <w:tab/>
        <w:t>que le succès constant des futures conférences dépendra d'une plus grande efficacité de la coordination régionale et d'une interaction au niveau interrégional avant ces conférences, en particulier à la dernière réunion du GCDT avant la conférence et pendant la conférence;</w:t>
      </w:r>
    </w:p>
    <w:p w14:paraId="6419DCB1" w14:textId="77777777" w:rsidR="009E280F" w:rsidRPr="007D4F79" w:rsidRDefault="009E280F" w:rsidP="009E280F">
      <w:pPr>
        <w:rPr>
          <w:lang w:val="fr-FR"/>
        </w:rPr>
      </w:pPr>
      <w:r w:rsidRPr="007D4F79">
        <w:rPr>
          <w:i/>
          <w:iCs/>
          <w:lang w:val="fr-FR"/>
        </w:rPr>
        <w:t>g)</w:t>
      </w:r>
      <w:r w:rsidRPr="007D4F79">
        <w:rPr>
          <w:lang w:val="fr-FR"/>
        </w:rPr>
        <w:tab/>
        <w:t>qu'une coordination générale des consultations interrégionales est nécessaire en permanence,</w:t>
      </w:r>
    </w:p>
    <w:p w14:paraId="4F346F81" w14:textId="77777777" w:rsidR="009E280F" w:rsidRPr="007D4F79" w:rsidRDefault="009E280F" w:rsidP="009E280F">
      <w:pPr>
        <w:pStyle w:val="Call"/>
        <w:rPr>
          <w:lang w:val="fr-FR"/>
        </w:rPr>
      </w:pPr>
      <w:r w:rsidRPr="007D4F79">
        <w:rPr>
          <w:lang w:val="fr-FR"/>
        </w:rPr>
        <w:t>reconnaissant</w:t>
      </w:r>
    </w:p>
    <w:p w14:paraId="29A695B6" w14:textId="77777777" w:rsidR="009E280F" w:rsidRPr="007D4F79" w:rsidRDefault="009E280F" w:rsidP="009E280F">
      <w:pPr>
        <w:rPr>
          <w:lang w:val="fr-FR"/>
        </w:rPr>
      </w:pPr>
      <w:r w:rsidRPr="007D4F79">
        <w:rPr>
          <w:lang w:val="fr-FR"/>
        </w:rPr>
        <w:t>les avantages de la coordination régionale pour les six régions que l'on a pu déjà constater pendant la préparation de toutes les conférences et assemblées de l'UIT,</w:t>
      </w:r>
    </w:p>
    <w:p w14:paraId="76CA2588" w14:textId="77777777" w:rsidR="009E280F" w:rsidRPr="007D4F79" w:rsidRDefault="009E280F" w:rsidP="009E280F">
      <w:pPr>
        <w:pStyle w:val="Call"/>
        <w:rPr>
          <w:lang w:val="fr-FR"/>
        </w:rPr>
      </w:pPr>
      <w:r w:rsidRPr="007D4F79">
        <w:rPr>
          <w:lang w:val="fr-FR"/>
        </w:rPr>
        <w:t>prenant en considération</w:t>
      </w:r>
    </w:p>
    <w:p w14:paraId="440EB802" w14:textId="77777777" w:rsidR="009E280F" w:rsidRPr="007D4F79" w:rsidRDefault="009E280F" w:rsidP="009E280F">
      <w:pPr>
        <w:rPr>
          <w:snapToGrid w:val="0"/>
          <w:lang w:val="fr-FR" w:eastAsia="fr-FR"/>
        </w:rPr>
      </w:pPr>
      <w:r w:rsidRPr="007D4F79">
        <w:rPr>
          <w:lang w:val="fr-FR"/>
        </w:rPr>
        <w:t xml:space="preserve">la ferme conviction que la </w:t>
      </w:r>
      <w:r w:rsidRPr="007D4F79">
        <w:rPr>
          <w:szCs w:val="24"/>
          <w:lang w:val="fr-FR"/>
        </w:rPr>
        <w:t>Conférence mondiale de développement des télécommunications</w:t>
      </w:r>
      <w:r w:rsidRPr="007D4F79">
        <w:rPr>
          <w:lang w:val="fr-FR"/>
        </w:rPr>
        <w:t xml:space="preserve"> (CMDT) pourrait gagner en efficacité grâce à une préparation plus poussée et de plus haut niveau des six régions pour le compte des États Membres de l'UIT avant la conférence,</w:t>
      </w:r>
    </w:p>
    <w:p w14:paraId="03B60A42" w14:textId="77777777" w:rsidR="009E280F" w:rsidRPr="007D4F79" w:rsidRDefault="009E280F" w:rsidP="009E280F">
      <w:pPr>
        <w:pStyle w:val="Call"/>
        <w:rPr>
          <w:lang w:val="fr-FR"/>
        </w:rPr>
      </w:pPr>
      <w:r w:rsidRPr="007D4F79">
        <w:rPr>
          <w:lang w:val="fr-FR"/>
        </w:rPr>
        <w:t>notant</w:t>
      </w:r>
    </w:p>
    <w:p w14:paraId="79B43E2B" w14:textId="77777777" w:rsidR="009E280F" w:rsidRPr="007D4F79" w:rsidRDefault="009E280F" w:rsidP="009E280F">
      <w:pPr>
        <w:rPr>
          <w:lang w:val="fr-FR"/>
        </w:rPr>
      </w:pPr>
      <w:r w:rsidRPr="007D4F79">
        <w:rPr>
          <w:i/>
          <w:iCs/>
          <w:lang w:val="fr-FR"/>
        </w:rPr>
        <w:t>a)</w:t>
      </w:r>
      <w:r w:rsidRPr="007D4F79">
        <w:rPr>
          <w:lang w:val="fr-FR"/>
        </w:rPr>
        <w:tab/>
        <w:t xml:space="preserve">que de nombreuses organisations régionales de télécommunication ont fait état de la nécessité pour l'Union de coopérer plus étroitement avec les organisations régionales de télécommunication (voir la Résolution 21 (Rév. </w:t>
      </w:r>
      <w:r w:rsidRPr="007D4F79">
        <w:rPr>
          <w:snapToGrid w:val="0"/>
          <w:lang w:val="fr-FR" w:eastAsia="fr-FR"/>
        </w:rPr>
        <w:t>Kigali, 2022</w:t>
      </w:r>
      <w:r w:rsidRPr="007D4F79">
        <w:rPr>
          <w:lang w:val="fr-FR"/>
        </w:rPr>
        <w:t>) de la présente Conférence, relative</w:t>
      </w:r>
      <w:r w:rsidRPr="007D4F79">
        <w:rPr>
          <w:color w:val="000000"/>
          <w:lang w:val="fr-FR"/>
        </w:rPr>
        <w:t xml:space="preserve"> au renforcement de</w:t>
      </w:r>
      <w:r w:rsidRPr="007D4F79">
        <w:rPr>
          <w:lang w:val="fr-FR"/>
        </w:rPr>
        <w:t xml:space="preserve"> la coordination et de la collaboration avec les organisations régionales et sous</w:t>
      </w:r>
      <w:r w:rsidRPr="007D4F79">
        <w:rPr>
          <w:lang w:val="fr-FR"/>
        </w:rPr>
        <w:noBreakHyphen/>
        <w:t>régionales);</w:t>
      </w:r>
    </w:p>
    <w:p w14:paraId="12C200AB" w14:textId="77777777" w:rsidR="009E280F" w:rsidRPr="007D4F79" w:rsidRDefault="009E280F" w:rsidP="009E280F">
      <w:pPr>
        <w:rPr>
          <w:lang w:val="fr-FR"/>
        </w:rPr>
      </w:pPr>
      <w:r w:rsidRPr="007D4F79">
        <w:rPr>
          <w:i/>
          <w:iCs/>
          <w:lang w:val="fr-FR"/>
        </w:rPr>
        <w:t>b)</w:t>
      </w:r>
      <w:r w:rsidRPr="007D4F79">
        <w:rPr>
          <w:lang w:val="fr-FR"/>
        </w:rPr>
        <w:tab/>
        <w:t>que les relations entre les bureaux régionaux de l'UIT et les organisations régionales de télécommunication se sont révélées très fructueuses et qu'il conviendrait de continuer à faire appel aux bureaux régionaux pour faciliter les travaux préparatoires en vue des CMDT;</w:t>
      </w:r>
    </w:p>
    <w:p w14:paraId="37A05C24" w14:textId="77777777" w:rsidR="009E280F" w:rsidRPr="007D4F79" w:rsidRDefault="009E280F" w:rsidP="009E280F">
      <w:pPr>
        <w:rPr>
          <w:lang w:val="fr-FR"/>
        </w:rPr>
      </w:pPr>
      <w:r w:rsidRPr="007D4F79">
        <w:rPr>
          <w:i/>
          <w:iCs/>
          <w:lang w:val="fr-FR"/>
        </w:rPr>
        <w:t>c)</w:t>
      </w:r>
      <w:r w:rsidRPr="007D4F79">
        <w:rPr>
          <w:i/>
          <w:iCs/>
          <w:lang w:val="fr-FR"/>
        </w:rPr>
        <w:tab/>
      </w:r>
      <w:r w:rsidRPr="007D4F79">
        <w:rPr>
          <w:lang w:val="fr-FR"/>
        </w:rPr>
        <w:t>que certains États Membres de l'UIT ne sont pas membres d'une organisation régionale de télécommunication,</w:t>
      </w:r>
    </w:p>
    <w:p w14:paraId="1DFB9783" w14:textId="77777777" w:rsidR="009E280F" w:rsidRDefault="009E280F" w:rsidP="009E280F">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7F04C8A" w14:textId="77777777" w:rsidR="009E280F" w:rsidRPr="007D4F79" w:rsidRDefault="009E280F" w:rsidP="009E280F">
      <w:pPr>
        <w:pStyle w:val="Call"/>
        <w:rPr>
          <w:lang w:val="fr-FR"/>
        </w:rPr>
      </w:pPr>
      <w:r w:rsidRPr="007D4F79">
        <w:rPr>
          <w:lang w:val="fr-FR"/>
        </w:rPr>
        <w:lastRenderedPageBreak/>
        <w:t>décide de charger le Directeur du Bureau de développement des télécommunications</w:t>
      </w:r>
    </w:p>
    <w:p w14:paraId="38B51CB4" w14:textId="77777777" w:rsidR="009E280F" w:rsidRPr="007D4F79" w:rsidRDefault="009E280F" w:rsidP="009E280F">
      <w:pPr>
        <w:rPr>
          <w:lang w:val="fr-FR"/>
        </w:rPr>
      </w:pPr>
      <w:r w:rsidRPr="007D4F79">
        <w:rPr>
          <w:lang w:val="fr-FR"/>
        </w:rPr>
        <w:t>1</w:t>
      </w:r>
      <w:r w:rsidRPr="007D4F79">
        <w:rPr>
          <w:lang w:val="fr-FR"/>
        </w:rPr>
        <w:tab/>
        <w:t>de continuer d'organiser, dans les limites financières fixées par la Conférence de plénipotentiaires, une réunion préparatoire régionale (RPM) par région pour chacune des six régions (si la région concernée le juge approprié), dans le cadre d'une coordination et d'une coopération étroites avec les organisations régionales concernées et en partenariat avec tous les États Membres de la région, même s'ils n'appartiennent à aucune des organisations régionales de télécommunication, dès que possible avant la dernière réunion du GCDT précédant la prochaine CMDT, en évitant tout chevauchement avec d'autres réunions pertinentes de l'UIT</w:t>
      </w:r>
      <w:r w:rsidRPr="007D4F79">
        <w:rPr>
          <w:lang w:val="fr-FR"/>
        </w:rPr>
        <w:noBreakHyphen/>
        <w:t>D et en tirant pleinement parti des bureaux régionaux de l'UIT pour faciliter ces réunions;</w:t>
      </w:r>
    </w:p>
    <w:p w14:paraId="171B05AD" w14:textId="77777777" w:rsidR="009E280F" w:rsidRPr="007D4F79" w:rsidRDefault="009E280F" w:rsidP="009E280F">
      <w:pPr>
        <w:rPr>
          <w:lang w:val="fr-FR"/>
        </w:rPr>
      </w:pPr>
      <w:r w:rsidRPr="007D4F79">
        <w:rPr>
          <w:lang w:val="fr-FR"/>
        </w:rPr>
        <w:t>2</w:t>
      </w:r>
      <w:r w:rsidRPr="007D4F79">
        <w:rPr>
          <w:lang w:val="fr-FR"/>
        </w:rPr>
        <w:tab/>
        <w:t>d'organiser une réunion de coordination entre les présidents et vice</w:t>
      </w:r>
      <w:r w:rsidRPr="007D4F79">
        <w:rPr>
          <w:lang w:val="fr-FR"/>
        </w:rPr>
        <w:noBreakHyphen/>
        <w:t>présidents des RPM en association avec la dernière réunion du GCDT, avec la participation des Membres de l'UIT-D intéressés;</w:t>
      </w:r>
    </w:p>
    <w:p w14:paraId="02B580FD" w14:textId="77777777" w:rsidR="009E280F" w:rsidRPr="007D4F79" w:rsidRDefault="009E280F" w:rsidP="009E280F">
      <w:pPr>
        <w:rPr>
          <w:lang w:val="fr-FR"/>
        </w:rPr>
      </w:pPr>
      <w:r w:rsidRPr="007D4F79">
        <w:rPr>
          <w:lang w:val="fr-FR"/>
        </w:rPr>
        <w:t>3</w:t>
      </w:r>
      <w:r w:rsidRPr="007D4F79">
        <w:rPr>
          <w:lang w:val="fr-FR"/>
        </w:rPr>
        <w:tab/>
        <w:t>d'aider les pays les moins avancés à participer aux RPM, dans les limites des ressources financières disponibles;</w:t>
      </w:r>
    </w:p>
    <w:p w14:paraId="082213CC" w14:textId="77777777" w:rsidR="009E280F" w:rsidRPr="007D4F79" w:rsidRDefault="009E280F" w:rsidP="009E280F">
      <w:pPr>
        <w:rPr>
          <w:lang w:val="fr-FR"/>
        </w:rPr>
      </w:pPr>
      <w:r w:rsidRPr="007D4F79">
        <w:rPr>
          <w:lang w:val="fr-FR"/>
        </w:rPr>
        <w:t>4</w:t>
      </w:r>
      <w:r w:rsidRPr="007D4F79">
        <w:rPr>
          <w:lang w:val="fr-FR"/>
        </w:rPr>
        <w:tab/>
        <w:t>d'élaborer, en collaboration étroite avec les présidents et vice-présidents des RPM, un rapport reprenant les résultats de ces réunions qui sera soumis à la réunion du GCDT précédant immédiatement la CMDT;</w:t>
      </w:r>
    </w:p>
    <w:p w14:paraId="1E5E4132" w14:textId="77777777" w:rsidR="009E280F" w:rsidRPr="007D4F79" w:rsidRDefault="009E280F" w:rsidP="009E280F">
      <w:pPr>
        <w:rPr>
          <w:lang w:val="fr-FR"/>
        </w:rPr>
      </w:pPr>
      <w:r w:rsidRPr="007D4F79">
        <w:rPr>
          <w:lang w:val="fr-FR"/>
        </w:rPr>
        <w:t>5</w:t>
      </w:r>
      <w:r w:rsidRPr="007D4F79">
        <w:rPr>
          <w:lang w:val="fr-FR"/>
        </w:rPr>
        <w:tab/>
        <w:t>de convoquer la dernière réunion du GCDT au plus tard trois mois et au plus tôt quatre mois avant la CMDT pour étudier, discuter et adopter le rapport de synthèse présentant sous forme finale les résultats des six RPM, en tant que document de base destiné à être inclus, lorsqu'il aura été approuvé par le GCDT, dans le rapport sur l'application de la présente Résolution qui sera soumis à la CMDT, et pour accomplir tout ce qui est par ailleurs souhaitable avant la CMDT (par exemple l'examen des Questions qu'il est proposé de confier aux commissions d'études), en procédant aussi à un examen et à une révision de toutes les résolutions, recommandations et programmes, de manière à proposer les mises à jour nécessaires de certains de ces textes ou de tous si possible et à les soumettre à la CMDT en tant que rapports du GCDT,</w:t>
      </w:r>
    </w:p>
    <w:p w14:paraId="20F7DB98" w14:textId="77777777" w:rsidR="009E280F" w:rsidRPr="007D4F79" w:rsidRDefault="009E280F" w:rsidP="009E280F">
      <w:pPr>
        <w:pStyle w:val="Call"/>
        <w:rPr>
          <w:lang w:val="fr-FR"/>
        </w:rPr>
      </w:pPr>
      <w:r w:rsidRPr="007D4F79">
        <w:rPr>
          <w:lang w:val="fr-FR"/>
        </w:rPr>
        <w:t>prie le Secrétaire général, en coopération avec le Directeur du Bureau de développement des télécommunications</w:t>
      </w:r>
    </w:p>
    <w:p w14:paraId="5FB028E7" w14:textId="77777777" w:rsidR="009E280F" w:rsidRPr="007D4F79" w:rsidRDefault="009E280F" w:rsidP="009E280F">
      <w:pPr>
        <w:rPr>
          <w:lang w:val="fr-FR"/>
        </w:rPr>
      </w:pPr>
      <w:r w:rsidRPr="007D4F79">
        <w:rPr>
          <w:lang w:val="fr-FR"/>
        </w:rPr>
        <w:t>1</w:t>
      </w:r>
      <w:r w:rsidRPr="007D4F79">
        <w:rPr>
          <w:lang w:val="fr-FR"/>
        </w:rPr>
        <w:tab/>
        <w:t>de continuer de consulter les États Membres et les organisations régionales de télécommunication dans les six régions pour savoir comment les aider à se préparer aux futures CMDT;</w:t>
      </w:r>
    </w:p>
    <w:p w14:paraId="041DFD7A" w14:textId="77777777" w:rsidR="009E280F" w:rsidRPr="007D4F79" w:rsidRDefault="009E280F" w:rsidP="009E280F">
      <w:pPr>
        <w:rPr>
          <w:lang w:val="fr-FR"/>
        </w:rPr>
      </w:pPr>
      <w:r w:rsidRPr="007D4F79">
        <w:rPr>
          <w:lang w:val="fr-FR"/>
        </w:rPr>
        <w:t>2</w:t>
      </w:r>
      <w:r w:rsidRPr="007D4F79">
        <w:rPr>
          <w:lang w:val="fr-FR"/>
        </w:rPr>
        <w:tab/>
        <w:t>de continuer d'aider, sur la base de ces consultations, les États Membres et les organisations régionales et sous-régionales de télécommunication, notamment dans les domaines suivants:</w:t>
      </w:r>
    </w:p>
    <w:p w14:paraId="0D91DB22" w14:textId="77777777" w:rsidR="009E280F" w:rsidRDefault="009E280F" w:rsidP="009E280F">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2F906877" w14:textId="77777777" w:rsidR="009E280F" w:rsidRPr="007D4F79" w:rsidRDefault="009E280F" w:rsidP="009E280F">
      <w:pPr>
        <w:pStyle w:val="enumlev1"/>
        <w:rPr>
          <w:lang w:val="fr-FR"/>
        </w:rPr>
      </w:pPr>
      <w:r w:rsidRPr="007D4F79">
        <w:rPr>
          <w:lang w:val="fr-FR"/>
        </w:rPr>
        <w:lastRenderedPageBreak/>
        <w:t>i)</w:t>
      </w:r>
      <w:r w:rsidRPr="007D4F79">
        <w:rPr>
          <w:lang w:val="fr-FR"/>
        </w:rPr>
        <w:tab/>
        <w:t>organisation de réunions préparatoires formelles ou informelles, au niveau régional ou interrégional;</w:t>
      </w:r>
    </w:p>
    <w:p w14:paraId="52047126" w14:textId="77777777" w:rsidR="009E280F" w:rsidRPr="007D4F79" w:rsidRDefault="009E280F" w:rsidP="009E280F">
      <w:pPr>
        <w:pStyle w:val="enumlev1"/>
        <w:rPr>
          <w:lang w:val="fr-FR"/>
        </w:rPr>
      </w:pPr>
      <w:r w:rsidRPr="007D4F79">
        <w:rPr>
          <w:lang w:val="fr-FR"/>
        </w:rPr>
        <w:t>ii)</w:t>
      </w:r>
      <w:r w:rsidRPr="007D4F79">
        <w:rPr>
          <w:lang w:val="fr-FR"/>
        </w:rPr>
        <w:tab/>
        <w:t>organisation de séances d'information;</w:t>
      </w:r>
    </w:p>
    <w:p w14:paraId="0F75A96E" w14:textId="77777777" w:rsidR="009E280F" w:rsidRPr="007D4F79" w:rsidRDefault="009E280F" w:rsidP="009E280F">
      <w:pPr>
        <w:pStyle w:val="enumlev1"/>
        <w:rPr>
          <w:lang w:val="fr-FR"/>
        </w:rPr>
      </w:pPr>
      <w:r w:rsidRPr="007D4F79">
        <w:rPr>
          <w:lang w:val="fr-FR"/>
        </w:rPr>
        <w:t>iii)</w:t>
      </w:r>
      <w:r w:rsidRPr="007D4F79">
        <w:rPr>
          <w:lang w:val="fr-FR"/>
        </w:rPr>
        <w:tab/>
        <w:t>détermination de méthodes de coordination mutuelle;</w:t>
      </w:r>
    </w:p>
    <w:p w14:paraId="2FF1A6A5" w14:textId="77777777" w:rsidR="009E280F" w:rsidRPr="007D4F79" w:rsidRDefault="009E280F" w:rsidP="009E280F">
      <w:pPr>
        <w:pStyle w:val="enumlev1"/>
        <w:rPr>
          <w:lang w:val="fr-FR"/>
        </w:rPr>
      </w:pPr>
      <w:r w:rsidRPr="007D4F79">
        <w:rPr>
          <w:lang w:val="fr-FR"/>
        </w:rPr>
        <w:t>iv)</w:t>
      </w:r>
      <w:r w:rsidRPr="007D4F79">
        <w:rPr>
          <w:lang w:val="fr-FR"/>
        </w:rPr>
        <w:tab/>
        <w:t>définition des grandes questions que la future CMDT aura à résoudre;</w:t>
      </w:r>
    </w:p>
    <w:p w14:paraId="6492DEEE" w14:textId="77777777" w:rsidR="009E280F" w:rsidRPr="007D4F79" w:rsidRDefault="009E280F" w:rsidP="009E280F">
      <w:pPr>
        <w:rPr>
          <w:lang w:val="fr-FR"/>
        </w:rPr>
      </w:pPr>
      <w:r w:rsidRPr="007D4F79">
        <w:rPr>
          <w:lang w:val="fr-FR"/>
        </w:rPr>
        <w:t>3</w:t>
      </w:r>
      <w:r w:rsidRPr="007D4F79">
        <w:rPr>
          <w:lang w:val="fr-FR"/>
        </w:rPr>
        <w:tab/>
        <w:t>de continuer de soumettre à la prochaine CMDT un rapport sur l'application de la présente Résolution,</w:t>
      </w:r>
    </w:p>
    <w:p w14:paraId="717F4C3D" w14:textId="77777777" w:rsidR="009E280F" w:rsidRPr="007D4F79" w:rsidRDefault="009E280F" w:rsidP="009E280F">
      <w:pPr>
        <w:pStyle w:val="Call"/>
        <w:rPr>
          <w:lang w:val="fr-FR"/>
        </w:rPr>
      </w:pPr>
      <w:r w:rsidRPr="007D4F79">
        <w:rPr>
          <w:lang w:val="fr-FR"/>
        </w:rPr>
        <w:t>invite les États Membres</w:t>
      </w:r>
    </w:p>
    <w:p w14:paraId="3B9CC30F" w14:textId="77777777" w:rsidR="009E280F" w:rsidRPr="007D4F79" w:rsidRDefault="009E280F" w:rsidP="009E280F">
      <w:pPr>
        <w:rPr>
          <w:lang w:val="fr-FR"/>
        </w:rPr>
      </w:pPr>
      <w:r w:rsidRPr="007D4F79">
        <w:rPr>
          <w:lang w:val="fr-FR"/>
        </w:rPr>
        <w:t>à participer activement à la mise en œuvre de la présente Résolution,</w:t>
      </w:r>
    </w:p>
    <w:p w14:paraId="07F3FCE1" w14:textId="77777777" w:rsidR="009E280F" w:rsidRPr="007D4F79" w:rsidRDefault="009E280F" w:rsidP="009E280F">
      <w:pPr>
        <w:pStyle w:val="Call"/>
        <w:rPr>
          <w:lang w:val="fr-FR"/>
        </w:rPr>
      </w:pPr>
      <w:r w:rsidRPr="007D4F79">
        <w:rPr>
          <w:lang w:val="fr-FR"/>
        </w:rPr>
        <w:t>invite les organisations régionales ou sous-régionales de télécommunication</w:t>
      </w:r>
    </w:p>
    <w:p w14:paraId="363902D4" w14:textId="77777777" w:rsidR="009E280F" w:rsidRPr="007D4F79" w:rsidRDefault="009E280F" w:rsidP="009E280F">
      <w:pPr>
        <w:rPr>
          <w:lang w:val="fr-FR"/>
        </w:rPr>
      </w:pPr>
      <w:r w:rsidRPr="007D4F79">
        <w:rPr>
          <w:lang w:val="fr-FR"/>
        </w:rPr>
        <w:t>1</w:t>
      </w:r>
      <w:r w:rsidRPr="007D4F79">
        <w:rPr>
          <w:lang w:val="fr-FR"/>
        </w:rPr>
        <w:tab/>
        <w:t>à participer à la coordination et à l'harmonisation des contributions de leurs États Membres respectifs, afin d'élaborer si possible des propositions communes;</w:t>
      </w:r>
    </w:p>
    <w:p w14:paraId="442E569B" w14:textId="77777777" w:rsidR="009E280F" w:rsidRPr="007D4F79" w:rsidRDefault="009E280F" w:rsidP="009E280F">
      <w:pPr>
        <w:rPr>
          <w:lang w:val="fr-FR"/>
        </w:rPr>
      </w:pPr>
      <w:r w:rsidRPr="007D4F79">
        <w:rPr>
          <w:lang w:val="fr-FR"/>
        </w:rPr>
        <w:t>2</w:t>
      </w:r>
      <w:r w:rsidRPr="007D4F79">
        <w:rPr>
          <w:lang w:val="fr-FR"/>
        </w:rPr>
        <w:tab/>
        <w:t>à jouer un rôle actif dans la préparation et l'organisation des RPM en vue de la CMDT;</w:t>
      </w:r>
    </w:p>
    <w:p w14:paraId="40BD5F1C" w14:textId="77777777" w:rsidR="009E280F" w:rsidRPr="007D4F79" w:rsidRDefault="009E280F" w:rsidP="009E280F">
      <w:pPr>
        <w:rPr>
          <w:lang w:val="fr-FR"/>
        </w:rPr>
      </w:pPr>
      <w:r w:rsidRPr="007D4F79">
        <w:rPr>
          <w:lang w:val="fr-FR"/>
        </w:rPr>
        <w:t>3</w:t>
      </w:r>
      <w:r w:rsidRPr="007D4F79">
        <w:rPr>
          <w:lang w:val="fr-FR"/>
        </w:rPr>
        <w:tab/>
        <w:t>à prendre part aux réunions préparatoires d'autres organisations régionales et à convoquer, si possible, des réunions interrégionales informelles, en vue d'échanger des informations et de coordonner les propositions communes au niveau interrégional.</w:t>
      </w:r>
    </w:p>
    <w:p w14:paraId="3BF6971B" w14:textId="77777777" w:rsidR="009E280F" w:rsidRPr="007D4F79" w:rsidRDefault="009E280F" w:rsidP="009E280F">
      <w:pPr>
        <w:tabs>
          <w:tab w:val="clear" w:pos="1134"/>
          <w:tab w:val="clear" w:pos="1871"/>
          <w:tab w:val="clear" w:pos="2268"/>
        </w:tabs>
        <w:overflowPunct/>
        <w:autoSpaceDE/>
        <w:autoSpaceDN/>
        <w:adjustRightInd/>
        <w:spacing w:before="0"/>
        <w:textAlignment w:val="auto"/>
        <w:rPr>
          <w:lang w:val="fr-FR"/>
        </w:rPr>
      </w:pPr>
    </w:p>
    <w:p w14:paraId="7E0FA9CB" w14:textId="77777777" w:rsidR="009E280F" w:rsidRPr="007D4F79" w:rsidRDefault="009E280F" w:rsidP="009E280F">
      <w:pPr>
        <w:tabs>
          <w:tab w:val="clear" w:pos="1134"/>
          <w:tab w:val="clear" w:pos="1871"/>
          <w:tab w:val="clear" w:pos="2268"/>
        </w:tabs>
        <w:overflowPunct/>
        <w:autoSpaceDE/>
        <w:autoSpaceDN/>
        <w:adjustRightInd/>
        <w:spacing w:before="0"/>
        <w:textAlignment w:val="auto"/>
        <w:rPr>
          <w:lang w:val="fr-FR"/>
        </w:rPr>
      </w:pPr>
    </w:p>
    <w:p w14:paraId="39F1B96C" w14:textId="77777777" w:rsidR="009E280F" w:rsidRPr="007D4F79" w:rsidRDefault="009E280F" w:rsidP="009E280F">
      <w:pPr>
        <w:tabs>
          <w:tab w:val="clear" w:pos="1134"/>
          <w:tab w:val="clear" w:pos="1871"/>
          <w:tab w:val="clear" w:pos="2268"/>
        </w:tabs>
        <w:overflowPunct/>
        <w:autoSpaceDE/>
        <w:autoSpaceDN/>
        <w:adjustRightInd/>
        <w:spacing w:before="0"/>
        <w:textAlignment w:val="auto"/>
        <w:rPr>
          <w:lang w:val="fr-FR"/>
        </w:rPr>
      </w:pPr>
    </w:p>
    <w:p w14:paraId="096334A3" w14:textId="77777777" w:rsidR="009E280F" w:rsidRPr="007D4F79" w:rsidRDefault="009E280F" w:rsidP="009E280F">
      <w:pPr>
        <w:tabs>
          <w:tab w:val="clear" w:pos="1134"/>
          <w:tab w:val="clear" w:pos="1871"/>
          <w:tab w:val="clear" w:pos="2268"/>
        </w:tabs>
        <w:overflowPunct/>
        <w:autoSpaceDE/>
        <w:autoSpaceDN/>
        <w:adjustRightInd/>
        <w:spacing w:before="0"/>
        <w:textAlignment w:val="auto"/>
        <w:rPr>
          <w:lang w:val="fr-FR"/>
        </w:rPr>
      </w:pPr>
    </w:p>
    <w:p w14:paraId="3DE700DF" w14:textId="77777777" w:rsidR="009E280F" w:rsidRPr="007D4F79" w:rsidRDefault="009E280F" w:rsidP="009E280F">
      <w:pPr>
        <w:tabs>
          <w:tab w:val="clear" w:pos="1134"/>
          <w:tab w:val="clear" w:pos="1871"/>
          <w:tab w:val="clear" w:pos="2268"/>
        </w:tabs>
        <w:overflowPunct/>
        <w:autoSpaceDE/>
        <w:autoSpaceDN/>
        <w:adjustRightInd/>
        <w:spacing w:before="0"/>
        <w:textAlignment w:val="auto"/>
        <w:rPr>
          <w:lang w:val="fr-FR"/>
        </w:rPr>
      </w:pPr>
    </w:p>
    <w:p w14:paraId="62193291" w14:textId="77777777" w:rsidR="009E280F" w:rsidRPr="007D4F79" w:rsidRDefault="009E280F" w:rsidP="009E280F">
      <w:pPr>
        <w:tabs>
          <w:tab w:val="clear" w:pos="1134"/>
          <w:tab w:val="clear" w:pos="1871"/>
          <w:tab w:val="clear" w:pos="2268"/>
        </w:tabs>
        <w:overflowPunct/>
        <w:autoSpaceDE/>
        <w:autoSpaceDN/>
        <w:adjustRightInd/>
        <w:spacing w:before="0"/>
        <w:textAlignment w:val="auto"/>
        <w:rPr>
          <w:lang w:val="fr-FR"/>
        </w:rPr>
      </w:pPr>
    </w:p>
    <w:p w14:paraId="157F5A6D" w14:textId="77777777" w:rsidR="00F16487" w:rsidRDefault="00F16487"/>
    <w:sectPr w:rsidR="00F16487" w:rsidSect="009E280F">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0B2D" w14:textId="77777777" w:rsidR="009E280F" w:rsidRDefault="009E280F" w:rsidP="009E280F">
      <w:pPr>
        <w:spacing w:before="0" w:after="0"/>
      </w:pPr>
      <w:r>
        <w:separator/>
      </w:r>
    </w:p>
  </w:endnote>
  <w:endnote w:type="continuationSeparator" w:id="0">
    <w:p w14:paraId="7DE35454" w14:textId="77777777" w:rsidR="009E280F" w:rsidRDefault="009E280F" w:rsidP="009E28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DBE9" w14:textId="77777777" w:rsidR="009E280F" w:rsidRDefault="009E280F" w:rsidP="009E280F">
      <w:pPr>
        <w:spacing w:before="0" w:after="0"/>
      </w:pPr>
      <w:r>
        <w:separator/>
      </w:r>
    </w:p>
  </w:footnote>
  <w:footnote w:type="continuationSeparator" w:id="0">
    <w:p w14:paraId="271C84F8" w14:textId="77777777" w:rsidR="009E280F" w:rsidRDefault="009E280F" w:rsidP="009E280F">
      <w:pPr>
        <w:spacing w:before="0" w:after="0"/>
      </w:pPr>
      <w:r>
        <w:continuationSeparator/>
      </w:r>
    </w:p>
  </w:footnote>
  <w:footnote w:id="1">
    <w:p w14:paraId="7BB5D06B" w14:textId="77777777" w:rsidR="009E280F" w:rsidRPr="00597D3B" w:rsidRDefault="009E280F" w:rsidP="009E280F">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Afrique, Amériques, Asie-Pacifique, Communauté des États indépendants, États arabes,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496777883"/>
      <w:docPartObj>
        <w:docPartGallery w:val="Page Numbers (Top of Page)"/>
        <w:docPartUnique/>
      </w:docPartObj>
    </w:sdtPr>
    <w:sdtEndPr>
      <w:rPr>
        <w:noProof/>
      </w:rPr>
    </w:sdtEndPr>
    <w:sdtContent>
      <w:p w14:paraId="217BA4CA" w14:textId="77777777" w:rsidR="009E280F" w:rsidRPr="009E280F" w:rsidRDefault="009E280F" w:rsidP="009E280F">
        <w:pPr>
          <w:tabs>
            <w:tab w:val="left" w:pos="426"/>
            <w:tab w:val="left" w:pos="851"/>
          </w:tabs>
          <w:spacing w:before="0"/>
          <w:jc w:val="left"/>
          <w:rPr>
            <w:rFonts w:ascii="Calibri" w:hAnsi="Calibri"/>
            <w:sz w:val="16"/>
            <w:szCs w:val="16"/>
            <w:lang w:val="fr-FR"/>
          </w:rPr>
        </w:pPr>
        <w:r w:rsidRPr="009E280F">
          <w:rPr>
            <w:rFonts w:ascii="Calibri" w:hAnsi="Calibri"/>
            <w:sz w:val="16"/>
            <w:szCs w:val="16"/>
          </w:rPr>
          <w:fldChar w:fldCharType="begin"/>
        </w:r>
        <w:r w:rsidRPr="009E280F">
          <w:rPr>
            <w:rFonts w:ascii="Calibri" w:hAnsi="Calibri"/>
            <w:sz w:val="16"/>
            <w:szCs w:val="16"/>
            <w:lang w:val="fr-FR"/>
          </w:rPr>
          <w:instrText xml:space="preserve"> PAGE   \* MERGEFORMAT </w:instrText>
        </w:r>
        <w:r w:rsidRPr="009E280F">
          <w:rPr>
            <w:rFonts w:ascii="Calibri" w:hAnsi="Calibri"/>
            <w:sz w:val="16"/>
            <w:szCs w:val="16"/>
          </w:rPr>
          <w:fldChar w:fldCharType="separate"/>
        </w:r>
        <w:r w:rsidRPr="009E280F">
          <w:rPr>
            <w:rFonts w:ascii="Calibri" w:hAnsi="Calibri"/>
            <w:sz w:val="16"/>
            <w:szCs w:val="16"/>
          </w:rPr>
          <w:t>156</w:t>
        </w:r>
        <w:r w:rsidRPr="009E280F">
          <w:rPr>
            <w:rFonts w:ascii="Calibri" w:hAnsi="Calibri"/>
            <w:noProof/>
            <w:sz w:val="16"/>
            <w:szCs w:val="16"/>
          </w:rPr>
          <w:fldChar w:fldCharType="end"/>
        </w:r>
        <w:r w:rsidRPr="009E280F">
          <w:rPr>
            <w:rFonts w:ascii="Calibri" w:hAnsi="Calibri"/>
            <w:sz w:val="16"/>
            <w:szCs w:val="16"/>
            <w:lang w:val="fr-FR"/>
          </w:rPr>
          <w:tab/>
          <w:t>Rapport final de la CMDT-22 – Partie IV – Résolution 31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795447856"/>
      <w:docPartObj>
        <w:docPartGallery w:val="Page Numbers (Top of Page)"/>
        <w:docPartUnique/>
      </w:docPartObj>
    </w:sdtPr>
    <w:sdtEndPr>
      <w:rPr>
        <w:noProof/>
      </w:rPr>
    </w:sdtEndPr>
    <w:sdtContent>
      <w:p w14:paraId="64A87542" w14:textId="77777777" w:rsidR="009E280F" w:rsidRPr="009E280F" w:rsidRDefault="009E280F" w:rsidP="009E280F">
        <w:pPr>
          <w:tabs>
            <w:tab w:val="clear" w:pos="1134"/>
            <w:tab w:val="clear" w:pos="1871"/>
            <w:tab w:val="clear" w:pos="2268"/>
            <w:tab w:val="left" w:pos="5387"/>
            <w:tab w:val="left" w:pos="9356"/>
          </w:tabs>
          <w:spacing w:before="0"/>
          <w:jc w:val="right"/>
          <w:rPr>
            <w:rFonts w:ascii="Calibri" w:hAnsi="Calibri"/>
            <w:sz w:val="16"/>
            <w:szCs w:val="16"/>
            <w:lang w:val="fr-FR"/>
          </w:rPr>
        </w:pPr>
        <w:r w:rsidRPr="009E280F">
          <w:rPr>
            <w:rFonts w:ascii="Calibri" w:hAnsi="Calibri"/>
            <w:sz w:val="16"/>
            <w:szCs w:val="16"/>
            <w:lang w:val="fr-FR"/>
          </w:rPr>
          <w:tab/>
          <w:t>Rapport final de la CMDT-22 – Partie IV – Résolution 31</w:t>
        </w:r>
        <w:r w:rsidRPr="009E280F">
          <w:rPr>
            <w:rFonts w:ascii="Calibri" w:hAnsi="Calibri"/>
            <w:sz w:val="16"/>
            <w:szCs w:val="16"/>
            <w:lang w:val="fr-FR"/>
          </w:rPr>
          <w:tab/>
        </w:r>
        <w:r w:rsidRPr="009E280F">
          <w:rPr>
            <w:rFonts w:ascii="Calibri" w:hAnsi="Calibri"/>
            <w:sz w:val="16"/>
            <w:szCs w:val="16"/>
          </w:rPr>
          <w:fldChar w:fldCharType="begin"/>
        </w:r>
        <w:r w:rsidRPr="009E280F">
          <w:rPr>
            <w:rFonts w:ascii="Calibri" w:hAnsi="Calibri"/>
            <w:sz w:val="16"/>
            <w:szCs w:val="16"/>
            <w:lang w:val="fr-FR"/>
          </w:rPr>
          <w:instrText xml:space="preserve"> PAGE   \* MERGEFORMAT </w:instrText>
        </w:r>
        <w:r w:rsidRPr="009E280F">
          <w:rPr>
            <w:rFonts w:ascii="Calibri" w:hAnsi="Calibri"/>
            <w:sz w:val="16"/>
            <w:szCs w:val="16"/>
          </w:rPr>
          <w:fldChar w:fldCharType="separate"/>
        </w:r>
        <w:r w:rsidRPr="009E280F">
          <w:rPr>
            <w:rFonts w:ascii="Calibri" w:hAnsi="Calibri"/>
            <w:sz w:val="16"/>
            <w:szCs w:val="16"/>
          </w:rPr>
          <w:t>155</w:t>
        </w:r>
        <w:r w:rsidRPr="009E280F">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0F"/>
    <w:rsid w:val="00192065"/>
    <w:rsid w:val="00400A99"/>
    <w:rsid w:val="0045258F"/>
    <w:rsid w:val="004A0B3D"/>
    <w:rsid w:val="0051703C"/>
    <w:rsid w:val="005C0E4B"/>
    <w:rsid w:val="007359FB"/>
    <w:rsid w:val="0076311C"/>
    <w:rsid w:val="008630CC"/>
    <w:rsid w:val="00950AD1"/>
    <w:rsid w:val="009E280F"/>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DCF0"/>
  <w15:chartTrackingRefBased/>
  <w15:docId w15:val="{4F2E3FFF-54A0-4100-990E-85595BFA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0F"/>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E280F"/>
    <w:pPr>
      <w:keepNext/>
      <w:keepLines/>
      <w:spacing w:before="160"/>
      <w:ind w:left="1134"/>
    </w:pPr>
    <w:rPr>
      <w:i/>
    </w:rPr>
  </w:style>
  <w:style w:type="paragraph" w:customStyle="1" w:styleId="enumlev1">
    <w:name w:val="enumlev1"/>
    <w:basedOn w:val="Normal"/>
    <w:link w:val="enumlev1Char"/>
    <w:rsid w:val="009E280F"/>
    <w:pPr>
      <w:tabs>
        <w:tab w:val="clear" w:pos="2268"/>
        <w:tab w:val="left" w:pos="2608"/>
        <w:tab w:val="left" w:pos="3345"/>
      </w:tabs>
      <w:spacing w:before="40"/>
      <w:ind w:left="1134" w:hanging="1134"/>
    </w:pPr>
  </w:style>
  <w:style w:type="character" w:styleId="FootnoteReference">
    <w:name w:val="footnote reference"/>
    <w:basedOn w:val="DefaultParagraphFont"/>
    <w:rsid w:val="009E280F"/>
    <w:rPr>
      <w:rFonts w:asciiTheme="minorHAnsi" w:hAnsiTheme="minorHAnsi"/>
      <w:position w:val="6"/>
      <w:sz w:val="18"/>
    </w:rPr>
  </w:style>
  <w:style w:type="paragraph" w:styleId="FootnoteText">
    <w:name w:val="footnote text"/>
    <w:basedOn w:val="Normal"/>
    <w:link w:val="FootnoteTextChar"/>
    <w:rsid w:val="009E280F"/>
    <w:pPr>
      <w:keepLines/>
      <w:tabs>
        <w:tab w:val="left" w:pos="255"/>
      </w:tabs>
    </w:pPr>
    <w:rPr>
      <w:sz w:val="22"/>
    </w:rPr>
  </w:style>
  <w:style w:type="character" w:customStyle="1" w:styleId="FootnoteTextChar">
    <w:name w:val="Footnote Text Char"/>
    <w:basedOn w:val="DefaultParagraphFont"/>
    <w:link w:val="FootnoteText"/>
    <w:rsid w:val="009E280F"/>
    <w:rPr>
      <w:rFonts w:eastAsia="Times New Roman" w:cs="Times New Roman"/>
      <w:szCs w:val="20"/>
      <w:lang w:val="en-GB"/>
    </w:rPr>
  </w:style>
  <w:style w:type="paragraph" w:customStyle="1" w:styleId="Normalaftertitle">
    <w:name w:val="Normal after title"/>
    <w:basedOn w:val="Normal"/>
    <w:next w:val="Normal"/>
    <w:link w:val="NormalaftertitleChar"/>
    <w:rsid w:val="009E280F"/>
    <w:pPr>
      <w:spacing w:before="280"/>
    </w:pPr>
  </w:style>
  <w:style w:type="paragraph" w:customStyle="1" w:styleId="ResNo">
    <w:name w:val="Res_No"/>
    <w:basedOn w:val="Normal"/>
    <w:next w:val="Normal"/>
    <w:rsid w:val="009E280F"/>
    <w:pPr>
      <w:keepNext/>
      <w:keepLines/>
      <w:spacing w:before="480"/>
      <w:jc w:val="center"/>
      <w:outlineLvl w:val="0"/>
    </w:pPr>
    <w:rPr>
      <w:caps/>
      <w:sz w:val="28"/>
    </w:rPr>
  </w:style>
  <w:style w:type="paragraph" w:customStyle="1" w:styleId="Restitle">
    <w:name w:val="Res_title"/>
    <w:basedOn w:val="Normal"/>
    <w:next w:val="Normal"/>
    <w:rsid w:val="009E280F"/>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E280F"/>
    <w:rPr>
      <w:rFonts w:eastAsia="Times New Roman" w:cs="Times New Roman"/>
      <w:sz w:val="24"/>
      <w:szCs w:val="20"/>
      <w:lang w:val="en-GB"/>
    </w:rPr>
  </w:style>
  <w:style w:type="character" w:customStyle="1" w:styleId="enumlev1Char">
    <w:name w:val="enumlev1 Char"/>
    <w:link w:val="enumlev1"/>
    <w:qFormat/>
    <w:locked/>
    <w:rsid w:val="009E280F"/>
    <w:rPr>
      <w:rFonts w:eastAsia="Times New Roman" w:cs="Times New Roman"/>
      <w:sz w:val="24"/>
      <w:szCs w:val="20"/>
      <w:lang w:val="en-GB"/>
    </w:rPr>
  </w:style>
  <w:style w:type="paragraph" w:styleId="Header">
    <w:name w:val="header"/>
    <w:basedOn w:val="Normal"/>
    <w:link w:val="HeaderChar"/>
    <w:uiPriority w:val="99"/>
    <w:unhideWhenUsed/>
    <w:rsid w:val="009E280F"/>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9E280F"/>
    <w:rPr>
      <w:rFonts w:eastAsia="Times New Roman" w:cs="Times New Roman"/>
      <w:sz w:val="24"/>
      <w:szCs w:val="20"/>
      <w:lang w:val="en-GB"/>
    </w:rPr>
  </w:style>
  <w:style w:type="paragraph" w:styleId="Footer">
    <w:name w:val="footer"/>
    <w:basedOn w:val="Normal"/>
    <w:link w:val="FooterChar"/>
    <w:uiPriority w:val="99"/>
    <w:unhideWhenUsed/>
    <w:rsid w:val="009E280F"/>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9E280F"/>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5951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2023-10-16T12:53:00Z</dcterms:created>
  <dcterms:modified xsi:type="dcterms:W3CDTF">2023-10-16T13:14:00Z</dcterms:modified>
</cp:coreProperties>
</file>