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0E24" w14:textId="77777777" w:rsidR="00586AF8" w:rsidRPr="002B2BF7" w:rsidRDefault="00586AF8" w:rsidP="00586AF8">
      <w:pPr>
        <w:pStyle w:val="ResNo"/>
        <w:rPr>
          <w:lang w:val="ru-RU"/>
        </w:rPr>
      </w:pPr>
      <w:bookmarkStart w:id="0" w:name="_Toc116554174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30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</w:t>
      </w:r>
      <w:bookmarkEnd w:id="0"/>
    </w:p>
    <w:p w14:paraId="469A8432" w14:textId="77777777" w:rsidR="00586AF8" w:rsidRPr="002B2BF7" w:rsidRDefault="00586AF8" w:rsidP="00586AF8">
      <w:pPr>
        <w:pStyle w:val="Restitle"/>
        <w:rPr>
          <w:lang w:val="ru-RU"/>
        </w:rPr>
      </w:pPr>
      <w:bookmarkStart w:id="1" w:name="_Toc116554175"/>
      <w:r w:rsidRPr="002B2BF7">
        <w:rPr>
          <w:lang w:val="ru-RU"/>
        </w:rPr>
        <w:t>Роль Сектора развития электросвязи МСЭ в выполнении решений Всемирной встречи на высшем уровне по вопросам информационного общества и Повестки дня в области устойчивого развития на период до 2030 года</w:t>
      </w:r>
      <w:bookmarkEnd w:id="1"/>
    </w:p>
    <w:p w14:paraId="30CE5B97" w14:textId="77777777" w:rsidR="00586AF8" w:rsidRPr="002B2BF7" w:rsidRDefault="00586AF8" w:rsidP="00586AF8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779C7922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48DFFFEB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lang w:val="ru-RU" w:bidi="ar-EG"/>
        </w:rPr>
        <w:t>a</w:t>
      </w:r>
      <w:r w:rsidRPr="002B2BF7">
        <w:rPr>
          <w:i/>
          <w:lang w:val="ru-RU"/>
        </w:rPr>
        <w:t>)</w:t>
      </w:r>
      <w:r w:rsidRPr="002B2BF7">
        <w:rPr>
          <w:i/>
          <w:lang w:val="ru-RU"/>
        </w:rPr>
        <w:tab/>
      </w:r>
      <w:r w:rsidRPr="002B2BF7">
        <w:rPr>
          <w:iCs/>
          <w:lang w:val="ru-RU"/>
        </w:rPr>
        <w:t xml:space="preserve">о </w:t>
      </w:r>
      <w:r w:rsidRPr="002B2BF7">
        <w:rPr>
          <w:lang w:val="ru-RU"/>
        </w:rPr>
        <w:t>соответствующих решениях обоих этапов Всемирной встречи на высшем уровне по вопросам информационного общества (ВВУИО);</w:t>
      </w:r>
    </w:p>
    <w:p w14:paraId="5469A9DE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о резолюции 70/125 Генеральной Ассамблеи Организации Объединенных Наций (ГА ООН) об итоговом документе совещания высокого уровня Генеральной Ассамблеи, посвященного общему обзору хода осуществления решений ВВУИО;</w:t>
      </w:r>
    </w:p>
    <w:p w14:paraId="74A69F22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 резолюции 70/1 ГА ООН о преобразовании нашего мира: Повестка дня в области устойчивого развития на период до 2030 года;</w:t>
      </w:r>
    </w:p>
    <w:p w14:paraId="3733D45D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 резолюции 76/189 ГА ООН об использовании информационно-коммуникационных технологий (ИКТ) в целях устойчивого развития;</w:t>
      </w:r>
    </w:p>
    <w:p w14:paraId="5A66B4BF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 Заявлении ВВУИО+10 о выполнении решений ВВУИО и разработанной ВВУИО+10 Концепции ВВУИО на период после 2015 года, принятых на координировавшемся МСЭ мероприятии высокого уровня ВВУИО+10 (Женева, 2014 г.) и одобренных Полномочной конференцией (Пусан, 2014 г.), которые были представлены в качестве вклада в Общий обзор выполнения решений ВВУИО, проведенный ГА ООН;</w:t>
      </w:r>
    </w:p>
    <w:p w14:paraId="3130EFBC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о Резолюции 37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 настоящей Конференции о преодолении цифрового разрыва;</w:t>
      </w:r>
    </w:p>
    <w:p w14:paraId="3D69CBCD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о Резолюции 71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 xml:space="preserve">. Дубай, 2018 г.) Полномочной конференции о Стратегическом плане Союза на </w:t>
      </w:r>
      <w:proofErr w:type="gramStart"/>
      <w:r w:rsidRPr="002B2BF7">
        <w:rPr>
          <w:lang w:val="ru-RU"/>
        </w:rPr>
        <w:t>2020−2023</w:t>
      </w:r>
      <w:proofErr w:type="gramEnd"/>
      <w:r w:rsidRPr="002B2BF7">
        <w:rPr>
          <w:lang w:val="ru-RU"/>
        </w:rPr>
        <w:t> годы;</w:t>
      </w:r>
    </w:p>
    <w:p w14:paraId="1EBC3C69" w14:textId="77777777" w:rsidR="00586AF8" w:rsidRPr="002B2BF7" w:rsidRDefault="00586AF8" w:rsidP="00586AF8">
      <w:pPr>
        <w:rPr>
          <w:i/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 Резолюции 77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 Всемирной конференции по развитию электросвязи о технологии и приложениях широкополосной связи для более активного роста и развития услуг электросвязи/информационно-коммуникационных технологий (ИКТ) и широкополосных соединений;</w:t>
      </w:r>
      <w:r w:rsidRPr="002B2BF7">
        <w:rPr>
          <w:i/>
          <w:lang w:val="ru-RU"/>
        </w:rPr>
        <w:br w:type="page"/>
      </w:r>
    </w:p>
    <w:p w14:paraId="36663FD1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lang w:val="ru-RU"/>
        </w:rPr>
        <w:lastRenderedPageBreak/>
        <w:t>i)</w:t>
      </w:r>
      <w:r w:rsidRPr="002B2BF7">
        <w:rPr>
          <w:lang w:val="ru-RU"/>
        </w:rPr>
        <w:tab/>
        <w:t>о Резолюции 130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 об усилении роли МСЭ в укреплении доверия и безопасности при использовании ИКТ;</w:t>
      </w:r>
    </w:p>
    <w:p w14:paraId="0BAB0D32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j)</w:t>
      </w:r>
      <w:r w:rsidRPr="002B2BF7">
        <w:rPr>
          <w:lang w:val="ru-RU"/>
        </w:rPr>
        <w:tab/>
        <w:t>о Резолюции 131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 xml:space="preserve">. Дубай, 2018 г.) Полномочной конференции об измерении ИКТ </w:t>
      </w:r>
      <w:proofErr w:type="gramStart"/>
      <w:r w:rsidRPr="002B2BF7">
        <w:rPr>
          <w:lang w:val="ru-RU"/>
        </w:rPr>
        <w:t>для построения</w:t>
      </w:r>
      <w:proofErr w:type="gramEnd"/>
      <w:r w:rsidRPr="002B2BF7">
        <w:rPr>
          <w:lang w:val="ru-RU"/>
        </w:rPr>
        <w:t xml:space="preserve"> объединяющего и открытого для всех информационного общества;</w:t>
      </w:r>
    </w:p>
    <w:p w14:paraId="3C25E997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lang w:val="ru-RU"/>
        </w:rPr>
        <w:t>k)</w:t>
      </w:r>
      <w:r w:rsidRPr="002B2BF7">
        <w:rPr>
          <w:i/>
          <w:lang w:val="ru-RU"/>
        </w:rPr>
        <w:tab/>
      </w:r>
      <w:r w:rsidRPr="002B2BF7">
        <w:rPr>
          <w:iCs/>
          <w:lang w:val="ru-RU"/>
        </w:rPr>
        <w:t xml:space="preserve">о </w:t>
      </w:r>
      <w:r w:rsidRPr="002B2BF7">
        <w:rPr>
          <w:lang w:val="ru-RU"/>
        </w:rPr>
        <w:t>Резолюции 139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 об использовании электросвязи/ИКТ для преодоления "цифрового разрыва" и построения открытого для всех информационного общества;</w:t>
      </w:r>
    </w:p>
    <w:p w14:paraId="157F2910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lang w:val="ru-RU"/>
        </w:rPr>
        <w:t>l)</w:t>
      </w:r>
      <w:r w:rsidRPr="002B2BF7">
        <w:rPr>
          <w:lang w:val="ru-RU"/>
        </w:rPr>
        <w:tab/>
        <w:t xml:space="preserve">о </w:t>
      </w:r>
      <w:r w:rsidRPr="002B2BF7">
        <w:rPr>
          <w:rFonts w:cs="Calibri"/>
          <w:color w:val="000000"/>
          <w:szCs w:val="22"/>
          <w:lang w:val="ru-RU" w:eastAsia="ru-RU"/>
        </w:rPr>
        <w:t xml:space="preserve">Резолюции 140 </w:t>
      </w:r>
      <w:r w:rsidRPr="002B2BF7">
        <w:rPr>
          <w:lang w:val="ru-RU"/>
        </w:rPr>
        <w:t>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 xml:space="preserve">. Дубай, 2018 г.) </w:t>
      </w:r>
      <w:r w:rsidRPr="002B2BF7">
        <w:rPr>
          <w:rFonts w:cs="Calibri"/>
          <w:color w:val="000000"/>
          <w:szCs w:val="22"/>
          <w:lang w:val="ru-RU" w:eastAsia="ru-RU"/>
        </w:rPr>
        <w:t>Полномочной конференции о роли МСЭ в выполнении решений ВВУИО и</w:t>
      </w:r>
      <w:r w:rsidRPr="002B2BF7">
        <w:rPr>
          <w:szCs w:val="22"/>
          <w:lang w:val="ru-RU"/>
        </w:rPr>
        <w:t xml:space="preserve"> </w:t>
      </w:r>
      <w:r w:rsidRPr="002B2BF7">
        <w:rPr>
          <w:rFonts w:cs="Calibri"/>
          <w:color w:val="000000"/>
          <w:szCs w:val="22"/>
          <w:lang w:val="ru-RU" w:eastAsia="ru-RU"/>
        </w:rPr>
        <w:t>Повестки дня в области устойчивого развития на период до 2030 года, а также в принятии последующих мер и обзоре их выполнения</w:t>
      </w:r>
      <w:r w:rsidRPr="002B2BF7">
        <w:rPr>
          <w:lang w:val="ru-RU"/>
        </w:rPr>
        <w:t>;</w:t>
      </w:r>
    </w:p>
    <w:p w14:paraId="4A57112B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m)</w:t>
      </w:r>
      <w:r w:rsidRPr="002B2BF7">
        <w:rPr>
          <w:lang w:val="ru-RU"/>
        </w:rPr>
        <w:tab/>
        <w:t>о Резолюции 200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 о повестке дня "Соединим к 2030 году" в области глобального развития электросвязи/ИКТ, включая широкополосную связь, для обеспечения устойчивого развития;</w:t>
      </w:r>
    </w:p>
    <w:p w14:paraId="093A8DF8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n)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 Мнениях шестого Всемирного форума по политике в области электросвязи/ИКТ, имеющих отношение к деятельности МСЭ по ВВУИО и Целям в области устойчивого развития (ЦУР),</w:t>
      </w:r>
    </w:p>
    <w:p w14:paraId="2665136D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lang w:val="ru-RU"/>
        </w:rPr>
        <w:t>,</w:t>
      </w:r>
    </w:p>
    <w:p w14:paraId="0EA6F625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на ВВУИО было отмечено, что основные сферы компетенции МСЭ имеют решающее значение для построения информационного общества, и МСЭ был указан как ведущая организация/содействующая организация при осуществлении Направлений деятельности С2 и С5 ВВУИО, а также как партнер в отношении Направлений деятельности С1, С3, С4, С6, С7 и С11, а также Направлений деятельности С8 и С9;</w:t>
      </w:r>
    </w:p>
    <w:p w14:paraId="363DB01A" w14:textId="77777777" w:rsidR="00586AF8" w:rsidRPr="002B2BF7" w:rsidRDefault="00586AF8" w:rsidP="00586AF8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</w:r>
      <w:r w:rsidRPr="002B2BF7">
        <w:rPr>
          <w:rFonts w:cs="Calibri"/>
          <w:color w:val="000000"/>
          <w:szCs w:val="22"/>
          <w:lang w:val="ru-RU" w:eastAsia="ru-RU"/>
        </w:rPr>
        <w:t>что стороны, участвующие в реализации последующих действий по итогам Встречи на высшем уровне, решили назначить МСЭ в качестве ведущей организации/содействующей организации по Направлениям деятельности С4 и С6 ВВУИО, по которым он прежде был только партнером</w:t>
      </w:r>
      <w:r w:rsidRPr="002B2BF7">
        <w:rPr>
          <w:lang w:val="ru-RU"/>
        </w:rPr>
        <w:t>;</w:t>
      </w:r>
      <w:r w:rsidRPr="002B2BF7">
        <w:rPr>
          <w:i/>
          <w:iCs/>
          <w:lang w:val="ru-RU"/>
        </w:rPr>
        <w:br w:type="page"/>
      </w:r>
    </w:p>
    <w:p w14:paraId="779993EF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с)</w:t>
      </w:r>
      <w:r w:rsidRPr="002B2BF7">
        <w:rPr>
          <w:lang w:val="ru-RU"/>
        </w:rPr>
        <w:tab/>
        <w:t>что Сектор развития электросвязи МСЭ (МСЭ-D), ввиду его целей и задач, характера существующих партнерских отношений между Государствами-Членами и Членами Сектора МСЭ-D, его многолетнего опыта рассмотрения различных потребностей в сфере развития и реализации ряда проектов, в том числе проектов по созданию инфраструктуры и конкретно – инфраструктуры электросвязи/ИКТ, финансируемых через возможные партнерские отношения, характера четырех выполняемых им в настоящее время задач для удовлетворения потребностей в инфраструктуре электросвязи/ИКТ, включая вопросы укрепления доверия и безопасности при использовании электросвязи/ИКТ и благоприятной среды, и достижения целей ВВУИО, а также существования его уполномоченных региональных отделений, является одним из важнейших партнеров при выполнении решений ВВУИО в отношении Направлений деятельности С2, С4, С5 и С6 ВВУИО, которые являются краеугольным камнем работы Сектора в соответствии с Уставом и Конвенцией, а также участвует совместно с другими заинтересованными сторонами, в зависимости от случая, в реализации Направлений деятельности С1, С3, С7, С8, С9 и С11 и всех других соответствующих направлений деятельности и других решений ВВУИО в рамках финансовых ограничений, установленных полномочной конференцией;</w:t>
      </w:r>
    </w:p>
    <w:p w14:paraId="59CD2465" w14:textId="77777777" w:rsidR="00586AF8" w:rsidRPr="002B2BF7" w:rsidRDefault="00586AF8" w:rsidP="00586AF8">
      <w:pPr>
        <w:rPr>
          <w:lang w:val="ru-RU" w:bidi="ar-EG"/>
        </w:rPr>
      </w:pPr>
      <w:r w:rsidRPr="002B2BF7">
        <w:rPr>
          <w:i/>
          <w:iCs/>
          <w:lang w:val="ru-RU" w:bidi="ar-EG"/>
        </w:rPr>
        <w:t>d)</w:t>
      </w:r>
      <w:r w:rsidRPr="002B2BF7">
        <w:rPr>
          <w:i/>
          <w:iCs/>
          <w:lang w:val="ru-RU" w:bidi="ar-EG"/>
        </w:rPr>
        <w:tab/>
      </w:r>
      <w:r w:rsidRPr="002B2BF7">
        <w:rPr>
          <w:lang w:val="ru-RU"/>
        </w:rPr>
        <w:t>что в резолюции 70/125 ГА ООН содержится призыв обеспечить тесную увязку действий по выполнению решений ВВУИО и с деятельностью по осуществлению Повестки дня в области устойчивого развития на период до 2030 года, обращая внимание на роль ИКТ в достижении ЦУР и искоренении нищеты и отмечая, что доступ к ИКТ сам становится показателем развития и одной из его целей;</w:t>
      </w:r>
    </w:p>
    <w:p w14:paraId="2DFA182D" w14:textId="77777777" w:rsidR="00586AF8" w:rsidRPr="002B2BF7" w:rsidRDefault="00586AF8" w:rsidP="00586AF8">
      <w:pPr>
        <w:rPr>
          <w:rtl/>
          <w:lang w:val="ru-RU" w:bidi="ar-EG"/>
        </w:rPr>
      </w:pPr>
      <w:r w:rsidRPr="002B2BF7">
        <w:rPr>
          <w:i/>
          <w:iCs/>
          <w:lang w:val="ru-RU" w:bidi="ar-EG"/>
        </w:rPr>
        <w:t>e)</w:t>
      </w:r>
      <w:r w:rsidRPr="002B2BF7">
        <w:rPr>
          <w:lang w:val="ru-RU" w:bidi="ar-EG"/>
        </w:rPr>
        <w:tab/>
      </w:r>
      <w:r w:rsidRPr="002B2BF7">
        <w:rPr>
          <w:lang w:val="ru-RU"/>
        </w:rPr>
        <w:t xml:space="preserve">что решения ВВУИО помогут </w:t>
      </w:r>
      <w:r w:rsidRPr="002B2BF7">
        <w:rPr>
          <w:color w:val="000000"/>
          <w:lang w:val="ru-RU"/>
        </w:rPr>
        <w:t>выполнить Повестку дня в области устойчивого развития на период до 2030 года</w:t>
      </w:r>
      <w:r w:rsidRPr="002B2BF7">
        <w:rPr>
          <w:lang w:val="ru-RU"/>
        </w:rPr>
        <w:t xml:space="preserve"> и будут содействовать развитию цифровой экономики,</w:t>
      </w:r>
    </w:p>
    <w:p w14:paraId="6E7E35E2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признавая далее</w:t>
      </w:r>
    </w:p>
    <w:p w14:paraId="7AE62080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обязательство МСЭ по реализации целей и задач ВВУИО, составляющее одну из наиболее важных целей Союза;</w:t>
      </w:r>
    </w:p>
    <w:p w14:paraId="6979C303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потенциал ИКТ для выполнения Повестки дня в области устойчивого развития на период до 2030 года, а также достижения других согласованных на международном уровне целей в области развития</w:t>
      </w:r>
      <w:r w:rsidRPr="002B2BF7">
        <w:rPr>
          <w:snapToGrid w:val="0"/>
          <w:szCs w:val="24"/>
          <w:lang w:val="ru-RU" w:eastAsia="fr-FR"/>
        </w:rPr>
        <w:t>;</w:t>
      </w:r>
    </w:p>
    <w:p w14:paraId="7F3B354F" w14:textId="77777777" w:rsidR="00586AF8" w:rsidRPr="002B2BF7" w:rsidRDefault="00586AF8" w:rsidP="00586AF8">
      <w:pPr>
        <w:rPr>
          <w:i/>
          <w:lang w:val="ru-RU" w:bidi="ar-EG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что МСЭ</w:t>
      </w:r>
      <w:r w:rsidRPr="002B2BF7">
        <w:rPr>
          <w:lang w:val="ru-RU"/>
        </w:rPr>
        <w:noBreakHyphen/>
        <w:t>D следует уделять приоритетное внимание созданию информационно-коммуникационной инфраструктуры (Направление деятельности С2 ВВУИО), развитию потенциала (Направление деятельности C4 ВВУИО), доверию и безопасности при использовании ИКТ (Направление деятельности C5 ВВУИО), благоприятной среде (Направление деятельности C6 ВВУИО) и электронным приложениям (Направление деятельности C7 ВВУИО),</w:t>
      </w:r>
      <w:r w:rsidRPr="002B2BF7">
        <w:rPr>
          <w:i/>
          <w:lang w:val="ru-RU" w:bidi="ar-EG"/>
        </w:rPr>
        <w:br w:type="page"/>
      </w:r>
    </w:p>
    <w:p w14:paraId="1D791522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принимая во внимание</w:t>
      </w:r>
    </w:p>
    <w:p w14:paraId="492C6F86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Резолюцию 75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Женева, 2022 г.) Всемирной ассамблеи по стандартизации электросвязи о вкладе Сектора стандартизации электросвязи МСЭ в выполнение решений ВВУИО с учетом Повестки дня в области устойчивого развития на период до 2030 года;</w:t>
      </w:r>
    </w:p>
    <w:p w14:paraId="48BF4E08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lang w:val="ru-RU" w:bidi="ar-EG"/>
        </w:rPr>
        <w:t>b</w:t>
      </w:r>
      <w:r w:rsidRPr="002B2BF7">
        <w:rPr>
          <w:i/>
          <w:lang w:val="ru-RU"/>
        </w:rPr>
        <w:t>)</w:t>
      </w:r>
      <w:r w:rsidRPr="002B2BF7">
        <w:rPr>
          <w:i/>
          <w:lang w:val="ru-RU"/>
        </w:rPr>
        <w:tab/>
      </w:r>
      <w:r w:rsidRPr="002B2BF7">
        <w:rPr>
          <w:lang w:val="ru-RU"/>
        </w:rPr>
        <w:t xml:space="preserve">Резолюцию МСЭ-R </w:t>
      </w:r>
      <w:proofErr w:type="gramStart"/>
      <w:r w:rsidRPr="002B2BF7">
        <w:rPr>
          <w:lang w:val="ru-RU"/>
        </w:rPr>
        <w:t>61-2</w:t>
      </w:r>
      <w:proofErr w:type="gramEnd"/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Шарм-эль-Шейх, 2019 г.) Ассамблеи радиосвязи о вкладе Сектора радиосвязи МСЭ в выполнение решений ВВУИО и Повестки дня в области устойчивого развития на период до 2030 года;</w:t>
      </w:r>
    </w:p>
    <w:p w14:paraId="6E216763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программы, мероприятия и региональную деятельность, проводимые в соответствии с решениями настоящей Конференции с целью преодоления цифрового разрыва;</w:t>
      </w:r>
    </w:p>
    <w:p w14:paraId="1288430B" w14:textId="77777777" w:rsidR="00586AF8" w:rsidRPr="002B2BF7" w:rsidRDefault="00586AF8" w:rsidP="00586AF8">
      <w:pPr>
        <w:rPr>
          <w:lang w:val="ru-RU" w:bidi="ar-EG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</w:r>
      <w:r w:rsidRPr="002B2BF7">
        <w:rPr>
          <w:rFonts w:cs="Calibri"/>
          <w:color w:val="000000"/>
          <w:szCs w:val="22"/>
          <w:lang w:val="ru-RU" w:eastAsia="ru-RU"/>
        </w:rPr>
        <w:t>соответствующую работу, которая уже выполнена и/или проводится МСЭ и о результатах которой Совет МСЭ был проинформирован, включая ежегодные отчеты о деятельности Рабочей группы Совета по ВВУИО&amp;ЦУР (РГС-ВВУИО&amp;ЦУР) и Рабочей группы Совета по вопросам международной государственной политики, касающимся интернета (РГС-Интернет</w:t>
      </w:r>
      <w:r w:rsidRPr="002B2BF7">
        <w:rPr>
          <w:lang w:val="ru-RU"/>
        </w:rPr>
        <w:t>);</w:t>
      </w:r>
    </w:p>
    <w:p w14:paraId="1080BD10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Резолюцию 1332 Совета о роли МСЭ в выполнении решений ВВУИО с учетом Повестки дня в области устойчивого развития на период до 2030 года;</w:t>
      </w:r>
    </w:p>
    <w:p w14:paraId="35E1CDE7" w14:textId="77777777" w:rsidR="00586AF8" w:rsidRPr="002B2BF7" w:rsidRDefault="00586AF8" w:rsidP="00586AF8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Резолюцию 1336 Совета о РГС-Интернет,</w:t>
      </w:r>
    </w:p>
    <w:p w14:paraId="32A4EE83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отмечая</w:t>
      </w:r>
      <w:r w:rsidRPr="002B2BF7">
        <w:rPr>
          <w:i w:val="0"/>
          <w:iCs/>
          <w:lang w:val="ru-RU"/>
        </w:rPr>
        <w:t>,</w:t>
      </w:r>
    </w:p>
    <w:p w14:paraId="7C5ED806" w14:textId="77777777" w:rsidR="00586AF8" w:rsidRPr="002B2BF7" w:rsidRDefault="00586AF8" w:rsidP="00586AF8">
      <w:pPr>
        <w:rPr>
          <w:i/>
          <w:lang w:val="ru-RU"/>
        </w:rPr>
      </w:pPr>
      <w:r w:rsidRPr="002B2BF7">
        <w:rPr>
          <w:lang w:val="ru-RU"/>
        </w:rPr>
        <w:t>что Генеральный секретарь МСЭ создал Целевую группу МСЭ по ЦУР и ВВУИО для</w:t>
      </w:r>
      <w:r w:rsidRPr="002B2BF7">
        <w:rPr>
          <w:lang w:val="ru-RU" w:eastAsia="ru-RU"/>
        </w:rPr>
        <w:t xml:space="preserve"> разработки стратегий и координации политики и деятельности МСЭ, относящихся к ВВУИО, </w:t>
      </w:r>
      <w:r w:rsidRPr="002B2BF7">
        <w:rPr>
          <w:color w:val="000000"/>
          <w:lang w:val="ru-RU"/>
        </w:rPr>
        <w:t>с учетом Повестки дня в области устойчивого развития на период до 2030 года, и что эту Целевую группу возглавляет заместитель Генерального секретаря</w:t>
      </w:r>
      <w:r w:rsidRPr="002B2BF7">
        <w:rPr>
          <w:lang w:val="ru-RU"/>
        </w:rPr>
        <w:t>,</w:t>
      </w:r>
      <w:r w:rsidRPr="002B2BF7">
        <w:rPr>
          <w:lang w:val="ru-RU"/>
        </w:rPr>
        <w:br w:type="page"/>
      </w:r>
    </w:p>
    <w:p w14:paraId="5D926679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решает предложить Сектору развития электросвязи МСЭ</w:t>
      </w:r>
    </w:p>
    <w:p w14:paraId="54721961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сотрудничать с другими Секторами МСЭ и партнерами в области развития (правительствами, специализированными учреждениями Организации Объединенных Наций, соответствующими международными и региональными организациями и т. д.), согласно четко разработанному плану и надлежащему механизму координации действий различных заинтересованных партнеров на национальном, региональном, межрегиональном и глобальном уровнях, учитывая в особенности потребности развивающихся стран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>, в том числе в области создания инфраструктуры электросвязи/ИКТ и укрепления доверия и безопасности при использовании электросвязи/ИКТ, для оказания помощи</w:t>
      </w:r>
      <w:r w:rsidRPr="002B2BF7">
        <w:rPr>
          <w:szCs w:val="24"/>
          <w:lang w:val="ru-RU"/>
        </w:rPr>
        <w:t xml:space="preserve"> </w:t>
      </w:r>
      <w:r w:rsidRPr="002B2BF7">
        <w:rPr>
          <w:lang w:val="ru-RU"/>
        </w:rPr>
        <w:t xml:space="preserve">в достижении других целей ВВУИО, которые могут помочь </w:t>
      </w:r>
      <w:r w:rsidRPr="002B2BF7">
        <w:rPr>
          <w:color w:val="000000"/>
          <w:lang w:val="ru-RU"/>
        </w:rPr>
        <w:t>выполнить Повестку дня в области устойчивого развития на период до 2030 года</w:t>
      </w:r>
      <w:r w:rsidRPr="002B2BF7">
        <w:rPr>
          <w:lang w:val="ru-RU"/>
        </w:rPr>
        <w:t xml:space="preserve"> и содействовать развитию цифровой экономики, а также для ускорения достижения таких целей;</w:t>
      </w:r>
    </w:p>
    <w:p w14:paraId="38448DE2" w14:textId="77777777" w:rsidR="00586AF8" w:rsidRPr="002B2BF7" w:rsidRDefault="00586AF8" w:rsidP="00586AF8">
      <w:pPr>
        <w:rPr>
          <w:color w:val="000000"/>
          <w:szCs w:val="24"/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продолжать свою работу по реализации концепции ВВУИО</w:t>
      </w:r>
      <w:r w:rsidRPr="002B2BF7">
        <w:rPr>
          <w:color w:val="000000"/>
          <w:szCs w:val="24"/>
          <w:lang w:val="ru-RU"/>
        </w:rPr>
        <w:t>;</w:t>
      </w:r>
    </w:p>
    <w:p w14:paraId="3903E34E" w14:textId="77777777" w:rsidR="00586AF8" w:rsidRPr="002B2BF7" w:rsidRDefault="00586AF8" w:rsidP="00586AF8">
      <w:pPr>
        <w:rPr>
          <w:spacing w:val="-5"/>
          <w:lang w:val="ru-RU"/>
        </w:rPr>
      </w:pPr>
      <w:r w:rsidRPr="002B2BF7">
        <w:rPr>
          <w:color w:val="000000"/>
          <w:szCs w:val="24"/>
          <w:lang w:val="ru-RU"/>
        </w:rPr>
        <w:t>3</w:t>
      </w:r>
      <w:r w:rsidRPr="002B2BF7">
        <w:rPr>
          <w:color w:val="000000"/>
          <w:szCs w:val="24"/>
          <w:lang w:val="ru-RU"/>
        </w:rPr>
        <w:tab/>
        <w:t>способствовать достижению целей</w:t>
      </w:r>
      <w:r w:rsidRPr="002B2BF7">
        <w:rPr>
          <w:lang w:val="ru-RU"/>
        </w:rPr>
        <w:t xml:space="preserve"> Повестки дня в области устойчивого развития на период до 2030 года</w:t>
      </w:r>
      <w:r w:rsidRPr="002B2BF7">
        <w:rPr>
          <w:color w:val="000000"/>
          <w:lang w:val="ru-RU"/>
        </w:rPr>
        <w:t xml:space="preserve"> на основе рамок ВВУИО и в соответствии с ними</w:t>
      </w:r>
      <w:r w:rsidRPr="002B2BF7">
        <w:rPr>
          <w:spacing w:val="-5"/>
          <w:lang w:val="ru-RU"/>
        </w:rPr>
        <w:t>;</w:t>
      </w:r>
    </w:p>
    <w:p w14:paraId="6533F6C2" w14:textId="77777777" w:rsidR="00586AF8" w:rsidRPr="002B2BF7" w:rsidRDefault="00586AF8" w:rsidP="00586AF8">
      <w:pPr>
        <w:rPr>
          <w:lang w:val="ru-RU"/>
        </w:rPr>
      </w:pPr>
      <w:r w:rsidRPr="002B2BF7">
        <w:rPr>
          <w:spacing w:val="-5"/>
          <w:lang w:val="ru-RU"/>
        </w:rPr>
        <w:t>4</w:t>
      </w:r>
      <w:r w:rsidRPr="002B2BF7">
        <w:rPr>
          <w:spacing w:val="-5"/>
          <w:lang w:val="ru-RU"/>
        </w:rPr>
        <w:tab/>
        <w:t>продолжать поощрять применение принципа, не допускающего исключения из информационного</w:t>
      </w:r>
      <w:r w:rsidRPr="002B2BF7">
        <w:rPr>
          <w:lang w:val="ru-RU"/>
        </w:rPr>
        <w:t xml:space="preserve"> общества, и создания с этой целью соответствующих механизмов (пункты </w:t>
      </w:r>
      <w:proofErr w:type="gramStart"/>
      <w:r w:rsidRPr="002B2BF7">
        <w:rPr>
          <w:lang w:val="ru-RU"/>
        </w:rPr>
        <w:t>20−25</w:t>
      </w:r>
      <w:proofErr w:type="gramEnd"/>
      <w:r w:rsidRPr="002B2BF7">
        <w:rPr>
          <w:lang w:val="ru-RU"/>
        </w:rPr>
        <w:t xml:space="preserve"> Тунисского обязательства);</w:t>
      </w:r>
    </w:p>
    <w:p w14:paraId="158E5F00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продолжать содействовать созданию благоприятной среды, способствующей тому, чтобы Члены Сектора МСЭ-D уделяли первоочередное внимание инвестициям, направленным на развитие инфраструктуры электросвязи/ИКТ, которая охватывала бы сельские, изолированные и отдаленные районы, с помощью различных технологий;</w:t>
      </w:r>
    </w:p>
    <w:p w14:paraId="11DF3368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оказывать помощь Государствам-Членам в финансировании и/или совершенствовании новаторских финансовых механизмов с целью развития инфраструктуры электросвязи/ИКТ (таких, как механизмы, указанные в пункте 27 Тунисской программы для информационного общества, а также партнерства);</w:t>
      </w:r>
    </w:p>
    <w:p w14:paraId="3AC3DD4C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продолжать предоставлять помощь развивающимся странам в совершенствовании их нормативно-правовой базы с целью решения задачи создания инфраструктуры электросвязи/ИКТ и достижения других целей ВВУИО и ЦУР;</w:t>
      </w:r>
    </w:p>
    <w:p w14:paraId="070D6F26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 xml:space="preserve">содействовать развитию международного сотрудничества и созданию потенциала в вопросах, касающихся </w:t>
      </w:r>
      <w:proofErr w:type="spellStart"/>
      <w:r w:rsidRPr="002B2BF7">
        <w:rPr>
          <w:lang w:val="ru-RU"/>
        </w:rPr>
        <w:t>киберугроз</w:t>
      </w:r>
      <w:proofErr w:type="spellEnd"/>
      <w:r w:rsidRPr="002B2BF7">
        <w:rPr>
          <w:lang w:val="ru-RU"/>
        </w:rPr>
        <w:t>, а также укреплению доверия и безопасности при использовании ИКТ, что согласуется с Направлением деятельности С5 ВВУИО, по которому МСЭ является единственной содействующей организацией;</w:t>
      </w:r>
      <w:r w:rsidRPr="002B2BF7">
        <w:rPr>
          <w:lang w:val="ru-RU"/>
        </w:rPr>
        <w:br w:type="page"/>
      </w:r>
    </w:p>
    <w:p w14:paraId="296DC3AC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lastRenderedPageBreak/>
        <w:t>9</w:t>
      </w:r>
      <w:r w:rsidRPr="002B2BF7">
        <w:rPr>
          <w:lang w:val="ru-RU"/>
        </w:rPr>
        <w:tab/>
        <w:t>продолжать деятельность в области статистики в сфере развития электросвязи, используя показатели, необходимые для оценки прогресса в этой области с целью преодоления "цифрового разрыва", среди прочего, в рамках Партнерства по измерению ИКТ в целях развития и в соответствии с пунктами 113–118 Тунисской программы и с учетом новых и появляющихся технологий;</w:t>
      </w:r>
    </w:p>
    <w:p w14:paraId="72F8602B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10</w:t>
      </w:r>
      <w:r w:rsidRPr="002B2BF7">
        <w:rPr>
          <w:lang w:val="ru-RU"/>
        </w:rPr>
        <w:tab/>
        <w:t>разработать и выполнять Стратегический план МСЭ-D, учитывая необходимость уделения первоочередного внимания созданию инфраструктуры электросвязи/ИКТ, включая широкополосный доступ, на национальном, региональном, межрегиональном и глобальном уровнях и выполнению других целей ВВУИО и ЦУР, касающихся деятельности МСЭ-D;</w:t>
      </w:r>
    </w:p>
    <w:p w14:paraId="3D8E44C9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11</w:t>
      </w:r>
      <w:r w:rsidRPr="002B2BF7">
        <w:rPr>
          <w:lang w:val="ru-RU"/>
        </w:rPr>
        <w:tab/>
        <w:t xml:space="preserve">предложить предстоящей Полномочной конференции соответствующие механизмы финансирования мероприятий, связанных с решениями ВВУИО и ЦУР и относящихся к основной сфере компетенции МСЭ, а именно тех, которые будут приняты в отношении: </w:t>
      </w:r>
    </w:p>
    <w:p w14:paraId="15F1B3E8" w14:textId="77777777" w:rsidR="00586AF8" w:rsidRPr="002B2BF7" w:rsidRDefault="00586AF8" w:rsidP="00586AF8">
      <w:pPr>
        <w:pStyle w:val="enumlev1"/>
        <w:rPr>
          <w:lang w:val="ru-RU"/>
        </w:rPr>
      </w:pPr>
      <w:r w:rsidRPr="002B2BF7">
        <w:rPr>
          <w:lang w:val="ru-RU"/>
        </w:rPr>
        <w:t>i)</w:t>
      </w:r>
      <w:r w:rsidRPr="002B2BF7">
        <w:rPr>
          <w:lang w:val="ru-RU"/>
        </w:rPr>
        <w:tab/>
      </w:r>
      <w:r w:rsidRPr="002B2BF7">
        <w:rPr>
          <w:rFonts w:cs="Calibri"/>
          <w:color w:val="000000"/>
          <w:szCs w:val="22"/>
          <w:lang w:val="ru-RU" w:eastAsia="ru-RU"/>
        </w:rPr>
        <w:t>Направлений деятельности С2, С4, С5 и С6 ВВУИО, по которым МСЭ в настоящее время определен в качестве единственной содействующей организации</w:t>
      </w:r>
      <w:r w:rsidRPr="002B2BF7">
        <w:rPr>
          <w:lang w:val="ru-RU"/>
        </w:rPr>
        <w:t>;</w:t>
      </w:r>
    </w:p>
    <w:p w14:paraId="748F796F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Направлений деятельности С1, С3, С6, С7 ВВУИО, включающих восемь вспомогательных направлений деятельности, и С11, по которому МСЭ определен в качестве одной из содействующих организаций, а также Направлений деятельности С8 и С9, по которым МСЭ определен в качестве одного из партнеров;</w:t>
      </w:r>
    </w:p>
    <w:p w14:paraId="3F329355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соответствующих ЦУР и задач</w:t>
      </w:r>
      <w:r w:rsidRPr="002B2BF7">
        <w:rPr>
          <w:color w:val="000000"/>
          <w:lang w:val="ru-RU"/>
        </w:rPr>
        <w:t xml:space="preserve"> на основе рамок ВВУИО и в соответствии с ними</w:t>
      </w:r>
      <w:r w:rsidRPr="002B2BF7">
        <w:rPr>
          <w:lang w:val="ru-RU"/>
        </w:rPr>
        <w:t>,</w:t>
      </w:r>
    </w:p>
    <w:p w14:paraId="124AEF09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поручает Директору Бюро развития электросвязи</w:t>
      </w:r>
    </w:p>
    <w:p w14:paraId="5FC0E6DD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</w:r>
      <w:r w:rsidRPr="002B2BF7">
        <w:rPr>
          <w:rFonts w:cs="Calibri"/>
          <w:color w:val="000000"/>
          <w:szCs w:val="22"/>
          <w:lang w:val="ru-RU" w:eastAsia="ru-RU"/>
        </w:rPr>
        <w:t>продолжать представлять РГС-ВВУИО&amp;ЦУР исчерпывающую обобщенную информацию о деятельности МСЭ-D по выполнению решений ВВУИО и Повестки дня в области устойчивого развития на период до 2030 года</w:t>
      </w:r>
      <w:r w:rsidRPr="002B2BF7">
        <w:rPr>
          <w:lang w:val="ru-RU"/>
        </w:rPr>
        <w:t>;</w:t>
      </w:r>
    </w:p>
    <w:p w14:paraId="066587C7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обеспечить, чтобы были разработаны и отражены в оперативных планах МСЭ-D конкретные задачи и жесткие сроки в отношении деятельности, связанной с выполнением решений ВВУИО и Повестки дня в области устойчивого развития на период до 2030 года, в соответствии с Резолюцией 140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 г.), а также задачами, которые будут поставлены перед МСЭ-D Полномочной конференцией 2018 года в рамках выполнения МСЭ решений ВВУИО+10</w:t>
      </w:r>
      <w:r w:rsidRPr="002B2BF7">
        <w:rPr>
          <w:rFonts w:cs="Calibri"/>
          <w:color w:val="000000"/>
          <w:szCs w:val="22"/>
          <w:lang w:val="ru-RU" w:eastAsia="ru-RU"/>
        </w:rPr>
        <w:t xml:space="preserve"> и достижения ЦУР</w:t>
      </w:r>
      <w:r w:rsidRPr="002B2BF7">
        <w:rPr>
          <w:lang w:val="ru-RU"/>
        </w:rPr>
        <w:t>;</w:t>
      </w:r>
    </w:p>
    <w:p w14:paraId="00168875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представить членам МСЭ информацию о появляющихся тенденциях, основанную на деятельности МСЭ</w:t>
      </w:r>
      <w:r w:rsidRPr="002B2BF7">
        <w:rPr>
          <w:lang w:val="ru-RU"/>
        </w:rPr>
        <w:noBreakHyphen/>
        <w:t>D;</w:t>
      </w:r>
      <w:r w:rsidRPr="002B2BF7">
        <w:rPr>
          <w:lang w:val="ru-RU"/>
        </w:rPr>
        <w:br w:type="page"/>
      </w:r>
    </w:p>
    <w:p w14:paraId="7B7D9597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 xml:space="preserve">в тесном сотрудничестве с Директорами Бюро радиосвязи и Бюро стандартизации электросвязи учитывать влияние работы МСЭ, связанной с </w:t>
      </w:r>
      <w:r w:rsidRPr="002B2BF7">
        <w:rPr>
          <w:color w:val="000000"/>
          <w:lang w:val="ru-RU"/>
        </w:rPr>
        <w:t>цифровой трансформацией, стимулирующей устойчивый рост цифровой экономики, согласно аналитическому процессу ВВУИО, и оказывать помощь членам МСЭ по их запросу</w:t>
      </w:r>
      <w:r w:rsidRPr="002B2BF7">
        <w:rPr>
          <w:lang w:val="ru-RU"/>
        </w:rPr>
        <w:t>;</w:t>
      </w:r>
    </w:p>
    <w:p w14:paraId="1BE0BEB1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принять необходимые меры для содействия деятельности по выполнению настоящей Резолюции,</w:t>
      </w:r>
    </w:p>
    <w:p w14:paraId="18003EBB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далее поручает Директору Бюро развития электросвязи</w:t>
      </w:r>
    </w:p>
    <w:p w14:paraId="5C7348C6" w14:textId="77777777" w:rsidR="00586AF8" w:rsidRPr="002B2BF7" w:rsidRDefault="00586AF8" w:rsidP="00586AF8">
      <w:pPr>
        <w:keepNext/>
        <w:keepLines/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выступать в роли катализатора развития партнерских отношений между всеми сторонами с целью обеспечения привлечения инвестиций на инициативы и проекты, в особенности инициативы и проекты, связанные с ВВУИО и ЦУР, и продолжать выступать в роли катализатора при осуществлении, среди прочего, следующих функций:</w:t>
      </w:r>
    </w:p>
    <w:p w14:paraId="4DBBC0A6" w14:textId="77777777" w:rsidR="00586AF8" w:rsidRPr="002B2BF7" w:rsidRDefault="00586AF8" w:rsidP="00586AF8">
      <w:pPr>
        <w:pStyle w:val="enumlev1"/>
        <w:rPr>
          <w:lang w:val="ru-RU"/>
        </w:rPr>
      </w:pPr>
      <w:r w:rsidRPr="002B2BF7">
        <w:rPr>
          <w:lang w:val="ru-RU"/>
        </w:rPr>
        <w:t>i)</w:t>
      </w:r>
      <w:r w:rsidRPr="002B2BF7">
        <w:rPr>
          <w:lang w:val="ru-RU"/>
        </w:rPr>
        <w:tab/>
        <w:t>содействие осуществлению региональных инициатив и проектов в области электросвязи/ИКТ;</w:t>
      </w:r>
    </w:p>
    <w:p w14:paraId="36DA8FA6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участие в организации семинаров по профессиональной подготовке;</w:t>
      </w:r>
    </w:p>
    <w:p w14:paraId="79C5A9FE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подписание соглашений с национальными, региональными и международными партнерами, участвующими в развитии, в случае необходимости;</w:t>
      </w:r>
    </w:p>
    <w:p w14:paraId="2F177B8C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iv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сотрудничество при осуществлении инициатив и проектов с другими соответствующими международными, региональными и межправительственными организациями, в случае необходимости;</w:t>
      </w:r>
    </w:p>
    <w:p w14:paraId="32EB7085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содействовать созданию человеческого потенциала в развивающихся странах, связанного с различными аспектами сектора электросвязи/ИКТ, в соответствии с мандатом МСЭ-D;</w:t>
      </w:r>
    </w:p>
    <w:p w14:paraId="0D485CCF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содействовать</w:t>
      </w:r>
      <w:r w:rsidRPr="002B2BF7">
        <w:rPr>
          <w:szCs w:val="24"/>
          <w:lang w:val="ru-RU"/>
        </w:rPr>
        <w:t xml:space="preserve"> </w:t>
      </w:r>
      <w:r w:rsidRPr="002B2BF7">
        <w:rPr>
          <w:color w:val="000000"/>
          <w:lang w:val="ru-RU"/>
        </w:rPr>
        <w:t>созданию</w:t>
      </w:r>
      <w:r w:rsidRPr="002B2BF7">
        <w:rPr>
          <w:lang w:val="ru-RU"/>
        </w:rPr>
        <w:t>, в частности, через региональные отделения МСЭ среды, позволяющей малым, средним и микропредприятиям в развивающихся странах развиваться и расти;</w:t>
      </w:r>
    </w:p>
    <w:p w14:paraId="2C1D3769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при выполнении решений ВВУИО/ЦУР в рамках мандата Сектора развития электросвязи МСЭ, уделять особое внимание потребностям развивающихся стран;</w:t>
      </w:r>
    </w:p>
    <w:p w14:paraId="77E3722F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обратиться к международным финансовым учреждениям, Государствам-Членам и Членам Секторов с учетом их соответствующей роли с призывом решать в качестве приоритетных вопросы создания, реконструкции и модернизации сетей и инфраструктуры в развивающихся странах;</w:t>
      </w:r>
    </w:p>
    <w:p w14:paraId="6BA07A5F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продолжать координацию деятельности с международными учреждениями с целью мобилизации финансовых ресурсов, необходимых для реализации проектов;</w:t>
      </w:r>
      <w:r w:rsidRPr="002B2BF7">
        <w:rPr>
          <w:lang w:val="ru-RU"/>
        </w:rPr>
        <w:br w:type="page"/>
      </w:r>
    </w:p>
    <w:p w14:paraId="06836DC0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lastRenderedPageBreak/>
        <w:t>7</w:t>
      </w:r>
      <w:r w:rsidRPr="002B2BF7">
        <w:rPr>
          <w:lang w:val="ru-RU"/>
        </w:rPr>
        <w:tab/>
        <w:t>выступать с инициативами, необходимыми для содействия партнерским отношениям, имеющим высокую приоритетность, согласно:</w:t>
      </w:r>
    </w:p>
    <w:p w14:paraId="7B160D21" w14:textId="77777777" w:rsidR="00586AF8" w:rsidRPr="002B2BF7" w:rsidRDefault="00586AF8" w:rsidP="00586AF8">
      <w:pPr>
        <w:pStyle w:val="enumlev1"/>
        <w:rPr>
          <w:lang w:val="ru-RU"/>
        </w:rPr>
      </w:pPr>
      <w:r w:rsidRPr="002B2BF7">
        <w:rPr>
          <w:lang w:val="ru-RU"/>
        </w:rPr>
        <w:t>i)</w:t>
      </w:r>
      <w:r w:rsidRPr="002B2BF7">
        <w:rPr>
          <w:lang w:val="ru-RU"/>
        </w:rPr>
        <w:tab/>
        <w:t>Женевскому плану действий ВВУИО;</w:t>
      </w:r>
    </w:p>
    <w:p w14:paraId="1802958A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Тунисской программе для информационного общества;</w:t>
      </w:r>
    </w:p>
    <w:p w14:paraId="362F8E00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итогам процесса обзора выполнения решений ВВУИО и концепции ВВУИО;</w:t>
      </w:r>
    </w:p>
    <w:p w14:paraId="596758AF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iv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Повестке дня в области устойчивого развития на период до 2030 года;</w:t>
      </w:r>
    </w:p>
    <w:p w14:paraId="6CC224BD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представлять вклады для соответствующих ежегодных отчетов Генерального секретаря МСЭ по этим видам деятельности;</w:t>
      </w:r>
    </w:p>
    <w:p w14:paraId="6F084777" w14:textId="77777777" w:rsidR="00586AF8" w:rsidRPr="002B2BF7" w:rsidRDefault="00586AF8" w:rsidP="00586AF8">
      <w:pPr>
        <w:rPr>
          <w:rFonts w:cstheme="minorBidi"/>
          <w:szCs w:val="24"/>
          <w:lang w:val="ru-RU"/>
        </w:rPr>
      </w:pPr>
      <w:r w:rsidRPr="002B2BF7">
        <w:rPr>
          <w:lang w:val="ru-RU"/>
        </w:rPr>
        <w:t>9</w:t>
      </w:r>
      <w:r w:rsidRPr="002B2BF7">
        <w:rPr>
          <w:lang w:val="ru-RU"/>
        </w:rPr>
        <w:tab/>
        <w:t>укреплять, в том числе с участием региональных и зональных отделений МСЭ, сотрудничество и взаимодействие на региональном уровне с региональными экономическими комиссиями Организации Объединенных Наций и Группами Организации Объединенных Наций по вопросам регионального развития, а также со всеми учреждениями Организации Объединенных Наций (в частности, содействующими организациями по направлениям деятельности ВВУИО) и другими региональными организациями, в частности, в области электросвязи/ИКТ, для </w:t>
      </w:r>
      <w:r w:rsidRPr="002B2BF7">
        <w:rPr>
          <w:color w:val="000000"/>
          <w:lang w:val="ru-RU"/>
        </w:rPr>
        <w:t>решения следующих задач:</w:t>
      </w:r>
    </w:p>
    <w:p w14:paraId="2BAA9425" w14:textId="77777777" w:rsidR="00586AF8" w:rsidRPr="002B2BF7" w:rsidRDefault="00586AF8" w:rsidP="00586AF8">
      <w:pPr>
        <w:pStyle w:val="enumlev1"/>
        <w:rPr>
          <w:lang w:val="ru-RU"/>
        </w:rPr>
      </w:pPr>
      <w:r w:rsidRPr="002B2BF7">
        <w:rPr>
          <w:lang w:val="ru-RU"/>
        </w:rPr>
        <w:t>i)</w:t>
      </w:r>
      <w:r w:rsidRPr="002B2BF7">
        <w:rPr>
          <w:lang w:val="ru-RU"/>
        </w:rPr>
        <w:tab/>
        <w:t xml:space="preserve">согласование процессов ВВУИО и ЦУР и их реализация, </w:t>
      </w:r>
      <w:r w:rsidRPr="002B2BF7">
        <w:rPr>
          <w:color w:val="000000"/>
          <w:lang w:val="ru-RU"/>
        </w:rPr>
        <w:t>как того требует резолюция 70/125 ГА ООН</w:t>
      </w:r>
      <w:r w:rsidRPr="002B2BF7">
        <w:rPr>
          <w:lang w:val="ru-RU"/>
        </w:rPr>
        <w:t>;</w:t>
      </w:r>
    </w:p>
    <w:p w14:paraId="4A022948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</w:r>
      <w:r w:rsidRPr="002B2BF7">
        <w:rPr>
          <w:color w:val="000000"/>
          <w:lang w:val="ru-RU"/>
        </w:rPr>
        <w:t>осуществление видов деятельности по использованию ИКТ для достижения ЦУР на основе соответствующих инициатив и резолюций</w:t>
      </w:r>
      <w:r w:rsidRPr="002B2BF7">
        <w:rPr>
          <w:lang w:val="ru-RU"/>
        </w:rPr>
        <w:t xml:space="preserve"> Организации Объединенных Наций;</w:t>
      </w:r>
    </w:p>
    <w:p w14:paraId="4FF680D4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iii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внедрение ИКТ в Рамочную программу Организации Объединенных Наций по оказанию помощи в целях развития;</w:t>
      </w:r>
    </w:p>
    <w:p w14:paraId="3EB91E68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iv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</w:r>
      <w:r w:rsidRPr="002B2BF7">
        <w:rPr>
          <w:color w:val="000000"/>
          <w:lang w:val="ru-RU"/>
        </w:rPr>
        <w:t xml:space="preserve">развитие партнерских отношений для реализации </w:t>
      </w:r>
      <w:proofErr w:type="spellStart"/>
      <w:r w:rsidRPr="002B2BF7">
        <w:rPr>
          <w:color w:val="000000"/>
          <w:lang w:val="ru-RU"/>
        </w:rPr>
        <w:t>межучрежденческих</w:t>
      </w:r>
      <w:proofErr w:type="spellEnd"/>
      <w:r w:rsidRPr="002B2BF7">
        <w:rPr>
          <w:color w:val="000000"/>
          <w:lang w:val="ru-RU"/>
        </w:rPr>
        <w:t xml:space="preserve"> проектов и проектов с участием многих заинтересованных сторон, достижения прогресса в реализации Направлений деятельности ВВУИО и ускорения достижения ЦУР</w:t>
      </w:r>
      <w:r w:rsidRPr="002B2BF7">
        <w:rPr>
          <w:lang w:val="ru-RU"/>
        </w:rPr>
        <w:t>;</w:t>
      </w:r>
    </w:p>
    <w:p w14:paraId="5ED04A01" w14:textId="77777777" w:rsidR="00586AF8" w:rsidRPr="002B2BF7" w:rsidRDefault="00586AF8" w:rsidP="00586AF8">
      <w:pPr>
        <w:pStyle w:val="enumlev1"/>
        <w:rPr>
          <w:lang w:val="ru-RU"/>
        </w:rPr>
      </w:pPr>
      <w:r w:rsidRPr="002B2BF7">
        <w:rPr>
          <w:lang w:val="ru-RU"/>
        </w:rPr>
        <w:t>v)</w:t>
      </w:r>
      <w:r w:rsidRPr="002B2BF7">
        <w:rPr>
          <w:lang w:val="ru-RU"/>
        </w:rPr>
        <w:tab/>
      </w:r>
      <w:r w:rsidRPr="002B2BF7">
        <w:rPr>
          <w:color w:val="000000"/>
          <w:lang w:val="ru-RU"/>
        </w:rPr>
        <w:t>уделение особого внимания важности пропаганды ИКТ в национальных планах в области устойчивого развития</w:t>
      </w:r>
      <w:r w:rsidRPr="002B2BF7">
        <w:rPr>
          <w:lang w:val="ru-RU"/>
        </w:rPr>
        <w:t>;</w:t>
      </w:r>
    </w:p>
    <w:p w14:paraId="77B3FA7A" w14:textId="77777777" w:rsidR="00586AF8" w:rsidRPr="002B2BF7" w:rsidRDefault="00586AF8" w:rsidP="00586AF8">
      <w:pPr>
        <w:pStyle w:val="enumlev1"/>
        <w:rPr>
          <w:lang w:val="ru-RU"/>
        </w:rPr>
      </w:pPr>
      <w:proofErr w:type="spellStart"/>
      <w:r w:rsidRPr="002B2BF7">
        <w:rPr>
          <w:lang w:val="ru-RU"/>
        </w:rPr>
        <w:t>vi</w:t>
      </w:r>
      <w:proofErr w:type="spellEnd"/>
      <w:r w:rsidRPr="002B2BF7">
        <w:rPr>
          <w:lang w:val="ru-RU"/>
        </w:rPr>
        <w:t>)</w:t>
      </w:r>
      <w:r w:rsidRPr="002B2BF7">
        <w:rPr>
          <w:lang w:val="ru-RU"/>
        </w:rPr>
        <w:tab/>
        <w:t>укрепление регионального вклада в Форум ВВУИО, награды ВВУИО и аналитическую базу ВВУИО,</w:t>
      </w:r>
    </w:p>
    <w:p w14:paraId="4E9D0CA9" w14:textId="77777777" w:rsidR="00586AF8" w:rsidRPr="002B2BF7" w:rsidRDefault="00586AF8" w:rsidP="00586AF8">
      <w:pPr>
        <w:pStyle w:val="Call"/>
        <w:rPr>
          <w:i w:val="0"/>
          <w:lang w:val="ru-RU"/>
        </w:rPr>
      </w:pPr>
      <w:r w:rsidRPr="002B2BF7">
        <w:rPr>
          <w:lang w:val="ru-RU"/>
        </w:rPr>
        <w:t>рекомендует исследовательским комиссиям МСЭ-D</w:t>
      </w:r>
    </w:p>
    <w:p w14:paraId="79FB906C" w14:textId="77777777" w:rsidR="00586AF8" w:rsidRPr="002B2BF7" w:rsidRDefault="00586AF8" w:rsidP="00586AF8">
      <w:pPr>
        <w:rPr>
          <w:i/>
          <w:lang w:val="ru-RU"/>
        </w:rPr>
      </w:pPr>
      <w:r w:rsidRPr="002B2BF7">
        <w:rPr>
          <w:lang w:val="ru-RU"/>
        </w:rPr>
        <w:t>продолжать активно вносить свой вклад в деятельность, связанную с ВВУИО и ЦУР,</w:t>
      </w:r>
      <w:r w:rsidRPr="002B2BF7">
        <w:rPr>
          <w:lang w:val="ru-RU"/>
        </w:rPr>
        <w:br w:type="page"/>
      </w:r>
    </w:p>
    <w:p w14:paraId="42E0880E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призывает Государства-Члены, Членов Секторов, Ассоциированных членов и Академические организации</w:t>
      </w:r>
    </w:p>
    <w:p w14:paraId="3AD04EA3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 xml:space="preserve">продолжать придавать первостепенное значение созданию инфраструктуры электросвязи/ИКТ, в том числе в сельских, отдаленных и обслуживаемых в недостаточной степени районах, укреплению доверия и безопасности при использовании электросвязи/ИКТ, содействию созданию благоприятной среды и приложениям ИКТ с целью построения </w:t>
      </w:r>
      <w:r w:rsidRPr="002B2BF7">
        <w:rPr>
          <w:color w:val="000000"/>
          <w:lang w:val="ru-RU"/>
        </w:rPr>
        <w:t>открытого для всех и соединенного</w:t>
      </w:r>
      <w:r w:rsidRPr="002B2BF7">
        <w:rPr>
          <w:lang w:val="ru-RU"/>
        </w:rPr>
        <w:t xml:space="preserve"> информационного общества и достижения ЦУР, что может </w:t>
      </w:r>
      <w:r w:rsidRPr="002B2BF7">
        <w:rPr>
          <w:color w:val="000000"/>
          <w:lang w:val="ru-RU"/>
        </w:rPr>
        <w:t>стимулировать рост цифровой экономики</w:t>
      </w:r>
      <w:r w:rsidRPr="002B2BF7">
        <w:rPr>
          <w:lang w:val="ru-RU"/>
        </w:rPr>
        <w:t>;</w:t>
      </w:r>
    </w:p>
    <w:p w14:paraId="64659CFA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рассмотреть вопрос о разработке принципов для внедрения стратегий в таких областях, как безопасность сетей электросвязи, в соответствии с Направлением деятельности С5 ВВУИО;</w:t>
      </w:r>
    </w:p>
    <w:p w14:paraId="294413E4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</w:r>
      <w:r w:rsidRPr="002B2BF7">
        <w:rPr>
          <w:rFonts w:cs="Calibri"/>
          <w:color w:val="000000"/>
          <w:szCs w:val="22"/>
          <w:lang w:val="ru-RU" w:eastAsia="ru-RU"/>
        </w:rPr>
        <w:t>представлять вклады соответствующим исследовательским комиссиям МСЭ-D и Консультативной группе по развитию электросвязи (КГРЭ), в зависимости от случая, и принимать участие в работе РГС-ВВУИО&amp;ЦУР по выполнению решений ВВУИО и достижению ЦУР в рамках мандата МСЭ</w:t>
      </w:r>
      <w:r w:rsidRPr="002B2BF7">
        <w:rPr>
          <w:lang w:val="ru-RU"/>
        </w:rPr>
        <w:t>;</w:t>
      </w:r>
    </w:p>
    <w:p w14:paraId="33BBC8FA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продолжать оказывать поддержку Директору Бюро развития электросвязи (БРЭ) и сотрудничать с ним при осуществлении соответствующих решений ВВУИО и Повестки дня в области устойчивого развития на период до 2030 года в МСЭ-D;</w:t>
      </w:r>
    </w:p>
    <w:p w14:paraId="4619ECAC" w14:textId="77777777" w:rsidR="00586AF8" w:rsidRPr="002B2BF7" w:rsidRDefault="00586AF8" w:rsidP="00586AF8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участвовать в процессах ВВУИО и ЦУР, чтобы еще раз подтвердить необходимость решения остающихся проблем в области ИКТ для развития, которые предстоит решать при выполнении Концепции ВВУИО на период после 2015 года</w:t>
      </w:r>
      <w:r w:rsidRPr="002B2BF7">
        <w:rPr>
          <w:szCs w:val="24"/>
          <w:lang w:val="ru-RU"/>
        </w:rPr>
        <w:t xml:space="preserve"> и </w:t>
      </w:r>
      <w:r w:rsidRPr="002B2BF7">
        <w:rPr>
          <w:lang w:val="ru-RU"/>
        </w:rPr>
        <w:t>Повестки дня в области устойчивого развития на период до 2030 года,</w:t>
      </w:r>
    </w:p>
    <w:p w14:paraId="6B9951C2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просит Генерального секретаря</w:t>
      </w:r>
    </w:p>
    <w:p w14:paraId="73E2600E" w14:textId="77777777" w:rsidR="00586AF8" w:rsidRPr="002B2BF7" w:rsidRDefault="00586AF8" w:rsidP="00586AF8">
      <w:pPr>
        <w:rPr>
          <w:lang w:val="ru-RU"/>
        </w:rPr>
      </w:pPr>
      <w:r w:rsidRPr="002B2BF7">
        <w:rPr>
          <w:rFonts w:cs="Calibri"/>
          <w:color w:val="000000"/>
          <w:szCs w:val="22"/>
          <w:lang w:val="ru-RU" w:eastAsia="ru-RU"/>
        </w:rPr>
        <w:t>довести</w:t>
      </w:r>
      <w:r w:rsidRPr="002B2BF7">
        <w:rPr>
          <w:lang w:val="ru-RU"/>
        </w:rPr>
        <w:t xml:space="preserve"> настоящую Резолюцию до сведения Полномочной конференции (Бухарест, 2022 г.) для рассмотрения и принятия, в случае необходимости, требуемых мер при анализе Резолюции 140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 г.),</w:t>
      </w:r>
    </w:p>
    <w:p w14:paraId="4E8BFE88" w14:textId="77777777" w:rsidR="00586AF8" w:rsidRPr="002B2BF7" w:rsidRDefault="00586AF8" w:rsidP="00586AF8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Государствам-Членам, Членам Сектора, Ассоциированным членам и Академическим организациям</w:t>
      </w:r>
    </w:p>
    <w:p w14:paraId="6BB09493" w14:textId="77777777" w:rsidR="00586AF8" w:rsidRPr="002B2BF7" w:rsidRDefault="00586AF8" w:rsidP="00586AF8">
      <w:pPr>
        <w:rPr>
          <w:lang w:val="ru-RU" w:eastAsia="ru-RU"/>
        </w:rPr>
      </w:pPr>
      <w:r w:rsidRPr="002B2BF7">
        <w:rPr>
          <w:lang w:val="ru-RU" w:eastAsia="ru-RU"/>
        </w:rPr>
        <w:t>1</w:t>
      </w:r>
      <w:r w:rsidRPr="002B2BF7">
        <w:rPr>
          <w:lang w:val="ru-RU" w:eastAsia="ru-RU"/>
        </w:rPr>
        <w:tab/>
        <w:t>представлять вклады соответствующим исследовательским комиссиям МСЭ-D и КГРЭ, в зависимости от случая, и принимать участие в работе РГС</w:t>
      </w:r>
      <w:r w:rsidRPr="002B2BF7">
        <w:rPr>
          <w:lang w:val="ru-RU" w:eastAsia="ru-RU"/>
        </w:rPr>
        <w:noBreakHyphen/>
        <w:t>ВВУИО&amp;ЦУР по выполнению решений ВВУИО и Повестки дня в области устойчивого развития на период до 2030 года, в рамках мандата МСЭ;</w:t>
      </w:r>
    </w:p>
    <w:p w14:paraId="7040BE31" w14:textId="77777777" w:rsidR="00586AF8" w:rsidRPr="002B2BF7" w:rsidRDefault="00586AF8" w:rsidP="00586AF8">
      <w:pPr>
        <w:rPr>
          <w:lang w:val="ru-RU" w:eastAsia="ru-RU"/>
        </w:rPr>
      </w:pPr>
      <w:r w:rsidRPr="002B2BF7">
        <w:rPr>
          <w:lang w:val="ru-RU" w:eastAsia="ru-RU"/>
        </w:rPr>
        <w:t>2</w:t>
      </w:r>
      <w:r w:rsidRPr="002B2BF7">
        <w:rPr>
          <w:lang w:val="ru-RU" w:eastAsia="ru-RU"/>
        </w:rPr>
        <w:tab/>
        <w:t>оказывать поддержку Директору БРЭ и сотрудничать с ним при осуществлении соответствующих решений ВВУИО, с учетом Повестки дня в области устойчивого развития на период до 2030 года, в МСЭ-D;</w:t>
      </w:r>
    </w:p>
    <w:p w14:paraId="3FBB6BCD" w14:textId="7ECD4220" w:rsidR="00E45F09" w:rsidRPr="00586AF8" w:rsidRDefault="00586AF8" w:rsidP="00586AF8">
      <w:pPr>
        <w:rPr>
          <w:lang w:val="ru-RU"/>
        </w:rPr>
      </w:pPr>
      <w:r w:rsidRPr="002B2BF7">
        <w:rPr>
          <w:lang w:val="ru-RU" w:eastAsia="ru-RU"/>
        </w:rPr>
        <w:t>3</w:t>
      </w:r>
      <w:r w:rsidRPr="002B2BF7">
        <w:rPr>
          <w:lang w:val="ru-RU" w:eastAsia="ru-RU"/>
        </w:rPr>
        <w:tab/>
        <w:t>представлять вклады РГС-ВВУИО&amp;ЦУР.</w:t>
      </w:r>
    </w:p>
    <w:sectPr w:rsidR="00E45F09" w:rsidRPr="00586AF8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236ECE39" w14:textId="77777777" w:rsidR="00586AF8" w:rsidRPr="00FE2866" w:rsidRDefault="00586AF8" w:rsidP="00586AF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077D142D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586AF8">
          <w:rPr>
            <w:noProof/>
            <w:szCs w:val="22"/>
          </w:rPr>
          <w:t>30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2A1DAF6F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586AF8">
      <w:rPr>
        <w:noProof/>
        <w:szCs w:val="22"/>
      </w:rPr>
      <w:t>30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3E584B"/>
    <w:rsid w:val="00586AF8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paragraph" w:customStyle="1" w:styleId="enumlev1">
    <w:name w:val="enumlev1"/>
    <w:basedOn w:val="Normal"/>
    <w:link w:val="enumlev1Char"/>
    <w:rsid w:val="00586AF8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86AF8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character" w:styleId="FootnoteReference">
    <w:name w:val="footnote reference"/>
    <w:basedOn w:val="DefaultParagraphFont"/>
    <w:rsid w:val="00586AF8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586AF8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586AF8"/>
    <w:rPr>
      <w:rFonts w:ascii="Calibri" w:eastAsia="Times New Roman" w:hAnsi="Calibri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2759</Words>
  <Characters>15730</Characters>
  <Application>Microsoft Office Word</Application>
  <DocSecurity>0</DocSecurity>
  <Lines>131</Lines>
  <Paragraphs>36</Paragraphs>
  <ScaleCrop>false</ScaleCrop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3</cp:revision>
  <dcterms:created xsi:type="dcterms:W3CDTF">2023-10-16T12:49:00Z</dcterms:created>
  <dcterms:modified xsi:type="dcterms:W3CDTF">2023-10-16T12:57:00Z</dcterms:modified>
</cp:coreProperties>
</file>