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801" w14:textId="77777777" w:rsidR="000D1BE4" w:rsidRPr="002B2BF7" w:rsidRDefault="000D1BE4" w:rsidP="000D1BE4">
      <w:pPr>
        <w:pStyle w:val="ResNo"/>
        <w:rPr>
          <w:lang w:val="ru-RU"/>
        </w:rPr>
      </w:pPr>
      <w:bookmarkStart w:id="0" w:name="_Toc116554172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27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Хайдарабад, 2010 г.)</w:t>
      </w:r>
      <w:bookmarkEnd w:id="0"/>
    </w:p>
    <w:p w14:paraId="5A28592D" w14:textId="77777777" w:rsidR="000D1BE4" w:rsidRPr="002B2BF7" w:rsidRDefault="000D1BE4" w:rsidP="000D1BE4">
      <w:pPr>
        <w:pStyle w:val="Restitle"/>
        <w:rPr>
          <w:lang w:val="ru-RU"/>
        </w:rPr>
      </w:pPr>
      <w:bookmarkStart w:id="1" w:name="_Toc116554173"/>
      <w:r w:rsidRPr="002B2BF7">
        <w:rPr>
          <w:lang w:val="ru-RU"/>
        </w:rPr>
        <w:t xml:space="preserve">Допуск коммерческих структур или организаций к участию </w:t>
      </w:r>
      <w:r w:rsidRPr="002B2BF7">
        <w:rPr>
          <w:lang w:val="ru-RU"/>
        </w:rPr>
        <w:br/>
        <w:t>в работе МСЭ-D в качестве Ассоциированных членов</w:t>
      </w:r>
      <w:bookmarkEnd w:id="1"/>
    </w:p>
    <w:p w14:paraId="58F1F2E1" w14:textId="77777777" w:rsidR="000D1BE4" w:rsidRPr="002B2BF7" w:rsidRDefault="000D1BE4" w:rsidP="000D1BE4">
      <w:pPr>
        <w:pStyle w:val="Normalcenteraligned"/>
        <w:rPr>
          <w:lang w:val="ru-RU"/>
        </w:rPr>
      </w:pPr>
      <w:r w:rsidRPr="002B2BF7">
        <w:rPr>
          <w:lang w:val="ru-RU"/>
        </w:rPr>
        <w:t>(Аннулирована ВКРЭ-22)</w:t>
      </w:r>
    </w:p>
    <w:p w14:paraId="54FF9248" w14:textId="77777777" w:rsidR="000D1BE4" w:rsidRDefault="000D1BE4" w:rsidP="000D1BE4">
      <w:pPr>
        <w:pStyle w:val="Reasons"/>
        <w:rPr>
          <w:lang w:val="ru-RU"/>
        </w:rPr>
      </w:pPr>
    </w:p>
    <w:p w14:paraId="2B64593F" w14:textId="77777777" w:rsidR="000D1BE4" w:rsidRDefault="000D1BE4" w:rsidP="000D1BE4">
      <w:pPr>
        <w:pStyle w:val="Reasons"/>
        <w:rPr>
          <w:lang w:val="ru-RU"/>
        </w:rPr>
      </w:pPr>
    </w:p>
    <w:p w14:paraId="5606800E" w14:textId="77777777" w:rsidR="000D1BE4" w:rsidRDefault="000D1BE4" w:rsidP="000D1BE4">
      <w:pPr>
        <w:pStyle w:val="Reasons"/>
        <w:rPr>
          <w:lang w:val="ru-RU"/>
        </w:rPr>
      </w:pPr>
    </w:p>
    <w:p w14:paraId="044B2DAA" w14:textId="77777777" w:rsidR="000D1BE4" w:rsidRDefault="000D1BE4" w:rsidP="000D1BE4">
      <w:pPr>
        <w:pStyle w:val="Reasons"/>
        <w:rPr>
          <w:lang w:val="ru-RU"/>
        </w:rPr>
      </w:pPr>
    </w:p>
    <w:p w14:paraId="3B4F83B2" w14:textId="77777777" w:rsidR="000D1BE4" w:rsidRDefault="000D1BE4" w:rsidP="000D1BE4">
      <w:pPr>
        <w:pStyle w:val="Reasons"/>
        <w:rPr>
          <w:lang w:val="ru-RU"/>
        </w:rPr>
      </w:pPr>
    </w:p>
    <w:p w14:paraId="42FE2CB0" w14:textId="77777777" w:rsidR="000D1BE4" w:rsidRDefault="000D1BE4" w:rsidP="000D1BE4">
      <w:pPr>
        <w:pStyle w:val="Reasons"/>
        <w:rPr>
          <w:lang w:val="ru-RU"/>
        </w:rPr>
      </w:pPr>
    </w:p>
    <w:p w14:paraId="32C96DCC" w14:textId="77777777" w:rsidR="000D1BE4" w:rsidRDefault="000D1BE4" w:rsidP="000D1BE4">
      <w:pPr>
        <w:pStyle w:val="Reasons"/>
        <w:rPr>
          <w:lang w:val="ru-RU"/>
        </w:rPr>
      </w:pPr>
    </w:p>
    <w:p w14:paraId="072720F5" w14:textId="77777777" w:rsidR="000D1BE4" w:rsidRDefault="000D1BE4" w:rsidP="000D1BE4">
      <w:pPr>
        <w:pStyle w:val="Reasons"/>
        <w:rPr>
          <w:lang w:val="ru-RU"/>
        </w:rPr>
      </w:pPr>
    </w:p>
    <w:p w14:paraId="69DB1BCC" w14:textId="77777777" w:rsidR="000D1BE4" w:rsidRDefault="000D1BE4" w:rsidP="000D1BE4">
      <w:pPr>
        <w:pStyle w:val="Reasons"/>
        <w:rPr>
          <w:lang w:val="ru-RU"/>
        </w:rPr>
      </w:pPr>
    </w:p>
    <w:p w14:paraId="7D893001" w14:textId="77777777" w:rsidR="000D1BE4" w:rsidRDefault="000D1BE4" w:rsidP="000D1BE4">
      <w:pPr>
        <w:pStyle w:val="Reasons"/>
        <w:rPr>
          <w:lang w:val="ru-RU"/>
        </w:rPr>
      </w:pPr>
    </w:p>
    <w:p w14:paraId="5C0679A2" w14:textId="77777777" w:rsidR="000D1BE4" w:rsidRDefault="000D1BE4" w:rsidP="000D1BE4">
      <w:pPr>
        <w:pStyle w:val="Reasons"/>
        <w:rPr>
          <w:lang w:val="ru-RU"/>
        </w:rPr>
      </w:pPr>
    </w:p>
    <w:p w14:paraId="09CC60F2" w14:textId="77777777" w:rsidR="000D1BE4" w:rsidRDefault="000D1BE4" w:rsidP="000D1BE4">
      <w:pPr>
        <w:pStyle w:val="Reasons"/>
        <w:rPr>
          <w:lang w:val="ru-RU"/>
        </w:rPr>
      </w:pPr>
    </w:p>
    <w:p w14:paraId="6171430F" w14:textId="77777777" w:rsidR="000D1BE4" w:rsidRDefault="000D1BE4" w:rsidP="000D1BE4">
      <w:pPr>
        <w:pStyle w:val="Reasons"/>
        <w:rPr>
          <w:lang w:val="ru-RU"/>
        </w:rPr>
      </w:pPr>
    </w:p>
    <w:p w14:paraId="60986264" w14:textId="77777777" w:rsidR="000D1BE4" w:rsidRPr="002B2BF7" w:rsidRDefault="000D1BE4" w:rsidP="000D1BE4">
      <w:pPr>
        <w:pStyle w:val="Reasons"/>
        <w:rPr>
          <w:lang w:val="ru-RU"/>
        </w:rPr>
      </w:pPr>
    </w:p>
    <w:p w14:paraId="3FBB6BCD" w14:textId="77777777" w:rsidR="00E45F09" w:rsidRPr="000D1BE4" w:rsidRDefault="00E45F09" w:rsidP="000D1BE4"/>
    <w:sectPr w:rsidR="00E45F09" w:rsidRPr="000D1BE4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1BF000BE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0D1BE4" w:rsidRPr="000D1BE4">
          <w:rPr>
            <w:noProof/>
            <w:szCs w:val="22"/>
            <w:lang w:val="ru-RU"/>
          </w:rPr>
          <w:t>26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0D576343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0D1BE4">
      <w:rPr>
        <w:noProof/>
        <w:szCs w:val="22"/>
      </w:rPr>
      <w:t>27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D1BE4"/>
    <w:rsid w:val="000F689C"/>
    <w:rsid w:val="003E584B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2</cp:revision>
  <dcterms:created xsi:type="dcterms:W3CDTF">2023-10-16T12:49:00Z</dcterms:created>
  <dcterms:modified xsi:type="dcterms:W3CDTF">2023-10-16T12:55:00Z</dcterms:modified>
</cp:coreProperties>
</file>