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9ACB" w14:textId="77777777" w:rsidR="00046E8E" w:rsidRPr="007D4F79" w:rsidRDefault="00046E8E" w:rsidP="00046E8E">
      <w:pPr>
        <w:pStyle w:val="ResNo"/>
        <w:rPr>
          <w:lang w:val="fr-FR"/>
        </w:rPr>
      </w:pPr>
      <w:bookmarkStart w:id="0" w:name="_Toc116542352"/>
      <w:r w:rsidRPr="007D4F79">
        <w:rPr>
          <w:caps w:val="0"/>
          <w:lang w:val="fr-FR"/>
        </w:rPr>
        <w:t>RÉSOLUTION</w:t>
      </w:r>
      <w:r w:rsidRPr="007D4F79">
        <w:rPr>
          <w:lang w:val="fr-FR"/>
        </w:rPr>
        <w:t xml:space="preserve"> 26 (R</w:t>
      </w:r>
      <w:r w:rsidRPr="007D4F79">
        <w:rPr>
          <w:caps w:val="0"/>
          <w:lang w:val="fr-FR"/>
        </w:rPr>
        <w:t>év</w:t>
      </w:r>
      <w:r w:rsidRPr="007D4F79">
        <w:rPr>
          <w:lang w:val="fr-FR"/>
        </w:rPr>
        <w:t>. D</w:t>
      </w:r>
      <w:r w:rsidRPr="007D4F79">
        <w:rPr>
          <w:caps w:val="0"/>
          <w:lang w:val="fr-FR"/>
        </w:rPr>
        <w:t>oha</w:t>
      </w:r>
      <w:r w:rsidRPr="007D4F79">
        <w:rPr>
          <w:lang w:val="fr-FR"/>
        </w:rPr>
        <w:t>, 2006)</w:t>
      </w:r>
      <w:bookmarkEnd w:id="0"/>
    </w:p>
    <w:p w14:paraId="6F352DC4" w14:textId="77777777" w:rsidR="00046E8E" w:rsidRPr="007D4F79" w:rsidRDefault="00046E8E" w:rsidP="00046E8E">
      <w:pPr>
        <w:pStyle w:val="Restitle"/>
        <w:rPr>
          <w:lang w:val="fr-FR"/>
        </w:rPr>
      </w:pPr>
      <w:bookmarkStart w:id="1" w:name="_Toc116542353"/>
      <w:r w:rsidRPr="007D4F79">
        <w:rPr>
          <w:lang w:val="fr-FR"/>
        </w:rPr>
        <w:t>Assistance aux pays ayant des besoins spéciaux: Afghanistan</w:t>
      </w:r>
      <w:bookmarkEnd w:id="1"/>
    </w:p>
    <w:p w14:paraId="6629B81B" w14:textId="77777777" w:rsidR="00046E8E" w:rsidRPr="007D4F79" w:rsidRDefault="00046E8E" w:rsidP="00046E8E">
      <w:pPr>
        <w:pStyle w:val="Normalaftertitle"/>
        <w:rPr>
          <w:lang w:val="fr-CH"/>
        </w:rPr>
      </w:pPr>
      <w:r w:rsidRPr="007D4F79">
        <w:rPr>
          <w:lang w:val="fr-CH"/>
        </w:rPr>
        <w:t>La Conférence mondiale de développement des télécommunications (Doha</w:t>
      </w:r>
      <w:r w:rsidRPr="007D4F79">
        <w:rPr>
          <w:caps/>
          <w:lang w:val="fr-CH"/>
        </w:rPr>
        <w:t>, 2006</w:t>
      </w:r>
      <w:r w:rsidRPr="007D4F79">
        <w:rPr>
          <w:lang w:val="fr-CH"/>
        </w:rPr>
        <w:t>),</w:t>
      </w:r>
    </w:p>
    <w:p w14:paraId="6988C00B" w14:textId="77777777" w:rsidR="00046E8E" w:rsidRPr="007D4F79" w:rsidRDefault="00046E8E" w:rsidP="00046E8E">
      <w:pPr>
        <w:pStyle w:val="Call"/>
        <w:rPr>
          <w:lang w:val="fr-FR"/>
        </w:rPr>
      </w:pPr>
      <w:r w:rsidRPr="007D4F79">
        <w:rPr>
          <w:lang w:val="fr-FR"/>
        </w:rPr>
        <w:t>rappelant</w:t>
      </w:r>
    </w:p>
    <w:p w14:paraId="3E3C56D7" w14:textId="77777777" w:rsidR="00046E8E" w:rsidRPr="007D4F79" w:rsidRDefault="00046E8E" w:rsidP="00046E8E">
      <w:pPr>
        <w:rPr>
          <w:lang w:val="fr-FR"/>
        </w:rPr>
      </w:pPr>
      <w:r w:rsidRPr="007D4F79">
        <w:rPr>
          <w:lang w:val="fr-FR"/>
        </w:rPr>
        <w:t>la Résolution 34 (Rév. Minneapolis, 1998) de la Conférence de plénipotentiaires,</w:t>
      </w:r>
    </w:p>
    <w:p w14:paraId="2BDC3EB6" w14:textId="77777777" w:rsidR="00046E8E" w:rsidRPr="007D4F79" w:rsidRDefault="00046E8E" w:rsidP="00046E8E">
      <w:pPr>
        <w:pStyle w:val="Call"/>
        <w:rPr>
          <w:lang w:val="fr-FR"/>
        </w:rPr>
      </w:pPr>
      <w:r w:rsidRPr="007D4F79">
        <w:rPr>
          <w:lang w:val="fr-FR"/>
        </w:rPr>
        <w:t>rappelant en outre</w:t>
      </w:r>
    </w:p>
    <w:p w14:paraId="3B5EA655" w14:textId="77777777" w:rsidR="00046E8E" w:rsidRPr="007D4F79" w:rsidRDefault="00046E8E" w:rsidP="00046E8E">
      <w:pPr>
        <w:rPr>
          <w:lang w:val="fr-FR"/>
        </w:rPr>
      </w:pPr>
      <w:r w:rsidRPr="007D4F79">
        <w:rPr>
          <w:lang w:val="fr-FR"/>
        </w:rPr>
        <w:t>l'objet de l'Union, tel qu'il est énoncé dans l'article 1 de la Constitution de l'UIT,</w:t>
      </w:r>
    </w:p>
    <w:p w14:paraId="391FD908" w14:textId="77777777" w:rsidR="00046E8E" w:rsidRPr="007D4F79" w:rsidRDefault="00046E8E" w:rsidP="00046E8E">
      <w:pPr>
        <w:pStyle w:val="Call"/>
        <w:rPr>
          <w:lang w:val="fr-FR"/>
        </w:rPr>
      </w:pPr>
      <w:r w:rsidRPr="007D4F79">
        <w:rPr>
          <w:lang w:val="fr-FR"/>
        </w:rPr>
        <w:t>reconnaissant</w:t>
      </w:r>
    </w:p>
    <w:p w14:paraId="15D5CCB1" w14:textId="77777777" w:rsidR="00046E8E" w:rsidRPr="007D4F79" w:rsidRDefault="00046E8E" w:rsidP="00046E8E">
      <w:pPr>
        <w:rPr>
          <w:lang w:val="fr-FR"/>
        </w:rPr>
      </w:pPr>
      <w:r w:rsidRPr="007D4F79">
        <w:rPr>
          <w:i/>
          <w:iCs/>
          <w:lang w:val="fr-FR"/>
        </w:rPr>
        <w:t>a)</w:t>
      </w:r>
      <w:r w:rsidRPr="007D4F79">
        <w:rPr>
          <w:lang w:val="fr-FR"/>
        </w:rPr>
        <w:tab/>
        <w:t>qu'aucun budget n'a été attribué par la Conférence de plénipotentiaires en relation avec la Résolution 34 (Rév. Minneapolis, 1998), aux pays ayant des besoins spéciaux;</w:t>
      </w:r>
    </w:p>
    <w:p w14:paraId="461A7266" w14:textId="77777777" w:rsidR="00046E8E" w:rsidRPr="007D4F79" w:rsidRDefault="00046E8E" w:rsidP="00046E8E">
      <w:pPr>
        <w:rPr>
          <w:bCs/>
          <w:lang w:val="fr-FR"/>
        </w:rPr>
      </w:pPr>
      <w:r w:rsidRPr="007D4F79">
        <w:rPr>
          <w:bCs/>
          <w:i/>
          <w:iCs/>
          <w:lang w:val="fr-FR"/>
        </w:rPr>
        <w:t>b)</w:t>
      </w:r>
      <w:r w:rsidRPr="007D4F79">
        <w:rPr>
          <w:lang w:val="fr-FR"/>
        </w:rPr>
        <w:tab/>
      </w:r>
      <w:r w:rsidRPr="007D4F79">
        <w:rPr>
          <w:bCs/>
          <w:lang w:val="fr-FR"/>
        </w:rPr>
        <w:t>que l'infrastructure des télécommunications de l'Afghanistan a été totalement détruite par vingt années de guerre et que les équipements actuellement utilisés ont plus de 40 ans et sont donc obsolètes;</w:t>
      </w:r>
    </w:p>
    <w:p w14:paraId="7FA3938F" w14:textId="77777777" w:rsidR="00046E8E" w:rsidRPr="007D4F79" w:rsidRDefault="00046E8E" w:rsidP="00046E8E">
      <w:pPr>
        <w:rPr>
          <w:lang w:val="fr-FR"/>
        </w:rPr>
      </w:pPr>
      <w:r w:rsidRPr="007D4F79">
        <w:rPr>
          <w:i/>
          <w:lang w:val="fr-FR"/>
        </w:rPr>
        <w:t>c)</w:t>
      </w:r>
      <w:r w:rsidRPr="007D4F79">
        <w:rPr>
          <w:i/>
          <w:lang w:val="fr-FR"/>
        </w:rPr>
        <w:tab/>
      </w:r>
      <w:r w:rsidRPr="007D4F79">
        <w:rPr>
          <w:lang w:val="fr-FR"/>
        </w:rPr>
        <w:t>que, actuellement, l'Afghanistan ne dispose pas d'une infrastructure nationale des télécommunications, ni d'un accès aux réseaux de télécommunication internationaux ou à l'Internet;</w:t>
      </w:r>
    </w:p>
    <w:p w14:paraId="4160D35A" w14:textId="77777777" w:rsidR="00046E8E" w:rsidRPr="007D4F79" w:rsidRDefault="00046E8E" w:rsidP="00046E8E">
      <w:pPr>
        <w:rPr>
          <w:lang w:val="fr-FR"/>
        </w:rPr>
      </w:pPr>
      <w:r w:rsidRPr="007D4F79">
        <w:rPr>
          <w:i/>
          <w:lang w:val="fr-FR"/>
        </w:rPr>
        <w:t>d)</w:t>
      </w:r>
      <w:r w:rsidRPr="007D4F79">
        <w:rPr>
          <w:i/>
          <w:lang w:val="fr-FR"/>
        </w:rPr>
        <w:tab/>
      </w:r>
      <w:r w:rsidRPr="007D4F79">
        <w:rPr>
          <w:lang w:val="fr-FR"/>
        </w:rPr>
        <w:t>qu'un système de télécommunication est indispensable à la réalisation des opérations de reconstruction, de remise en état et de secours dans le pays;</w:t>
      </w:r>
    </w:p>
    <w:p w14:paraId="3A990E05" w14:textId="77777777" w:rsidR="00046E8E" w:rsidRPr="007D4F79" w:rsidRDefault="00046E8E" w:rsidP="00046E8E">
      <w:pPr>
        <w:rPr>
          <w:lang w:val="fr-FR"/>
        </w:rPr>
      </w:pPr>
      <w:r w:rsidRPr="007D4F79">
        <w:rPr>
          <w:i/>
          <w:iCs/>
          <w:lang w:val="fr-FR"/>
        </w:rPr>
        <w:t>e)</w:t>
      </w:r>
      <w:r w:rsidRPr="007D4F79">
        <w:rPr>
          <w:lang w:val="fr-FR"/>
        </w:rPr>
        <w:tab/>
        <w:t>que, dans les circonstances actuelles et dans un avenir prévisible, l'Afghanistan ne sera pas en mesure de reconstruire ses systèmes de télécommunication sans l'aide de la communauté internationale, fournie au niveau bilatéral ou par l'intermédiaire d'organisations internationales,</w:t>
      </w:r>
    </w:p>
    <w:p w14:paraId="1CBBA5FE" w14:textId="77777777" w:rsidR="00046E8E" w:rsidRPr="007D4F79" w:rsidRDefault="00046E8E" w:rsidP="00046E8E">
      <w:pPr>
        <w:pStyle w:val="Call"/>
        <w:rPr>
          <w:lang w:val="fr-FR"/>
        </w:rPr>
      </w:pPr>
      <w:r w:rsidRPr="007D4F79">
        <w:rPr>
          <w:lang w:val="fr-FR"/>
        </w:rPr>
        <w:t>notant</w:t>
      </w:r>
    </w:p>
    <w:p w14:paraId="65DBC262" w14:textId="77777777" w:rsidR="00046E8E" w:rsidRPr="007D4F79" w:rsidRDefault="00046E8E" w:rsidP="00046E8E">
      <w:pPr>
        <w:rPr>
          <w:lang w:val="fr-FR"/>
        </w:rPr>
      </w:pPr>
      <w:r w:rsidRPr="007D4F79">
        <w:rPr>
          <w:i/>
          <w:iCs/>
          <w:lang w:val="fr-FR"/>
        </w:rPr>
        <w:t>a)</w:t>
      </w:r>
      <w:r w:rsidRPr="007D4F79">
        <w:rPr>
          <w:i/>
          <w:iCs/>
          <w:lang w:val="fr-FR"/>
        </w:rPr>
        <w:tab/>
      </w:r>
      <w:r w:rsidRPr="007D4F79">
        <w:rPr>
          <w:lang w:val="fr-FR"/>
        </w:rPr>
        <w:t>que l'Afghanistan ne bénéficie plus depuis longtemps de l'assistance de l'Union à cause de la guerre;</w:t>
      </w:r>
    </w:p>
    <w:p w14:paraId="3ABD23E3" w14:textId="77777777" w:rsidR="00046E8E" w:rsidRPr="007D4F79" w:rsidRDefault="00046E8E" w:rsidP="00046E8E">
      <w:pPr>
        <w:rPr>
          <w:lang w:val="fr-FR"/>
        </w:rPr>
      </w:pPr>
      <w:r w:rsidRPr="007D4F79">
        <w:rPr>
          <w:i/>
          <w:lang w:val="fr-FR"/>
        </w:rPr>
        <w:t>b)</w:t>
      </w:r>
      <w:r w:rsidRPr="007D4F79">
        <w:rPr>
          <w:i/>
          <w:lang w:val="fr-FR"/>
        </w:rPr>
        <w:tab/>
      </w:r>
      <w:r w:rsidRPr="007D4F79">
        <w:rPr>
          <w:lang w:val="fr-FR"/>
        </w:rPr>
        <w:t>les efforts déployés par le Secrétaire général et le Directeur du Bureau de développement des télécommunications (BDT) pour aider d'autres pays à la suite de conflits armés,</w:t>
      </w:r>
    </w:p>
    <w:p w14:paraId="05167FBA" w14:textId="77777777" w:rsidR="00046E8E" w:rsidRDefault="00046E8E" w:rsidP="00046E8E">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4B2EC841" w14:textId="77777777" w:rsidR="00046E8E" w:rsidRPr="007D4F79" w:rsidRDefault="00046E8E" w:rsidP="00046E8E">
      <w:pPr>
        <w:pStyle w:val="Call"/>
        <w:rPr>
          <w:lang w:val="fr-FR"/>
        </w:rPr>
      </w:pPr>
      <w:r w:rsidRPr="007D4F79">
        <w:rPr>
          <w:lang w:val="fr-FR"/>
        </w:rPr>
        <w:lastRenderedPageBreak/>
        <w:t>décide</w:t>
      </w:r>
    </w:p>
    <w:p w14:paraId="5CC53C9B" w14:textId="77777777" w:rsidR="00046E8E" w:rsidRPr="007D4F79" w:rsidRDefault="00046E8E" w:rsidP="00046E8E">
      <w:pPr>
        <w:rPr>
          <w:iCs/>
          <w:lang w:val="fr-FR"/>
        </w:rPr>
      </w:pPr>
      <w:r w:rsidRPr="007D4F79">
        <w:rPr>
          <w:bCs/>
          <w:lang w:val="fr-FR"/>
        </w:rPr>
        <w:t>qu'il convient de poursuivre l'action spéciale engagée par le Secrétaire général et le Directeur du BDT avec l'aide spécialisée du Secteur des radiocommunications et du Secteur de la normalisation des télécommunications de l'UIT, afin d'apporter une assistance et un appui à l'Afghanistan, pour la reconstruction de son infrastructure de télécommunication, la création d'institutions appropriées, l'élaboration d'une législation des télécommunications et d'un cadre réglementaire, avec plan de numérotage, gestion du spectre, tarifs, développement des ressources humaines et toutes autres formes d'assistance,</w:t>
      </w:r>
    </w:p>
    <w:p w14:paraId="15B2DBBB" w14:textId="77777777" w:rsidR="00046E8E" w:rsidRPr="007D4F79" w:rsidRDefault="00046E8E" w:rsidP="00046E8E">
      <w:pPr>
        <w:pStyle w:val="Call"/>
        <w:rPr>
          <w:lang w:val="fr-FR"/>
        </w:rPr>
      </w:pPr>
      <w:r w:rsidRPr="007D4F79">
        <w:rPr>
          <w:lang w:val="fr-FR"/>
        </w:rPr>
        <w:t>engage les États Membres</w:t>
      </w:r>
    </w:p>
    <w:p w14:paraId="09A44B1C" w14:textId="77777777" w:rsidR="00046E8E" w:rsidRPr="007D4F79" w:rsidRDefault="00046E8E" w:rsidP="00046E8E">
      <w:pPr>
        <w:rPr>
          <w:lang w:val="fr-FR"/>
        </w:rPr>
      </w:pPr>
      <w:r w:rsidRPr="007D4F79">
        <w:rPr>
          <w:lang w:val="fr-FR"/>
        </w:rPr>
        <w:t>à offrir toute l'assistance et tout l'appui possibles au Gouvernement de l'Afghanistan, soit de manière bilatérale, soit dans le cadre de l'action spéciale de l'Union visée ci-dessus,</w:t>
      </w:r>
    </w:p>
    <w:p w14:paraId="7EE23128" w14:textId="77777777" w:rsidR="00046E8E" w:rsidRPr="007D4F79" w:rsidRDefault="00046E8E" w:rsidP="00046E8E">
      <w:pPr>
        <w:pStyle w:val="Call"/>
        <w:rPr>
          <w:lang w:val="fr-FR"/>
        </w:rPr>
      </w:pPr>
      <w:r w:rsidRPr="007D4F79">
        <w:rPr>
          <w:lang w:val="fr-FR"/>
        </w:rPr>
        <w:t>invite le Conseil</w:t>
      </w:r>
    </w:p>
    <w:p w14:paraId="4684D061" w14:textId="77777777" w:rsidR="00046E8E" w:rsidRPr="007D4F79" w:rsidRDefault="00046E8E" w:rsidP="00046E8E">
      <w:pPr>
        <w:rPr>
          <w:lang w:val="fr-FR"/>
        </w:rPr>
      </w:pPr>
      <w:r w:rsidRPr="007D4F79">
        <w:rPr>
          <w:lang w:val="fr-FR"/>
        </w:rPr>
        <w:t>à affecter les fonds nécessaires, dans les limites des ressources disponibles, à la mise en œuvre de la présente résolution,</w:t>
      </w:r>
    </w:p>
    <w:p w14:paraId="703AF506" w14:textId="77777777" w:rsidR="00046E8E" w:rsidRPr="007D4F79" w:rsidRDefault="00046E8E" w:rsidP="00046E8E">
      <w:pPr>
        <w:pStyle w:val="Call"/>
        <w:rPr>
          <w:lang w:val="fr-FR"/>
        </w:rPr>
      </w:pPr>
      <w:r w:rsidRPr="007D4F79">
        <w:rPr>
          <w:lang w:val="fr-FR"/>
        </w:rPr>
        <w:t>charge le Directeur du Bureau de développement des télécommunications</w:t>
      </w:r>
    </w:p>
    <w:p w14:paraId="20D6D494" w14:textId="77777777" w:rsidR="00046E8E" w:rsidRPr="007D4F79" w:rsidRDefault="00046E8E" w:rsidP="00046E8E">
      <w:pPr>
        <w:rPr>
          <w:lang w:val="fr-FR"/>
        </w:rPr>
      </w:pPr>
      <w:r w:rsidRPr="007D4F79">
        <w:rPr>
          <w:lang w:val="fr-FR"/>
        </w:rPr>
        <w:t>1</w:t>
      </w:r>
      <w:r w:rsidRPr="007D4F79">
        <w:rPr>
          <w:lang w:val="fr-FR"/>
        </w:rPr>
        <w:tab/>
        <w:t>de mettre en œuvre intégralement un programme d'assistance en faveur des pays les moins avancés, dans le cadre duquel l'Afghanistan pourra recevoir une aide ciblée dans différents domaines qu'elle considère comme prioritaires;</w:t>
      </w:r>
    </w:p>
    <w:p w14:paraId="6CA5ECBB" w14:textId="77777777" w:rsidR="00046E8E" w:rsidRPr="007D4F79" w:rsidRDefault="00046E8E" w:rsidP="00046E8E">
      <w:pPr>
        <w:rPr>
          <w:lang w:val="fr-FR"/>
        </w:rPr>
      </w:pPr>
      <w:r w:rsidRPr="007D4F79">
        <w:rPr>
          <w:lang w:val="fr-FR"/>
        </w:rPr>
        <w:t>2</w:t>
      </w:r>
      <w:r w:rsidRPr="007D4F79">
        <w:rPr>
          <w:lang w:val="fr-FR"/>
        </w:rPr>
        <w:tab/>
        <w:t>de prendre des mesures immédiates pour aider l'Afghanistan pendant la période allant jusqu'à la Conférence de plénipotentiaires (Antalya, 2006),</w:t>
      </w:r>
    </w:p>
    <w:p w14:paraId="3477C044" w14:textId="77777777" w:rsidR="00046E8E" w:rsidRPr="007D4F79" w:rsidRDefault="00046E8E" w:rsidP="00046E8E">
      <w:pPr>
        <w:pStyle w:val="Call"/>
        <w:rPr>
          <w:lang w:val="fr-FR"/>
        </w:rPr>
      </w:pPr>
      <w:r w:rsidRPr="007D4F79">
        <w:rPr>
          <w:lang w:val="fr-FR"/>
        </w:rPr>
        <w:t>demande au Secrétaire général</w:t>
      </w:r>
    </w:p>
    <w:p w14:paraId="7117ADC4" w14:textId="77777777" w:rsidR="00046E8E" w:rsidRPr="007D4F79" w:rsidRDefault="00046E8E" w:rsidP="00046E8E">
      <w:pPr>
        <w:rPr>
          <w:bCs/>
          <w:lang w:val="fr-FR"/>
        </w:rPr>
      </w:pPr>
      <w:r w:rsidRPr="007D4F79">
        <w:rPr>
          <w:bCs/>
          <w:lang w:val="fr-FR"/>
        </w:rPr>
        <w:t xml:space="preserve">de coordonner les activités menées par les trois Secteurs de l'Union conformément au </w:t>
      </w:r>
      <w:r w:rsidRPr="007D4F79">
        <w:rPr>
          <w:bCs/>
          <w:i/>
          <w:lang w:val="fr-FR"/>
        </w:rPr>
        <w:t xml:space="preserve">décide </w:t>
      </w:r>
      <w:r w:rsidRPr="007D4F79">
        <w:rPr>
          <w:bCs/>
          <w:lang w:val="fr-FR"/>
        </w:rPr>
        <w:t>ci</w:t>
      </w:r>
      <w:r w:rsidRPr="007D4F79">
        <w:rPr>
          <w:bCs/>
          <w:lang w:val="fr-FR"/>
        </w:rPr>
        <w:noBreakHyphen/>
        <w:t>dessus, pour faire en sorte que les mesures prises par l'UIT en faveur de l'Afghanistan soient les plus efficaces possibles et de faire rapport au Conseil sur cette question.</w:t>
      </w:r>
    </w:p>
    <w:p w14:paraId="347239D5" w14:textId="77777777" w:rsidR="00046E8E" w:rsidRPr="007D4F79" w:rsidRDefault="00046E8E" w:rsidP="00046E8E">
      <w:pPr>
        <w:pStyle w:val="Reasons"/>
        <w:rPr>
          <w:lang w:val="fr-FR"/>
        </w:rPr>
      </w:pPr>
    </w:p>
    <w:p w14:paraId="22C8C253" w14:textId="77777777" w:rsidR="00F16487" w:rsidRDefault="00F16487"/>
    <w:sectPr w:rsidR="00F16487" w:rsidSect="00046E8E">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F074" w14:textId="77777777" w:rsidR="00046E8E" w:rsidRDefault="00046E8E" w:rsidP="00046E8E">
      <w:pPr>
        <w:spacing w:before="0" w:after="0"/>
      </w:pPr>
      <w:r>
        <w:separator/>
      </w:r>
    </w:p>
  </w:endnote>
  <w:endnote w:type="continuationSeparator" w:id="0">
    <w:p w14:paraId="5CF07D1E" w14:textId="77777777" w:rsidR="00046E8E" w:rsidRDefault="00046E8E" w:rsidP="00046E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1D6E" w14:textId="77777777" w:rsidR="00046E8E" w:rsidRDefault="00046E8E" w:rsidP="00046E8E">
      <w:pPr>
        <w:spacing w:before="0" w:after="0"/>
      </w:pPr>
      <w:r>
        <w:separator/>
      </w:r>
    </w:p>
  </w:footnote>
  <w:footnote w:type="continuationSeparator" w:id="0">
    <w:p w14:paraId="56466215" w14:textId="77777777" w:rsidR="00046E8E" w:rsidRDefault="00046E8E" w:rsidP="00046E8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360394145"/>
      <w:docPartObj>
        <w:docPartGallery w:val="Page Numbers (Top of Page)"/>
        <w:docPartUnique/>
      </w:docPartObj>
    </w:sdtPr>
    <w:sdtEndPr>
      <w:rPr>
        <w:noProof/>
      </w:rPr>
    </w:sdtEndPr>
    <w:sdtContent>
      <w:p w14:paraId="414A4AE0" w14:textId="77777777" w:rsidR="00046E8E" w:rsidRPr="00046E8E" w:rsidRDefault="00046E8E" w:rsidP="00046E8E">
        <w:pPr>
          <w:tabs>
            <w:tab w:val="left" w:pos="426"/>
            <w:tab w:val="left" w:pos="851"/>
          </w:tabs>
          <w:spacing w:before="0"/>
          <w:jc w:val="left"/>
          <w:rPr>
            <w:rFonts w:ascii="Calibri" w:hAnsi="Calibri"/>
            <w:sz w:val="16"/>
            <w:szCs w:val="16"/>
            <w:lang w:val="fr-FR"/>
          </w:rPr>
        </w:pPr>
        <w:r w:rsidRPr="00046E8E">
          <w:rPr>
            <w:rFonts w:ascii="Calibri" w:hAnsi="Calibri"/>
            <w:sz w:val="16"/>
            <w:szCs w:val="16"/>
          </w:rPr>
          <w:fldChar w:fldCharType="begin"/>
        </w:r>
        <w:r w:rsidRPr="00046E8E">
          <w:rPr>
            <w:rFonts w:ascii="Calibri" w:hAnsi="Calibri"/>
            <w:sz w:val="16"/>
            <w:szCs w:val="16"/>
            <w:lang w:val="fr-FR"/>
          </w:rPr>
          <w:instrText xml:space="preserve"> PAGE   \* MERGEFORMAT </w:instrText>
        </w:r>
        <w:r w:rsidRPr="00046E8E">
          <w:rPr>
            <w:rFonts w:ascii="Calibri" w:hAnsi="Calibri"/>
            <w:sz w:val="16"/>
            <w:szCs w:val="16"/>
          </w:rPr>
          <w:fldChar w:fldCharType="separate"/>
        </w:r>
        <w:r w:rsidRPr="00046E8E">
          <w:rPr>
            <w:rFonts w:ascii="Calibri" w:hAnsi="Calibri"/>
            <w:sz w:val="16"/>
            <w:szCs w:val="16"/>
          </w:rPr>
          <w:t>142</w:t>
        </w:r>
        <w:r w:rsidRPr="00046E8E">
          <w:rPr>
            <w:rFonts w:ascii="Calibri" w:hAnsi="Calibri"/>
            <w:noProof/>
            <w:sz w:val="16"/>
            <w:szCs w:val="16"/>
          </w:rPr>
          <w:fldChar w:fldCharType="end"/>
        </w:r>
        <w:r w:rsidRPr="00046E8E">
          <w:rPr>
            <w:rFonts w:ascii="Calibri" w:hAnsi="Calibri"/>
            <w:sz w:val="16"/>
            <w:szCs w:val="16"/>
            <w:lang w:val="fr-FR"/>
          </w:rPr>
          <w:tab/>
          <w:t>Rapport final de la CMDT-22 – Partie IV – Résolution 26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210195441"/>
      <w:docPartObj>
        <w:docPartGallery w:val="Page Numbers (Top of Page)"/>
        <w:docPartUnique/>
      </w:docPartObj>
    </w:sdtPr>
    <w:sdtEndPr>
      <w:rPr>
        <w:noProof/>
      </w:rPr>
    </w:sdtEndPr>
    <w:sdtContent>
      <w:p w14:paraId="41C1733D" w14:textId="77777777" w:rsidR="00046E8E" w:rsidRPr="00046E8E" w:rsidRDefault="00046E8E" w:rsidP="00046E8E">
        <w:pPr>
          <w:tabs>
            <w:tab w:val="clear" w:pos="1134"/>
            <w:tab w:val="clear" w:pos="1871"/>
            <w:tab w:val="clear" w:pos="2268"/>
            <w:tab w:val="left" w:pos="5387"/>
            <w:tab w:val="left" w:pos="9356"/>
          </w:tabs>
          <w:spacing w:before="0"/>
          <w:jc w:val="right"/>
          <w:rPr>
            <w:rFonts w:ascii="Calibri" w:hAnsi="Calibri"/>
            <w:sz w:val="16"/>
            <w:szCs w:val="16"/>
            <w:lang w:val="fr-FR"/>
          </w:rPr>
        </w:pPr>
        <w:r w:rsidRPr="00046E8E">
          <w:rPr>
            <w:rFonts w:ascii="Calibri" w:hAnsi="Calibri"/>
            <w:sz w:val="16"/>
            <w:szCs w:val="16"/>
            <w:lang w:val="fr-FR"/>
          </w:rPr>
          <w:tab/>
          <w:t>Rapport final de la CMDT-22 – Partie IV – Résolution 26</w:t>
        </w:r>
        <w:r w:rsidRPr="00046E8E">
          <w:rPr>
            <w:rFonts w:ascii="Calibri" w:hAnsi="Calibri"/>
            <w:sz w:val="16"/>
            <w:szCs w:val="16"/>
            <w:lang w:val="fr-FR"/>
          </w:rPr>
          <w:tab/>
        </w:r>
        <w:r w:rsidRPr="00046E8E">
          <w:rPr>
            <w:rFonts w:ascii="Calibri" w:hAnsi="Calibri"/>
            <w:sz w:val="16"/>
            <w:szCs w:val="16"/>
          </w:rPr>
          <w:fldChar w:fldCharType="begin"/>
        </w:r>
        <w:r w:rsidRPr="00046E8E">
          <w:rPr>
            <w:rFonts w:ascii="Calibri" w:hAnsi="Calibri"/>
            <w:sz w:val="16"/>
            <w:szCs w:val="16"/>
            <w:lang w:val="fr-FR"/>
          </w:rPr>
          <w:instrText xml:space="preserve"> PAGE   \* MERGEFORMAT </w:instrText>
        </w:r>
        <w:r w:rsidRPr="00046E8E">
          <w:rPr>
            <w:rFonts w:ascii="Calibri" w:hAnsi="Calibri"/>
            <w:sz w:val="16"/>
            <w:szCs w:val="16"/>
          </w:rPr>
          <w:fldChar w:fldCharType="separate"/>
        </w:r>
        <w:r w:rsidRPr="00046E8E">
          <w:rPr>
            <w:rFonts w:ascii="Calibri" w:hAnsi="Calibri"/>
            <w:sz w:val="16"/>
            <w:szCs w:val="16"/>
          </w:rPr>
          <w:t>143</w:t>
        </w:r>
        <w:r w:rsidRPr="00046E8E">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8E"/>
    <w:rsid w:val="00046E8E"/>
    <w:rsid w:val="00400A99"/>
    <w:rsid w:val="0045258F"/>
    <w:rsid w:val="004A0B3D"/>
    <w:rsid w:val="0051703C"/>
    <w:rsid w:val="005C0E4B"/>
    <w:rsid w:val="007359FB"/>
    <w:rsid w:val="0076311C"/>
    <w:rsid w:val="008630CC"/>
    <w:rsid w:val="00950AD1"/>
    <w:rsid w:val="009E6BCE"/>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64F8"/>
  <w15:chartTrackingRefBased/>
  <w15:docId w15:val="{E0602C0D-F2E8-467E-9406-6DA9CA6F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E8E"/>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046E8E"/>
    <w:pPr>
      <w:keepNext/>
      <w:keepLines/>
      <w:spacing w:before="160"/>
      <w:ind w:left="1134"/>
    </w:pPr>
    <w:rPr>
      <w:i/>
    </w:rPr>
  </w:style>
  <w:style w:type="paragraph" w:customStyle="1" w:styleId="Normalaftertitle">
    <w:name w:val="Normal after title"/>
    <w:basedOn w:val="Normal"/>
    <w:next w:val="Normal"/>
    <w:link w:val="NormalaftertitleChar"/>
    <w:rsid w:val="00046E8E"/>
    <w:pPr>
      <w:spacing w:before="280"/>
    </w:pPr>
  </w:style>
  <w:style w:type="paragraph" w:customStyle="1" w:styleId="Reasons">
    <w:name w:val="Reasons"/>
    <w:basedOn w:val="Normal"/>
    <w:qFormat/>
    <w:rsid w:val="00046E8E"/>
    <w:pPr>
      <w:tabs>
        <w:tab w:val="clear" w:pos="2268"/>
        <w:tab w:val="left" w:pos="1588"/>
        <w:tab w:val="left" w:pos="1985"/>
      </w:tabs>
    </w:pPr>
  </w:style>
  <w:style w:type="paragraph" w:customStyle="1" w:styleId="ResNo">
    <w:name w:val="Res_No"/>
    <w:basedOn w:val="Normal"/>
    <w:next w:val="Normal"/>
    <w:rsid w:val="00046E8E"/>
    <w:pPr>
      <w:keepNext/>
      <w:keepLines/>
      <w:spacing w:before="480"/>
      <w:jc w:val="center"/>
      <w:outlineLvl w:val="0"/>
    </w:pPr>
    <w:rPr>
      <w:caps/>
      <w:sz w:val="28"/>
    </w:rPr>
  </w:style>
  <w:style w:type="paragraph" w:customStyle="1" w:styleId="Restitle">
    <w:name w:val="Res_title"/>
    <w:basedOn w:val="Normal"/>
    <w:next w:val="Normal"/>
    <w:rsid w:val="00046E8E"/>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046E8E"/>
    <w:rPr>
      <w:rFonts w:eastAsia="Times New Roman" w:cs="Times New Roman"/>
      <w:sz w:val="24"/>
      <w:szCs w:val="20"/>
      <w:lang w:val="en-GB"/>
    </w:rPr>
  </w:style>
  <w:style w:type="paragraph" w:styleId="Header">
    <w:name w:val="header"/>
    <w:basedOn w:val="Normal"/>
    <w:link w:val="HeaderChar"/>
    <w:uiPriority w:val="99"/>
    <w:unhideWhenUsed/>
    <w:rsid w:val="00046E8E"/>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046E8E"/>
    <w:rPr>
      <w:rFonts w:eastAsia="Times New Roman" w:cs="Times New Roman"/>
      <w:sz w:val="24"/>
      <w:szCs w:val="20"/>
      <w:lang w:val="en-GB"/>
    </w:rPr>
  </w:style>
  <w:style w:type="paragraph" w:styleId="Footer">
    <w:name w:val="footer"/>
    <w:basedOn w:val="Normal"/>
    <w:link w:val="FooterChar"/>
    <w:uiPriority w:val="99"/>
    <w:unhideWhenUsed/>
    <w:rsid w:val="00046E8E"/>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046E8E"/>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2868</Characters>
  <Application>Microsoft Office Word</Application>
  <DocSecurity>0</DocSecurity>
  <Lines>23</Lines>
  <Paragraphs>6</Paragraphs>
  <ScaleCrop>false</ScaleCrop>
  <Company>ITU</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2023-10-16T12:16:00Z</dcterms:created>
  <dcterms:modified xsi:type="dcterms:W3CDTF">2023-10-16T12:31:00Z</dcterms:modified>
</cp:coreProperties>
</file>