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BB01" w14:textId="77777777" w:rsidR="002A5817" w:rsidRPr="00A55C0D" w:rsidRDefault="002A5817" w:rsidP="002A5817">
      <w:pPr>
        <w:pStyle w:val="ResNo"/>
      </w:pPr>
      <w:bookmarkStart w:id="0" w:name="_Toc116556678"/>
      <w:bookmarkStart w:id="1" w:name="_Toc116557231"/>
      <w:bookmarkStart w:id="2" w:name="_Toc116636474"/>
      <w:r w:rsidRPr="00A55C0D">
        <w:t xml:space="preserve">RESOLUTION </w:t>
      </w:r>
      <w:r w:rsidRPr="00A55C0D">
        <w:rPr>
          <w:rStyle w:val="href"/>
        </w:rPr>
        <w:t>20</w:t>
      </w:r>
      <w:r w:rsidRPr="00A55C0D">
        <w:t xml:space="preserve"> (Rev. Buenos Aires, 2017)</w:t>
      </w:r>
      <w:bookmarkEnd w:id="0"/>
      <w:bookmarkEnd w:id="1"/>
      <w:bookmarkEnd w:id="2"/>
    </w:p>
    <w:p w14:paraId="4DC3D3C7" w14:textId="77777777" w:rsidR="002A5817" w:rsidRPr="00A55C0D" w:rsidRDefault="002A5817" w:rsidP="002A5817">
      <w:pPr>
        <w:pStyle w:val="Restitle"/>
      </w:pPr>
      <w:bookmarkStart w:id="3" w:name="_Toc116556679"/>
      <w:bookmarkStart w:id="4" w:name="_Toc116557232"/>
      <w:bookmarkStart w:id="5" w:name="_Toc116636475"/>
      <w:r w:rsidRPr="00A55C0D">
        <w:t>Non</w:t>
      </w:r>
      <w:r w:rsidRPr="00A55C0D">
        <w:noBreakHyphen/>
        <w:t>discriminatory access to modern telecommunication/</w:t>
      </w:r>
      <w:r w:rsidRPr="00A55C0D">
        <w:br/>
        <w:t xml:space="preserve">information and communication technology facilities, </w:t>
      </w:r>
      <w:r w:rsidRPr="00A55C0D">
        <w:br/>
        <w:t>services and related applications</w:t>
      </w:r>
      <w:bookmarkEnd w:id="3"/>
      <w:bookmarkEnd w:id="4"/>
      <w:bookmarkEnd w:id="5"/>
    </w:p>
    <w:p w14:paraId="6CA05EE5" w14:textId="77777777" w:rsidR="002A5817" w:rsidRPr="00A55C0D" w:rsidRDefault="002A5817" w:rsidP="002A5817">
      <w:pPr>
        <w:pStyle w:val="Normalaftertitle"/>
      </w:pPr>
      <w:r w:rsidRPr="00A55C0D">
        <w:t xml:space="preserve">The World Telecommunication Development Conference (Buenos Aires, 2017), </w:t>
      </w:r>
    </w:p>
    <w:p w14:paraId="5F655CB8" w14:textId="77777777" w:rsidR="002A5817" w:rsidRPr="00A55C0D" w:rsidRDefault="002A5817" w:rsidP="002A5817">
      <w:pPr>
        <w:pStyle w:val="Call"/>
      </w:pPr>
      <w:r w:rsidRPr="00A55C0D">
        <w:t>recalling</w:t>
      </w:r>
    </w:p>
    <w:p w14:paraId="4EA2DD7A" w14:textId="77777777" w:rsidR="002A5817" w:rsidRPr="00A55C0D" w:rsidRDefault="002A5817" w:rsidP="002A5817">
      <w:r w:rsidRPr="00A55C0D">
        <w:rPr>
          <w:i/>
          <w:iCs/>
        </w:rPr>
        <w:t>a)</w:t>
      </w:r>
      <w:r w:rsidRPr="00A55C0D">
        <w:tab/>
        <w:t>Resolution 102 (Rev. Busan, 2014) of the Plenipotentiary Conference;</w:t>
      </w:r>
    </w:p>
    <w:p w14:paraId="59177AF8" w14:textId="77777777" w:rsidR="002A5817" w:rsidRPr="00A55C0D" w:rsidRDefault="002A5817" w:rsidP="002A5817">
      <w:r w:rsidRPr="00A55C0D">
        <w:rPr>
          <w:i/>
          <w:iCs/>
        </w:rPr>
        <w:t>b)</w:t>
      </w:r>
      <w:r w:rsidRPr="00A55C0D">
        <w:tab/>
        <w:t>Resolution 64 (Rev. Busan, 2014) of the Plenipotentiary Conference, on non-discriminatory access to modern telecommunication/information and communication technology (ICT) facilities, services and applications, including applied research and transfer of technology, and e</w:t>
      </w:r>
      <w:r w:rsidRPr="00A55C0D">
        <w:noBreakHyphen/>
        <w:t>meetings, on mutually agreed terms;</w:t>
      </w:r>
    </w:p>
    <w:p w14:paraId="74D55A47" w14:textId="77777777" w:rsidR="002A5817" w:rsidRPr="00A55C0D" w:rsidRDefault="002A5817" w:rsidP="002A5817">
      <w:r w:rsidRPr="00A55C0D">
        <w:rPr>
          <w:i/>
          <w:iCs/>
        </w:rPr>
        <w:t>c)</w:t>
      </w:r>
      <w:r w:rsidRPr="00A55C0D">
        <w:rPr>
          <w:i/>
          <w:iCs/>
        </w:rPr>
        <w:tab/>
      </w:r>
      <w:r w:rsidRPr="00A55C0D">
        <w:t xml:space="preserve">Resolution 69 (Rev. Hammamet, 2016) of the World Telecommunication Standardization Assembly, on non-discriminatory access and use of Internet resources and telecommunications/ICTs, </w:t>
      </w:r>
    </w:p>
    <w:p w14:paraId="37F53BFF" w14:textId="77777777" w:rsidR="002A5817" w:rsidRPr="00A55C0D" w:rsidRDefault="002A5817" w:rsidP="002A5817">
      <w:pPr>
        <w:pStyle w:val="Call"/>
        <w:rPr>
          <w:i w:val="0"/>
          <w:iCs/>
        </w:rPr>
      </w:pPr>
      <w:r w:rsidRPr="00A55C0D">
        <w:rPr>
          <w:iCs/>
        </w:rPr>
        <w:t>recalling also</w:t>
      </w:r>
    </w:p>
    <w:p w14:paraId="560B762F" w14:textId="77777777" w:rsidR="002A5817" w:rsidRPr="00A55C0D" w:rsidRDefault="002A5817" w:rsidP="002A5817">
      <w:r w:rsidRPr="00A55C0D">
        <w:rPr>
          <w:i/>
          <w:iCs/>
        </w:rPr>
        <w:t>a)</w:t>
      </w:r>
      <w:r w:rsidRPr="00A55C0D">
        <w:tab/>
        <w:t>the decisions of the two phases of the World Summit on the Information Society (WSIS) concerning non-discriminatory access, in particular §§ 15, 18 and 19 of the Tunis Commitment and §§ 90 and 107 of the Tunis Agenda for the Information Society;</w:t>
      </w:r>
    </w:p>
    <w:p w14:paraId="10C1CD08" w14:textId="77777777" w:rsidR="002A5817" w:rsidRPr="00A55C0D" w:rsidRDefault="002A5817" w:rsidP="002A5817">
      <w:r w:rsidRPr="00A55C0D">
        <w:rPr>
          <w:i/>
          <w:iCs/>
        </w:rPr>
        <w:t>b)</w:t>
      </w:r>
      <w:r w:rsidRPr="00A55C0D">
        <w:tab/>
      </w:r>
      <w:r w:rsidRPr="00A55C0D">
        <w:rPr>
          <w:szCs w:val="22"/>
        </w:rPr>
        <w:t>United Nations General Assembly (UNGA) Resolution 70/1, on transforming our world: the 2030 Agenda for Sustainable Development;</w:t>
      </w:r>
    </w:p>
    <w:p w14:paraId="75E36B38" w14:textId="77777777" w:rsidR="002A5817" w:rsidRPr="00A55C0D" w:rsidRDefault="002A5817" w:rsidP="002A5817">
      <w:r w:rsidRPr="00A55C0D">
        <w:rPr>
          <w:i/>
          <w:iCs/>
        </w:rPr>
        <w:t>c)</w:t>
      </w:r>
      <w:r w:rsidRPr="00A55C0D">
        <w:tab/>
        <w:t xml:space="preserve">UNGA Resolution 70/125, on the outcome document of the high-level meeting of the General Assembly on the overall review of the implementation of the WSIS outcomes; </w:t>
      </w:r>
    </w:p>
    <w:p w14:paraId="30952FD7" w14:textId="77777777" w:rsidR="002A5817" w:rsidRPr="00A55C0D" w:rsidRDefault="002A5817" w:rsidP="002A5817">
      <w:r w:rsidRPr="00A55C0D">
        <w:rPr>
          <w:i/>
          <w:iCs/>
        </w:rPr>
        <w:t>d)</w:t>
      </w:r>
      <w:r w:rsidRPr="00A55C0D">
        <w:tab/>
      </w:r>
      <w:r w:rsidRPr="00A55C0D">
        <w:rPr>
          <w:rFonts w:eastAsia="Calibri" w:cs="Arial"/>
          <w:szCs w:val="24"/>
        </w:rPr>
        <w:t>the WSIS+10 Statement on the implementation of WSIS outcomes and WSIS+10 vision for WSIS beyond 2015, adopted at the ITU-coordinated WSIS+10 High-Level Event (Geneva, 2014) and endorsed by the Plenipotentiary Conference (Busan, 2014), which was submitted as an input into the UNGA overall review of WSIS,</w:t>
      </w:r>
    </w:p>
    <w:p w14:paraId="6659258B" w14:textId="77777777" w:rsidR="002A5817" w:rsidRPr="00A55C0D" w:rsidRDefault="002A5817" w:rsidP="002A58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</w:rPr>
      </w:pPr>
      <w:r w:rsidRPr="00A55C0D">
        <w:br w:type="page"/>
      </w:r>
    </w:p>
    <w:p w14:paraId="0502288E" w14:textId="77777777" w:rsidR="002A5817" w:rsidRPr="00A55C0D" w:rsidRDefault="002A5817" w:rsidP="002A5817">
      <w:pPr>
        <w:pStyle w:val="Call"/>
      </w:pPr>
      <w:r w:rsidRPr="00A55C0D">
        <w:lastRenderedPageBreak/>
        <w:t>taking into account</w:t>
      </w:r>
    </w:p>
    <w:p w14:paraId="3EDA8802" w14:textId="77777777" w:rsidR="002A5817" w:rsidRPr="00A55C0D" w:rsidRDefault="002A5817" w:rsidP="002A5817">
      <w:r w:rsidRPr="00A55C0D">
        <w:rPr>
          <w:i/>
          <w:iCs/>
        </w:rPr>
        <w:t>a)</w:t>
      </w:r>
      <w:r w:rsidRPr="00A55C0D">
        <w:tab/>
        <w:t>that ITU plays an important role in the promotion of global telecommunication/ICT standardization and development;</w:t>
      </w:r>
    </w:p>
    <w:p w14:paraId="60A085F2" w14:textId="77777777" w:rsidR="002A5817" w:rsidRPr="00A55C0D" w:rsidRDefault="002A5817" w:rsidP="002A5817">
      <w:r w:rsidRPr="00A55C0D">
        <w:rPr>
          <w:i/>
          <w:iCs/>
        </w:rPr>
        <w:t>b)</w:t>
      </w:r>
      <w:r w:rsidRPr="00A55C0D">
        <w:tab/>
        <w:t>that, to this end, the Union coordinates efforts aimed at securing harmonious development of telecommunication/ICT facilities in all its Member States,</w:t>
      </w:r>
    </w:p>
    <w:p w14:paraId="093F9139" w14:textId="77777777" w:rsidR="002A5817" w:rsidRPr="00A55C0D" w:rsidRDefault="002A5817" w:rsidP="002A5817">
      <w:pPr>
        <w:pStyle w:val="Call"/>
      </w:pPr>
      <w:r w:rsidRPr="00A55C0D">
        <w:t>taking into account further</w:t>
      </w:r>
    </w:p>
    <w:p w14:paraId="66B2F84B" w14:textId="77777777" w:rsidR="002A5817" w:rsidRPr="00A55C0D" w:rsidRDefault="002A5817" w:rsidP="002A5817">
      <w:r w:rsidRPr="00A55C0D">
        <w:t>that this conference, like its predecessors, is required to formulate a viewpoint and draw up proposals on issues determining a worldwide strategy for the development of telecommunication/ICT facilities, services and applications, and facilitate mobilization of the necessary resources to that end,</w:t>
      </w:r>
    </w:p>
    <w:p w14:paraId="7AEC451C" w14:textId="77777777" w:rsidR="002A5817" w:rsidRPr="00A55C0D" w:rsidRDefault="002A5817" w:rsidP="002A5817">
      <w:pPr>
        <w:pStyle w:val="Call"/>
      </w:pPr>
      <w:r w:rsidRPr="00A55C0D">
        <w:t>noting</w:t>
      </w:r>
    </w:p>
    <w:p w14:paraId="55244AA4" w14:textId="77777777" w:rsidR="002A5817" w:rsidRPr="00A55C0D" w:rsidRDefault="002A5817" w:rsidP="002A5817">
      <w:r w:rsidRPr="00A55C0D">
        <w:rPr>
          <w:i/>
          <w:iCs/>
        </w:rPr>
        <w:t>a)</w:t>
      </w:r>
      <w:r w:rsidRPr="00A55C0D">
        <w:tab/>
        <w:t>that modern telecommunication/ICT facilities, services and applications are established, in the main, on the basis of Recommendations of the ITU Radiocommunication (ITU</w:t>
      </w:r>
      <w:r w:rsidRPr="00A55C0D">
        <w:noBreakHyphen/>
        <w:t>R) and ITU Telecommunication Standardization (ITU</w:t>
      </w:r>
      <w:r w:rsidRPr="00A55C0D">
        <w:noBreakHyphen/>
        <w:t>T) Sectors;</w:t>
      </w:r>
    </w:p>
    <w:p w14:paraId="6C505F00" w14:textId="77777777" w:rsidR="002A5817" w:rsidRPr="00A55C0D" w:rsidRDefault="002A5817" w:rsidP="002A5817">
      <w:r w:rsidRPr="00A55C0D">
        <w:rPr>
          <w:i/>
          <w:iCs/>
        </w:rPr>
        <w:t>b)</w:t>
      </w:r>
      <w:r w:rsidRPr="00A55C0D">
        <w:tab/>
        <w:t>that ITU</w:t>
      </w:r>
      <w:r w:rsidRPr="00A55C0D">
        <w:noBreakHyphen/>
        <w:t>R and ITU</w:t>
      </w:r>
      <w:r w:rsidRPr="00A55C0D">
        <w:noBreakHyphen/>
        <w:t>T Recommendations are the result of the collective efforts of all those taking part in the standardization process within ITU and are adopted by consensus by the members of the Union;</w:t>
      </w:r>
    </w:p>
    <w:p w14:paraId="625972A4" w14:textId="77777777" w:rsidR="002A5817" w:rsidRPr="00A55C0D" w:rsidRDefault="002A5817" w:rsidP="002A5817">
      <w:r w:rsidRPr="00A55C0D">
        <w:rPr>
          <w:i/>
          <w:iCs/>
        </w:rPr>
        <w:t>c)</w:t>
      </w:r>
      <w:r w:rsidRPr="00A55C0D">
        <w:tab/>
        <w:t>that limitations on access to the telecommunication/ICT facilities, services and applications on which national telecommunication/ICT development depends and which are established on the basis of ITU</w:t>
      </w:r>
      <w:r w:rsidRPr="00A55C0D">
        <w:noBreakHyphen/>
        <w:t>R and ITU</w:t>
      </w:r>
      <w:r w:rsidRPr="00A55C0D">
        <w:noBreakHyphen/>
        <w:t>T Recommendations constitute an obstacle to the harmonious development and compatibility of telecommunications/ICTs worldwide,</w:t>
      </w:r>
    </w:p>
    <w:p w14:paraId="1C8FF04C" w14:textId="77777777" w:rsidR="002A5817" w:rsidRPr="00A55C0D" w:rsidRDefault="002A5817" w:rsidP="002A5817">
      <w:pPr>
        <w:pStyle w:val="Call"/>
      </w:pPr>
      <w:r w:rsidRPr="00A55C0D">
        <w:t>recognizing</w:t>
      </w:r>
    </w:p>
    <w:p w14:paraId="59024A9B" w14:textId="77777777" w:rsidR="002A5817" w:rsidRPr="00A55C0D" w:rsidRDefault="002A5817" w:rsidP="002A5817">
      <w:r w:rsidRPr="00A55C0D">
        <w:t>that full harmonization of telecommunication/ICT networks is impossible unless all countries participating in the work of the Union without exception enjoy non-discriminatory access to new telecommunication/ICT technologies and modern telecommunication/ICT facilities, services and applications, without prejudice to national regulations and international commitments within the competence of other international organizations,</w:t>
      </w:r>
    </w:p>
    <w:p w14:paraId="47F50296" w14:textId="77777777" w:rsidR="002A5817" w:rsidRPr="00A55C0D" w:rsidRDefault="002A5817" w:rsidP="002A58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</w:rPr>
      </w:pPr>
      <w:r w:rsidRPr="00A55C0D">
        <w:br w:type="page"/>
      </w:r>
    </w:p>
    <w:p w14:paraId="1D710C03" w14:textId="77777777" w:rsidR="002A5817" w:rsidRPr="00A55C0D" w:rsidRDefault="002A5817" w:rsidP="002A5817">
      <w:pPr>
        <w:pStyle w:val="Call"/>
      </w:pPr>
      <w:r w:rsidRPr="00A55C0D">
        <w:lastRenderedPageBreak/>
        <w:t>resolves</w:t>
      </w:r>
    </w:p>
    <w:p w14:paraId="14E68890" w14:textId="77777777" w:rsidR="002A5817" w:rsidRPr="00A55C0D" w:rsidRDefault="002A5817" w:rsidP="002A5817">
      <w:r w:rsidRPr="00A55C0D">
        <w:t>that there should be non-discriminatory access to telecommunication/ICT facilities, services and applications established on the basis of ITU</w:t>
      </w:r>
      <w:r w:rsidRPr="00A55C0D">
        <w:noBreakHyphen/>
        <w:t>R and ITU</w:t>
      </w:r>
      <w:r w:rsidRPr="00A55C0D">
        <w:noBreakHyphen/>
        <w:t>T Recommendations,</w:t>
      </w:r>
    </w:p>
    <w:p w14:paraId="6B11BC00" w14:textId="77777777" w:rsidR="002A5817" w:rsidRPr="00A55C0D" w:rsidRDefault="002A5817" w:rsidP="002A5817">
      <w:pPr>
        <w:pStyle w:val="Call"/>
      </w:pPr>
      <w:r w:rsidRPr="00A55C0D">
        <w:t>encourages the Director of the Telecommunication Development Bureau</w:t>
      </w:r>
    </w:p>
    <w:p w14:paraId="226634FA" w14:textId="77777777" w:rsidR="002A5817" w:rsidRPr="00A55C0D" w:rsidRDefault="002A5817" w:rsidP="002A5817">
      <w:r w:rsidRPr="00A55C0D">
        <w:t>to engage in partnerships or strategic cooperation with parties which respect access to telecommunication/ICT facilities, services and applications without discrimination,</w:t>
      </w:r>
    </w:p>
    <w:p w14:paraId="460B20BA" w14:textId="77777777" w:rsidR="002A5817" w:rsidRPr="00A55C0D" w:rsidRDefault="002A5817" w:rsidP="002A5817">
      <w:pPr>
        <w:pStyle w:val="Call"/>
      </w:pPr>
      <w:r w:rsidRPr="00A55C0D">
        <w:t>requests the Secretary-General</w:t>
      </w:r>
    </w:p>
    <w:p w14:paraId="33F36B78" w14:textId="77777777" w:rsidR="002A5817" w:rsidRPr="00A55C0D" w:rsidRDefault="002A5817" w:rsidP="002A5817">
      <w:r w:rsidRPr="00A55C0D">
        <w:t>to transmit this resolution to the forthcoming plenipotentiary conference for consideration,</w:t>
      </w:r>
    </w:p>
    <w:p w14:paraId="1C6EA3A7" w14:textId="77777777" w:rsidR="002A5817" w:rsidRPr="00A55C0D" w:rsidRDefault="002A5817" w:rsidP="002A5817">
      <w:pPr>
        <w:pStyle w:val="Call"/>
      </w:pPr>
      <w:r w:rsidRPr="00A55C0D">
        <w:t>invites the Plenipotentiary Conference</w:t>
      </w:r>
    </w:p>
    <w:p w14:paraId="5B88F4F7" w14:textId="77777777" w:rsidR="002A5817" w:rsidRPr="00A55C0D" w:rsidRDefault="002A5817" w:rsidP="002A5817">
      <w:r w:rsidRPr="00A55C0D">
        <w:t>to consider this resolution with a view to taking measures to foster global access to modern telecommunication/ICT facilities, services and applications,</w:t>
      </w:r>
    </w:p>
    <w:p w14:paraId="302A8385" w14:textId="77777777" w:rsidR="002A5817" w:rsidRPr="00A55C0D" w:rsidRDefault="002A5817" w:rsidP="002A5817">
      <w:pPr>
        <w:pStyle w:val="Call"/>
      </w:pPr>
      <w:r w:rsidRPr="00A55C0D">
        <w:t>invites Member States</w:t>
      </w:r>
    </w:p>
    <w:p w14:paraId="6A044C59" w14:textId="77777777" w:rsidR="002A5817" w:rsidRPr="00A55C0D" w:rsidRDefault="002A5817" w:rsidP="002A5817">
      <w:r w:rsidRPr="00A55C0D">
        <w:t>1</w:t>
      </w:r>
      <w:r w:rsidRPr="00A55C0D">
        <w:tab/>
        <w:t xml:space="preserve">to refrain from taking any unilateral and/or discriminatory actions that could impede technically another Member State from having full access to the Internet </w:t>
      </w:r>
      <w:r w:rsidRPr="00A55C0D">
        <w:rPr>
          <w:bCs/>
        </w:rPr>
        <w:t>within the spirit of Article 1 of the ITU Constitution and the WSIS principles;</w:t>
      </w:r>
    </w:p>
    <w:p w14:paraId="41F1D3AA" w14:textId="77777777" w:rsidR="002A5817" w:rsidRPr="00A55C0D" w:rsidRDefault="002A5817" w:rsidP="002A5817">
      <w:r w:rsidRPr="00A55C0D">
        <w:t>2</w:t>
      </w:r>
      <w:r w:rsidRPr="00A55C0D">
        <w:tab/>
        <w:t>to help telecommunication/ICT equipment manufacturers</w:t>
      </w:r>
      <w:r w:rsidRPr="00A55C0D">
        <w:rPr>
          <w:b/>
        </w:rPr>
        <w:t xml:space="preserve"> </w:t>
      </w:r>
      <w:r w:rsidRPr="00A55C0D">
        <w:t>and service providers in ensuring that telecommunication/ICT facilities, services and applications established on the basis of ITU</w:t>
      </w:r>
      <w:r w:rsidRPr="00A55C0D">
        <w:noBreakHyphen/>
        <w:t>R and ITU</w:t>
      </w:r>
      <w:r w:rsidRPr="00A55C0D">
        <w:noBreakHyphen/>
        <w:t>T Recommendations are made available for the use of the public without any discrimination, in accordance with the WSIS outcomes.</w:t>
      </w:r>
    </w:p>
    <w:p w14:paraId="7551F8B8" w14:textId="77777777" w:rsidR="002A5817" w:rsidRPr="00A55C0D" w:rsidRDefault="002A5817" w:rsidP="002A5817">
      <w:pPr>
        <w:pStyle w:val="Reasons"/>
      </w:pPr>
    </w:p>
    <w:p w14:paraId="64BFB47C" w14:textId="77777777" w:rsidR="002A5817" w:rsidRPr="00A55C0D" w:rsidRDefault="002A5817" w:rsidP="002A5817">
      <w:pPr>
        <w:pStyle w:val="Reasons"/>
      </w:pPr>
    </w:p>
    <w:p w14:paraId="297BECD0" w14:textId="77777777" w:rsidR="002A5817" w:rsidRPr="00A55C0D" w:rsidRDefault="002A5817" w:rsidP="002A5817">
      <w:pPr>
        <w:pStyle w:val="Reasons"/>
      </w:pPr>
    </w:p>
    <w:p w14:paraId="50CE0950" w14:textId="77777777" w:rsidR="00542A8B" w:rsidRDefault="00542A8B"/>
    <w:sectPr w:rsidR="00542A8B" w:rsidSect="00B15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20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99BB" w14:textId="77777777" w:rsidR="00B15D34" w:rsidRDefault="00B15D34" w:rsidP="00B15D34">
      <w:pPr>
        <w:spacing w:before="0"/>
      </w:pPr>
      <w:r>
        <w:separator/>
      </w:r>
    </w:p>
  </w:endnote>
  <w:endnote w:type="continuationSeparator" w:id="0">
    <w:p w14:paraId="21175FAD" w14:textId="77777777" w:rsidR="00B15D34" w:rsidRDefault="00B15D34" w:rsidP="00B15D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0DCA" w14:textId="77777777" w:rsidR="00B15D34" w:rsidRDefault="00B15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0E60" w14:textId="77777777" w:rsidR="00B15D34" w:rsidRDefault="00B15D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7594" w14:textId="77777777" w:rsidR="00B15D34" w:rsidRDefault="00B15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759" w14:textId="77777777" w:rsidR="00B15D34" w:rsidRDefault="00B15D34" w:rsidP="00B15D34">
      <w:pPr>
        <w:spacing w:before="0"/>
      </w:pPr>
      <w:r>
        <w:separator/>
      </w:r>
    </w:p>
  </w:footnote>
  <w:footnote w:type="continuationSeparator" w:id="0">
    <w:p w14:paraId="73473AD4" w14:textId="77777777" w:rsidR="00B15D34" w:rsidRDefault="00B15D34" w:rsidP="00B15D3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97600548"/>
      <w:docPartObj>
        <w:docPartGallery w:val="Page Numbers (Top of Page)"/>
        <w:docPartUnique/>
      </w:docPartObj>
    </w:sdtPr>
    <w:sdtContent>
      <w:p w14:paraId="5388BFDD" w14:textId="241E598C" w:rsidR="00B15D34" w:rsidRPr="00B15D34" w:rsidRDefault="00B15D34" w:rsidP="00B15D34">
        <w:pPr>
          <w:pStyle w:val="Header"/>
          <w:tabs>
            <w:tab w:val="clear" w:pos="4513"/>
            <w:tab w:val="clear" w:pos="9026"/>
            <w:tab w:val="left" w:pos="567"/>
            <w:tab w:val="right" w:pos="9072"/>
            <w:tab w:val="right" w:pos="9639"/>
          </w:tabs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690486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713E5A">
          <w:rPr>
            <w:noProof/>
            <w:sz w:val="16"/>
            <w:szCs w:val="16"/>
          </w:rPr>
          <w:fldChar w:fldCharType="end"/>
        </w:r>
        <w:r w:rsidRPr="00690486">
          <w:rPr>
            <w:sz w:val="16"/>
            <w:szCs w:val="16"/>
          </w:rPr>
          <w:tab/>
        </w:r>
        <w:r w:rsidRPr="00FE7DF3">
          <w:rPr>
            <w:sz w:val="16"/>
            <w:szCs w:val="16"/>
          </w:rPr>
          <w:t>WTDC-22 Final Report – Part I</w:t>
        </w:r>
        <w:r>
          <w:rPr>
            <w:sz w:val="16"/>
            <w:szCs w:val="16"/>
          </w:rPr>
          <w:t>V</w:t>
        </w:r>
        <w:r w:rsidRPr="00FE7DF3">
          <w:rPr>
            <w:sz w:val="16"/>
            <w:szCs w:val="16"/>
          </w:rPr>
          <w:t xml:space="preserve"> –</w:t>
        </w:r>
        <w:r>
          <w:rPr>
            <w:sz w:val="16"/>
            <w:szCs w:val="16"/>
          </w:rPr>
          <w:t> </w:t>
        </w:r>
        <w:r w:rsidRPr="00D77DFB">
          <w:rPr>
            <w:sz w:val="16"/>
            <w:szCs w:val="16"/>
          </w:rPr>
          <w:t>Resolution</w:t>
        </w:r>
        <w:r w:rsidRPr="00642CD3">
          <w:rPr>
            <w:sz w:val="16"/>
            <w:szCs w:val="16"/>
          </w:rPr>
          <w:t xml:space="preserve"> </w:t>
        </w:r>
        <w:r w:rsidRPr="00642CD3">
          <w:rPr>
            <w:sz w:val="16"/>
            <w:szCs w:val="16"/>
          </w:rPr>
          <w:fldChar w:fldCharType="begin"/>
        </w:r>
        <w:r w:rsidRPr="00642CD3">
          <w:rPr>
            <w:sz w:val="16"/>
            <w:szCs w:val="16"/>
          </w:rPr>
          <w:instrText>styleref href</w:instrText>
        </w:r>
        <w:r w:rsidRPr="00642CD3">
          <w:rPr>
            <w:sz w:val="16"/>
            <w:szCs w:val="16"/>
          </w:rPr>
          <w:fldChar w:fldCharType="separate"/>
        </w:r>
        <w:r w:rsidR="003B19EB">
          <w:rPr>
            <w:noProof/>
            <w:sz w:val="16"/>
            <w:szCs w:val="16"/>
          </w:rPr>
          <w:t>20</w:t>
        </w:r>
        <w:r w:rsidRPr="00642CD3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184163509"/>
      <w:docPartObj>
        <w:docPartGallery w:val="Page Numbers (Top of Page)"/>
        <w:docPartUnique/>
      </w:docPartObj>
    </w:sdtPr>
    <w:sdtContent>
      <w:p w14:paraId="5B6E3B5B" w14:textId="236D4C7D" w:rsidR="00B15D34" w:rsidRPr="00B15D34" w:rsidRDefault="00B15D34" w:rsidP="00B15D34">
        <w:pPr>
          <w:pStyle w:val="Header"/>
          <w:tabs>
            <w:tab w:val="clear" w:pos="4513"/>
            <w:tab w:val="clear" w:pos="9026"/>
            <w:tab w:val="left" w:pos="567"/>
            <w:tab w:val="right" w:pos="9072"/>
            <w:tab w:val="right" w:pos="9639"/>
          </w:tabs>
          <w:jc w:val="left"/>
          <w:rPr>
            <w:sz w:val="16"/>
            <w:szCs w:val="16"/>
          </w:rPr>
        </w:pPr>
        <w:r w:rsidRPr="00690486"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FE7DF3">
          <w:rPr>
            <w:sz w:val="16"/>
            <w:szCs w:val="16"/>
          </w:rPr>
          <w:t>WTDC-22 Final Report – Part I</w:t>
        </w:r>
        <w:r>
          <w:rPr>
            <w:sz w:val="16"/>
            <w:szCs w:val="16"/>
          </w:rPr>
          <w:t>V</w:t>
        </w:r>
        <w:r w:rsidRPr="00FE7DF3">
          <w:rPr>
            <w:sz w:val="16"/>
            <w:szCs w:val="16"/>
          </w:rPr>
          <w:t xml:space="preserve"> –</w:t>
        </w:r>
        <w:r>
          <w:rPr>
            <w:sz w:val="16"/>
            <w:szCs w:val="16"/>
          </w:rPr>
          <w:t> </w:t>
        </w:r>
        <w:r w:rsidRPr="00D77DFB">
          <w:rPr>
            <w:sz w:val="16"/>
            <w:szCs w:val="16"/>
          </w:rPr>
          <w:t>Resolution</w:t>
        </w:r>
        <w:r w:rsidRPr="00642CD3">
          <w:rPr>
            <w:sz w:val="16"/>
            <w:szCs w:val="16"/>
          </w:rPr>
          <w:t xml:space="preserve"> </w:t>
        </w:r>
        <w:r w:rsidRPr="00642CD3">
          <w:rPr>
            <w:sz w:val="16"/>
            <w:szCs w:val="16"/>
          </w:rPr>
          <w:fldChar w:fldCharType="begin"/>
        </w:r>
        <w:r w:rsidRPr="00642CD3">
          <w:rPr>
            <w:sz w:val="16"/>
            <w:szCs w:val="16"/>
          </w:rPr>
          <w:instrText>styleref href</w:instrText>
        </w:r>
        <w:r w:rsidRPr="00642CD3">
          <w:rPr>
            <w:sz w:val="16"/>
            <w:szCs w:val="16"/>
          </w:rPr>
          <w:fldChar w:fldCharType="separate"/>
        </w:r>
        <w:r w:rsidR="003B19EB">
          <w:rPr>
            <w:noProof/>
            <w:sz w:val="16"/>
            <w:szCs w:val="16"/>
          </w:rPr>
          <w:t>20</w:t>
        </w:r>
        <w:r w:rsidRPr="00642CD3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713E5A">
          <w:rPr>
            <w:sz w:val="16"/>
            <w:szCs w:val="16"/>
          </w:rPr>
          <w:fldChar w:fldCharType="begin"/>
        </w:r>
        <w:r w:rsidRPr="00690486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219</w:t>
        </w:r>
        <w:r w:rsidRPr="00713E5A">
          <w:rPr>
            <w:noProof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03F5" w14:textId="77777777" w:rsidR="00B15D34" w:rsidRDefault="00B15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17"/>
    <w:rsid w:val="00064051"/>
    <w:rsid w:val="002A5817"/>
    <w:rsid w:val="003B19EB"/>
    <w:rsid w:val="00542A8B"/>
    <w:rsid w:val="00566FD7"/>
    <w:rsid w:val="00B15D34"/>
    <w:rsid w:val="00D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A98D3"/>
  <w14:defaultImageDpi w14:val="32767"/>
  <w15:chartTrackingRefBased/>
  <w15:docId w15:val="{FEBBC21F-D253-4EED-A008-79AA0D50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1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2A5817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2A5817"/>
    <w:pPr>
      <w:spacing w:before="280"/>
    </w:pPr>
  </w:style>
  <w:style w:type="paragraph" w:customStyle="1" w:styleId="Reasons">
    <w:name w:val="Reasons"/>
    <w:basedOn w:val="Normal"/>
    <w:qFormat/>
    <w:rsid w:val="002A5817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2A5817"/>
    <w:pPr>
      <w:spacing w:before="200"/>
      <w:ind w:left="1134" w:hanging="1134"/>
      <w:jc w:val="center"/>
    </w:pPr>
    <w:rPr>
      <w:rFonts w:asciiTheme="minorHAnsi" w:eastAsia="Times New Roman" w:hAnsiTheme="minorHAns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2A5817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Theme="minorHAnsi" w:eastAsia="Times New Roman" w:hAnsiTheme="minorHAnsi" w:cs="Times New Roman"/>
      <w:b/>
      <w:color w:val="auto"/>
      <w:sz w:val="28"/>
      <w:szCs w:val="20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2A5817"/>
    <w:rPr>
      <w:rFonts w:eastAsia="Times New Roman" w:cs="Times New Roman"/>
      <w:kern w:val="0"/>
      <w:sz w:val="24"/>
      <w:szCs w:val="20"/>
      <w14:ligatures w14:val="none"/>
    </w:rPr>
  </w:style>
  <w:style w:type="character" w:customStyle="1" w:styleId="href">
    <w:name w:val="href"/>
    <w:basedOn w:val="DefaultParagraphFont"/>
    <w:rsid w:val="002A5817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2A5817"/>
    <w:rPr>
      <w:rFonts w:eastAsia="Times New Roman" w:cs="Times New Roman"/>
      <w:i/>
      <w:kern w:val="0"/>
      <w:sz w:val="24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2A5817"/>
    <w:rPr>
      <w:rFonts w:eastAsia="Times New Roman" w:cs="Times New Roman"/>
      <w:b/>
      <w:kern w:val="0"/>
      <w:sz w:val="28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2A5817"/>
    <w:rPr>
      <w:rFonts w:eastAsia="Times New Roman" w:cs="Times New Roman"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81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1"/>
    <w:unhideWhenUsed/>
    <w:rsid w:val="00B15D34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15D34"/>
    <w:rPr>
      <w:rFonts w:eastAsia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5D34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15D34"/>
    <w:rPr>
      <w:rFonts w:eastAsia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4174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 (Rev. Buenos Aires, 2017)</dc:title>
  <dc:subject/>
  <dc:creator>Gachet, Christelle</dc:creator>
  <cp:keywords/>
  <dc:description/>
  <cp:lastModifiedBy>Gachet, Christelle</cp:lastModifiedBy>
  <cp:revision>5</cp:revision>
  <cp:lastPrinted>2023-10-16T12:35:00Z</cp:lastPrinted>
  <dcterms:created xsi:type="dcterms:W3CDTF">2023-10-16T12:33:00Z</dcterms:created>
  <dcterms:modified xsi:type="dcterms:W3CDTF">2023-10-16T12:36:00Z</dcterms:modified>
</cp:coreProperties>
</file>