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BEB34" w14:textId="77777777" w:rsidR="00650AC3" w:rsidRPr="003A2A2A" w:rsidRDefault="00650AC3" w:rsidP="00650AC3">
      <w:pPr>
        <w:pStyle w:val="ResNo"/>
        <w:rPr>
          <w:rtl/>
        </w:rPr>
      </w:pPr>
      <w:bookmarkStart w:id="0" w:name="_Toc116546812"/>
      <w:r w:rsidRPr="003A2A2A">
        <w:rPr>
          <w:rFonts w:hint="cs"/>
          <w:rtl/>
        </w:rPr>
        <w:t xml:space="preserve">القـرار </w:t>
      </w:r>
      <w:r w:rsidRPr="003A2A2A">
        <w:rPr>
          <w:rFonts w:cs="Calibri"/>
        </w:rPr>
        <w:t>20</w:t>
      </w:r>
      <w:r w:rsidRPr="003A2A2A">
        <w:rPr>
          <w:rFonts w:hint="cs"/>
          <w:rtl/>
        </w:rPr>
        <w:t xml:space="preserve"> (المراجَع في</w:t>
      </w:r>
      <w:r w:rsidRPr="003A2A2A">
        <w:rPr>
          <w:rFonts w:hint="eastAsia"/>
          <w:rtl/>
        </w:rPr>
        <w:t xml:space="preserve"> بوينس آيرس، </w:t>
      </w:r>
      <w:r w:rsidRPr="003A2A2A">
        <w:rPr>
          <w:rFonts w:cs="Calibri"/>
        </w:rPr>
        <w:t>2017</w:t>
      </w:r>
      <w:r w:rsidRPr="003A2A2A">
        <w:rPr>
          <w:rFonts w:hint="cs"/>
          <w:rtl/>
        </w:rPr>
        <w:t>)</w:t>
      </w:r>
      <w:bookmarkEnd w:id="0"/>
    </w:p>
    <w:p w14:paraId="3C7B1869" w14:textId="77777777" w:rsidR="00650AC3" w:rsidRPr="003A2A2A" w:rsidRDefault="00650AC3" w:rsidP="00650AC3">
      <w:pPr>
        <w:pStyle w:val="Restitle"/>
        <w:rPr>
          <w:rtl/>
        </w:rPr>
      </w:pPr>
      <w:bookmarkStart w:id="1" w:name="_Toc116546813"/>
      <w:r w:rsidRPr="003A2A2A">
        <w:rPr>
          <w:rFonts w:hint="eastAsia"/>
          <w:rtl/>
        </w:rPr>
        <w:t>النفاذ على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أساس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غير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تمييزي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إلى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وسائل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الاتصالات</w:t>
      </w:r>
      <w:r w:rsidRPr="003A2A2A">
        <w:rPr>
          <w:rtl/>
        </w:rPr>
        <w:t>/</w:t>
      </w:r>
      <w:r w:rsidRPr="003A2A2A">
        <w:rPr>
          <w:rFonts w:hint="eastAsia"/>
          <w:rtl/>
        </w:rPr>
        <w:t>تكنولوجيا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المعلومات</w:t>
      </w:r>
      <w:r w:rsidRPr="003A2A2A">
        <w:rPr>
          <w:rtl/>
        </w:rPr>
        <w:br/>
      </w:r>
      <w:r w:rsidRPr="003A2A2A">
        <w:rPr>
          <w:rFonts w:hint="eastAsia"/>
          <w:rtl/>
        </w:rPr>
        <w:t>والاتصالات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الحديثة</w:t>
      </w:r>
      <w:r w:rsidRPr="003A2A2A">
        <w:rPr>
          <w:rFonts w:hint="cs"/>
          <w:rtl/>
        </w:rPr>
        <w:t xml:space="preserve"> </w:t>
      </w:r>
      <w:r w:rsidRPr="003A2A2A">
        <w:rPr>
          <w:rFonts w:hint="eastAsia"/>
          <w:rtl/>
        </w:rPr>
        <w:t>وخدماتها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وما يتصل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بها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تطبيقات</w:t>
      </w:r>
      <w:bookmarkEnd w:id="1"/>
    </w:p>
    <w:p w14:paraId="59644AE9" w14:textId="77777777" w:rsidR="00650AC3" w:rsidRPr="003A2A2A" w:rsidRDefault="00650AC3" w:rsidP="00650AC3">
      <w:pPr>
        <w:pStyle w:val="Normalaftertitle"/>
        <w:rPr>
          <w:rtl/>
        </w:rPr>
      </w:pPr>
      <w:r w:rsidRPr="003A2A2A">
        <w:rPr>
          <w:rFonts w:hint="cs"/>
          <w:rtl/>
        </w:rPr>
        <w:t xml:space="preserve">إن المؤتمر العالمي لتنمية الاتصالات (بوينس آيرس، </w:t>
      </w:r>
      <w:r w:rsidRPr="003A2A2A">
        <w:rPr>
          <w:rFonts w:cs="Calibri"/>
        </w:rPr>
        <w:t>2017</w:t>
      </w:r>
      <w:r w:rsidRPr="003A2A2A">
        <w:rPr>
          <w:rFonts w:hint="cs"/>
          <w:rtl/>
        </w:rPr>
        <w:t>)،</w:t>
      </w:r>
    </w:p>
    <w:p w14:paraId="779AB385" w14:textId="77777777" w:rsidR="00650AC3" w:rsidRPr="003A2A2A" w:rsidRDefault="00650AC3" w:rsidP="00650AC3">
      <w:pPr>
        <w:pStyle w:val="Call"/>
        <w:rPr>
          <w:rtl/>
        </w:rPr>
      </w:pPr>
      <w:r w:rsidRPr="003A2A2A">
        <w:rPr>
          <w:rFonts w:hint="cs"/>
          <w:rtl/>
        </w:rPr>
        <w:t>إذ يذكِّر</w:t>
      </w:r>
    </w:p>
    <w:p w14:paraId="04E5DE38" w14:textId="77777777" w:rsidR="00650AC3" w:rsidRPr="003A2A2A" w:rsidRDefault="00650AC3" w:rsidP="00650AC3">
      <w:pPr>
        <w:rPr>
          <w:rtl/>
        </w:rPr>
      </w:pPr>
      <w:r w:rsidRPr="003A2A2A">
        <w:rPr>
          <w:rFonts w:hint="eastAsia"/>
          <w:i/>
          <w:iCs/>
          <w:rtl/>
        </w:rPr>
        <w:t> </w:t>
      </w:r>
      <w:proofErr w:type="gramStart"/>
      <w:r w:rsidRPr="003A2A2A">
        <w:rPr>
          <w:rFonts w:hint="eastAsia"/>
          <w:i/>
          <w:iCs/>
          <w:rtl/>
        </w:rPr>
        <w:t>أ </w:t>
      </w:r>
      <w:r w:rsidRPr="003A2A2A">
        <w:rPr>
          <w:i/>
          <w:iCs/>
          <w:rtl/>
        </w:rPr>
        <w:t>)</w:t>
      </w:r>
      <w:proofErr w:type="gramEnd"/>
      <w:r w:rsidRPr="003A2A2A">
        <w:rPr>
          <w:i/>
          <w:iCs/>
          <w:rtl/>
        </w:rPr>
        <w:tab/>
      </w:r>
      <w:r w:rsidRPr="003A2A2A">
        <w:rPr>
          <w:rFonts w:hint="eastAsia"/>
          <w:rtl/>
        </w:rPr>
        <w:t>بالقرار</w:t>
      </w:r>
      <w:r w:rsidRPr="003A2A2A">
        <w:rPr>
          <w:rFonts w:hint="cs"/>
          <w:rtl/>
        </w:rPr>
        <w:t xml:space="preserve"> </w:t>
      </w:r>
      <w:r w:rsidRPr="003A2A2A">
        <w:t>102</w:t>
      </w:r>
      <w:r w:rsidRPr="003A2A2A">
        <w:rPr>
          <w:rFonts w:hint="cs"/>
          <w:rtl/>
          <w:lang w:bidi="ar-LB"/>
        </w:rPr>
        <w:t xml:space="preserve"> (المراجَع في بوسان، </w:t>
      </w:r>
      <w:r w:rsidRPr="003A2A2A">
        <w:rPr>
          <w:lang w:bidi="ar-LB"/>
        </w:rPr>
        <w:t>2014</w:t>
      </w:r>
      <w:r w:rsidRPr="003A2A2A">
        <w:rPr>
          <w:rFonts w:hint="cs"/>
          <w:rtl/>
          <w:lang w:bidi="ar-LB"/>
        </w:rPr>
        <w:t>) لمؤتمر المندوبين المفوضين؛</w:t>
      </w:r>
    </w:p>
    <w:p w14:paraId="018AC936" w14:textId="77777777" w:rsidR="00650AC3" w:rsidRPr="003A2A2A" w:rsidRDefault="00650AC3" w:rsidP="00650AC3">
      <w:pPr>
        <w:rPr>
          <w:rtl/>
          <w:lang w:bidi="ar-LB"/>
        </w:rPr>
      </w:pPr>
      <w:r w:rsidRPr="001A6351">
        <w:rPr>
          <w:rFonts w:hint="eastAsia"/>
          <w:i/>
          <w:iCs/>
          <w:spacing w:val="-4"/>
          <w:rtl/>
        </w:rPr>
        <w:t>ب</w:t>
      </w:r>
      <w:r w:rsidRPr="001A6351">
        <w:rPr>
          <w:i/>
          <w:iCs/>
          <w:spacing w:val="-4"/>
          <w:rtl/>
        </w:rPr>
        <w:t>)</w:t>
      </w:r>
      <w:r w:rsidRPr="001A6351">
        <w:rPr>
          <w:i/>
          <w:iCs/>
          <w:spacing w:val="-4"/>
          <w:rtl/>
        </w:rPr>
        <w:tab/>
      </w:r>
      <w:r w:rsidRPr="001A6351">
        <w:rPr>
          <w:rFonts w:hint="eastAsia"/>
          <w:spacing w:val="-4"/>
          <w:rtl/>
        </w:rPr>
        <w:t>بالقرار </w:t>
      </w:r>
      <w:r w:rsidRPr="001A6351">
        <w:rPr>
          <w:spacing w:val="-4"/>
        </w:rPr>
        <w:t>64</w:t>
      </w:r>
      <w:r w:rsidRPr="001A6351">
        <w:rPr>
          <w:spacing w:val="-4"/>
          <w:rtl/>
        </w:rPr>
        <w:t xml:space="preserve"> (</w:t>
      </w:r>
      <w:r w:rsidRPr="001A6351">
        <w:rPr>
          <w:rFonts w:hint="eastAsia"/>
          <w:spacing w:val="-4"/>
          <w:rtl/>
        </w:rPr>
        <w:t>المراجَع</w:t>
      </w:r>
      <w:r w:rsidRPr="001A6351">
        <w:rPr>
          <w:spacing w:val="-4"/>
          <w:rtl/>
        </w:rPr>
        <w:t xml:space="preserve"> </w:t>
      </w:r>
      <w:r w:rsidRPr="001A6351">
        <w:rPr>
          <w:rFonts w:hint="eastAsia"/>
          <w:spacing w:val="-4"/>
          <w:rtl/>
        </w:rPr>
        <w:t>في</w:t>
      </w:r>
      <w:r w:rsidRPr="001A6351">
        <w:rPr>
          <w:spacing w:val="-4"/>
          <w:rtl/>
        </w:rPr>
        <w:t xml:space="preserve"> </w:t>
      </w:r>
      <w:r w:rsidRPr="001A6351">
        <w:rPr>
          <w:rFonts w:hint="eastAsia"/>
          <w:spacing w:val="-4"/>
          <w:rtl/>
        </w:rPr>
        <w:t>بوسان،</w:t>
      </w:r>
      <w:r w:rsidRPr="001A6351">
        <w:rPr>
          <w:spacing w:val="-4"/>
          <w:rtl/>
        </w:rPr>
        <w:t xml:space="preserve"> </w:t>
      </w:r>
      <w:r w:rsidRPr="001A6351">
        <w:rPr>
          <w:spacing w:val="-4"/>
        </w:rPr>
        <w:t>2014</w:t>
      </w:r>
      <w:r w:rsidRPr="001A6351">
        <w:rPr>
          <w:spacing w:val="-4"/>
          <w:rtl/>
        </w:rPr>
        <w:t xml:space="preserve">) </w:t>
      </w:r>
      <w:r w:rsidRPr="001A6351">
        <w:rPr>
          <w:rFonts w:hint="eastAsia"/>
          <w:spacing w:val="-4"/>
          <w:rtl/>
        </w:rPr>
        <w:t>لمؤتمر</w:t>
      </w:r>
      <w:r w:rsidRPr="001A6351">
        <w:rPr>
          <w:spacing w:val="-4"/>
          <w:rtl/>
        </w:rPr>
        <w:t xml:space="preserve"> </w:t>
      </w:r>
      <w:r w:rsidRPr="001A6351">
        <w:rPr>
          <w:rFonts w:hint="eastAsia"/>
          <w:spacing w:val="-4"/>
          <w:rtl/>
        </w:rPr>
        <w:t>المندوبين</w:t>
      </w:r>
      <w:r w:rsidRPr="001A6351">
        <w:rPr>
          <w:spacing w:val="-4"/>
          <w:rtl/>
        </w:rPr>
        <w:t xml:space="preserve"> </w:t>
      </w:r>
      <w:r w:rsidRPr="001A6351">
        <w:rPr>
          <w:rFonts w:hint="eastAsia"/>
          <w:spacing w:val="-4"/>
          <w:rtl/>
        </w:rPr>
        <w:t>المفوضين،</w:t>
      </w:r>
      <w:r w:rsidRPr="001A6351">
        <w:rPr>
          <w:spacing w:val="-4"/>
          <w:rtl/>
        </w:rPr>
        <w:t xml:space="preserve"> </w:t>
      </w:r>
      <w:r w:rsidRPr="001A6351">
        <w:rPr>
          <w:rFonts w:hint="eastAsia"/>
          <w:spacing w:val="-4"/>
          <w:rtl/>
        </w:rPr>
        <w:t>بشأن</w:t>
      </w:r>
      <w:r w:rsidRPr="001A6351">
        <w:rPr>
          <w:spacing w:val="-4"/>
          <w:rtl/>
        </w:rPr>
        <w:t xml:space="preserve"> </w:t>
      </w:r>
      <w:r w:rsidRPr="001A6351">
        <w:rPr>
          <w:rFonts w:hint="eastAsia"/>
          <w:spacing w:val="-4"/>
          <w:rtl/>
        </w:rPr>
        <w:t>النفاذ</w:t>
      </w:r>
      <w:r w:rsidRPr="001A6351">
        <w:rPr>
          <w:spacing w:val="-4"/>
          <w:rtl/>
        </w:rPr>
        <w:t xml:space="preserve"> </w:t>
      </w:r>
      <w:r w:rsidRPr="001A6351">
        <w:rPr>
          <w:rFonts w:hint="eastAsia"/>
          <w:spacing w:val="-4"/>
          <w:rtl/>
        </w:rPr>
        <w:t>على</w:t>
      </w:r>
      <w:r w:rsidRPr="001A6351">
        <w:rPr>
          <w:spacing w:val="-4"/>
          <w:rtl/>
        </w:rPr>
        <w:t xml:space="preserve"> </w:t>
      </w:r>
      <w:r w:rsidRPr="001A6351">
        <w:rPr>
          <w:rFonts w:hint="eastAsia"/>
          <w:spacing w:val="-4"/>
          <w:rtl/>
        </w:rPr>
        <w:t>أساس</w:t>
      </w:r>
      <w:r w:rsidRPr="001A6351">
        <w:rPr>
          <w:spacing w:val="-4"/>
          <w:rtl/>
        </w:rPr>
        <w:t xml:space="preserve"> </w:t>
      </w:r>
      <w:r w:rsidRPr="001A6351">
        <w:rPr>
          <w:rFonts w:hint="eastAsia"/>
          <w:spacing w:val="-4"/>
          <w:rtl/>
        </w:rPr>
        <w:t>غير</w:t>
      </w:r>
      <w:r w:rsidRPr="001A6351">
        <w:rPr>
          <w:spacing w:val="-4"/>
          <w:rtl/>
        </w:rPr>
        <w:t xml:space="preserve"> </w:t>
      </w:r>
      <w:r w:rsidRPr="001A6351">
        <w:rPr>
          <w:rFonts w:hint="eastAsia"/>
          <w:spacing w:val="-4"/>
          <w:rtl/>
        </w:rPr>
        <w:t>تمييزي</w:t>
      </w:r>
      <w:r w:rsidRPr="001A6351">
        <w:rPr>
          <w:spacing w:val="-4"/>
          <w:rtl/>
        </w:rPr>
        <w:t xml:space="preserve"> </w:t>
      </w:r>
      <w:r w:rsidRPr="001A6351">
        <w:rPr>
          <w:rFonts w:hint="eastAsia"/>
          <w:spacing w:val="-4"/>
          <w:rtl/>
        </w:rPr>
        <w:t>إلى</w:t>
      </w:r>
      <w:r w:rsidRPr="001A6351">
        <w:rPr>
          <w:spacing w:val="-4"/>
          <w:rtl/>
        </w:rPr>
        <w:t xml:space="preserve"> </w:t>
      </w:r>
      <w:r w:rsidRPr="001A6351">
        <w:rPr>
          <w:rFonts w:hint="cs"/>
          <w:spacing w:val="-4"/>
          <w:rtl/>
        </w:rPr>
        <w:t>وسائل</w:t>
      </w:r>
      <w:r w:rsidRPr="003A2A2A">
        <w:rPr>
          <w:rFonts w:hint="cs"/>
          <w:rtl/>
        </w:rPr>
        <w:t xml:space="preserve"> </w:t>
      </w:r>
      <w:r w:rsidRPr="003A2A2A">
        <w:rPr>
          <w:rFonts w:hint="eastAsia"/>
          <w:rtl/>
        </w:rPr>
        <w:t>الاتصالات</w:t>
      </w:r>
      <w:r w:rsidRPr="003A2A2A">
        <w:rPr>
          <w:rtl/>
        </w:rPr>
        <w:t>/</w:t>
      </w:r>
      <w:r w:rsidRPr="003A2A2A">
        <w:rPr>
          <w:rFonts w:hint="eastAsia"/>
          <w:rtl/>
        </w:rPr>
        <w:t>تكنولوجيا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المعلومات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والاتصالات</w:t>
      </w:r>
      <w:r w:rsidRPr="003A2A2A">
        <w:rPr>
          <w:rFonts w:hint="cs"/>
          <w:rtl/>
        </w:rPr>
        <w:t xml:space="preserve"> </w:t>
      </w:r>
      <w:r w:rsidRPr="003A2A2A">
        <w:t>(ICT)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الحديثة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وخدماتها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وتطبيقاتها،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بما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في ذلك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البحوث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التطبيقية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ونقل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التكنولوجيا،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والاجتماعات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الإلكترونية،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على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أساس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شروط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متفق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عليها؛</w:t>
      </w:r>
    </w:p>
    <w:p w14:paraId="4455DF4E" w14:textId="77777777" w:rsidR="00650AC3" w:rsidRPr="003A2A2A" w:rsidRDefault="00650AC3" w:rsidP="00650AC3">
      <w:pPr>
        <w:rPr>
          <w:rtl/>
        </w:rPr>
      </w:pPr>
      <w:r w:rsidRPr="003A2A2A">
        <w:rPr>
          <w:rFonts w:hint="cs"/>
          <w:i/>
          <w:iCs/>
          <w:rtl/>
        </w:rPr>
        <w:t>ج</w:t>
      </w:r>
      <w:r w:rsidRPr="003A2A2A">
        <w:rPr>
          <w:i/>
          <w:iCs/>
          <w:rtl/>
        </w:rPr>
        <w:t>)</w:t>
      </w:r>
      <w:r w:rsidRPr="003A2A2A">
        <w:rPr>
          <w:rtl/>
        </w:rPr>
        <w:tab/>
      </w:r>
      <w:r w:rsidRPr="003A2A2A">
        <w:rPr>
          <w:rFonts w:hint="eastAsia"/>
          <w:rtl/>
        </w:rPr>
        <w:t>بالقرار </w:t>
      </w:r>
      <w:r w:rsidRPr="003A2A2A">
        <w:t>69</w:t>
      </w:r>
      <w:r w:rsidRPr="003A2A2A">
        <w:rPr>
          <w:rtl/>
        </w:rPr>
        <w:t xml:space="preserve"> (</w:t>
      </w:r>
      <w:r w:rsidRPr="003A2A2A">
        <w:rPr>
          <w:rFonts w:hint="eastAsia"/>
          <w:rtl/>
        </w:rPr>
        <w:t>المراجَع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في</w:t>
      </w:r>
      <w:r w:rsidRPr="003A2A2A">
        <w:rPr>
          <w:rFonts w:hint="cs"/>
          <w:rtl/>
        </w:rPr>
        <w:t xml:space="preserve"> الحمامات</w:t>
      </w:r>
      <w:r w:rsidRPr="003A2A2A">
        <w:rPr>
          <w:rFonts w:hint="eastAsia"/>
          <w:rtl/>
        </w:rPr>
        <w:t>،</w:t>
      </w:r>
      <w:r w:rsidRPr="003A2A2A">
        <w:rPr>
          <w:rtl/>
        </w:rPr>
        <w:t xml:space="preserve"> </w:t>
      </w:r>
      <w:r w:rsidRPr="003A2A2A">
        <w:t>2016</w:t>
      </w:r>
      <w:r w:rsidRPr="003A2A2A">
        <w:rPr>
          <w:rtl/>
        </w:rPr>
        <w:t xml:space="preserve">) </w:t>
      </w:r>
      <w:r w:rsidRPr="003A2A2A">
        <w:rPr>
          <w:rFonts w:hint="eastAsia"/>
          <w:rtl/>
        </w:rPr>
        <w:t>للجمعية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العالمية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لتقييس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الاتصالات،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بشأن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النفاذ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إلى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موارد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الإنترنت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والاتصالات</w:t>
      </w:r>
      <w:r w:rsidRPr="003A2A2A">
        <w:rPr>
          <w:rtl/>
        </w:rPr>
        <w:t>/</w:t>
      </w:r>
      <w:r w:rsidRPr="003A2A2A">
        <w:rPr>
          <w:rFonts w:hint="eastAsia"/>
          <w:rtl/>
        </w:rPr>
        <w:t>تكنولوجيا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المعلومات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والاتصالات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واستعمالها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على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أساس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غير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تمييزي</w:t>
      </w:r>
      <w:r w:rsidRPr="003A2A2A">
        <w:rPr>
          <w:rFonts w:hint="cs"/>
          <w:rtl/>
        </w:rPr>
        <w:t>،</w:t>
      </w:r>
    </w:p>
    <w:p w14:paraId="2D648024" w14:textId="77777777" w:rsidR="00650AC3" w:rsidRPr="003A2A2A" w:rsidRDefault="00650AC3" w:rsidP="00650AC3">
      <w:pPr>
        <w:pStyle w:val="Call"/>
        <w:rPr>
          <w:rtl/>
        </w:rPr>
      </w:pPr>
      <w:r w:rsidRPr="003A2A2A">
        <w:rPr>
          <w:rFonts w:hint="cs"/>
          <w:rtl/>
        </w:rPr>
        <w:t>وإذ يذكِّر أيضاً</w:t>
      </w:r>
    </w:p>
    <w:p w14:paraId="0394AAFE" w14:textId="77777777" w:rsidR="00650AC3" w:rsidRPr="003A2A2A" w:rsidRDefault="00650AC3" w:rsidP="00650AC3">
      <w:pPr>
        <w:rPr>
          <w:rtl/>
        </w:rPr>
      </w:pPr>
      <w:r w:rsidRPr="003A2A2A">
        <w:rPr>
          <w:rFonts w:hint="eastAsia"/>
          <w:i/>
          <w:iCs/>
          <w:rtl/>
        </w:rPr>
        <w:t> </w:t>
      </w:r>
      <w:proofErr w:type="gramStart"/>
      <w:r w:rsidRPr="003A2A2A">
        <w:rPr>
          <w:rFonts w:hint="eastAsia"/>
          <w:i/>
          <w:iCs/>
          <w:rtl/>
        </w:rPr>
        <w:t>أ )</w:t>
      </w:r>
      <w:proofErr w:type="gramEnd"/>
      <w:r w:rsidRPr="003A2A2A">
        <w:rPr>
          <w:rFonts w:hint="cs"/>
          <w:rtl/>
        </w:rPr>
        <w:tab/>
        <w:t>بقرارات القمة العالمية لمجتمع المعلومات في مرحلتيها بشأن النفاذ غير التمييزي، وعلى الأخص بالفقرات</w:t>
      </w:r>
      <w:r w:rsidRPr="003A2A2A">
        <w:rPr>
          <w:rFonts w:hint="eastAsia"/>
          <w:rtl/>
        </w:rPr>
        <w:t> </w:t>
      </w:r>
      <w:r w:rsidRPr="003A2A2A">
        <w:rPr>
          <w:rFonts w:cs="Calibri"/>
        </w:rPr>
        <w:t>15</w:t>
      </w:r>
      <w:r w:rsidRPr="003A2A2A">
        <w:rPr>
          <w:rFonts w:hint="cs"/>
          <w:rtl/>
        </w:rPr>
        <w:t xml:space="preserve"> و</w:t>
      </w:r>
      <w:r w:rsidRPr="003A2A2A">
        <w:rPr>
          <w:rFonts w:cs="Calibri"/>
        </w:rPr>
        <w:t>18</w:t>
      </w:r>
      <w:r w:rsidRPr="003A2A2A">
        <w:rPr>
          <w:rFonts w:hint="cs"/>
          <w:rtl/>
        </w:rPr>
        <w:t xml:space="preserve"> و</w:t>
      </w:r>
      <w:r w:rsidRPr="003A2A2A">
        <w:rPr>
          <w:rFonts w:cs="Calibri"/>
        </w:rPr>
        <w:t>19</w:t>
      </w:r>
      <w:r w:rsidRPr="003A2A2A">
        <w:rPr>
          <w:rFonts w:hint="cs"/>
          <w:rtl/>
        </w:rPr>
        <w:t xml:space="preserve"> من التزام تونس والفقرتين</w:t>
      </w:r>
      <w:r w:rsidRPr="003A2A2A">
        <w:rPr>
          <w:rFonts w:hint="eastAsia"/>
          <w:rtl/>
          <w:lang w:bidi="ar-SY"/>
        </w:rPr>
        <w:t> </w:t>
      </w:r>
      <w:r w:rsidRPr="003A2A2A">
        <w:rPr>
          <w:rFonts w:cs="Calibri"/>
        </w:rPr>
        <w:t>90</w:t>
      </w:r>
      <w:r w:rsidRPr="003A2A2A">
        <w:rPr>
          <w:rFonts w:hint="cs"/>
          <w:rtl/>
        </w:rPr>
        <w:t xml:space="preserve"> و</w:t>
      </w:r>
      <w:r w:rsidRPr="003A2A2A">
        <w:rPr>
          <w:rFonts w:cs="Calibri"/>
        </w:rPr>
        <w:t>107</w:t>
      </w:r>
      <w:r w:rsidRPr="003A2A2A">
        <w:rPr>
          <w:rFonts w:hint="cs"/>
          <w:rtl/>
        </w:rPr>
        <w:t xml:space="preserve"> من برنامج عمل تونس بشأن مجتمع المعلومات؛</w:t>
      </w:r>
    </w:p>
    <w:p w14:paraId="79707171" w14:textId="77777777" w:rsidR="00650AC3" w:rsidRPr="003A2A2A" w:rsidRDefault="00650AC3" w:rsidP="00650AC3">
      <w:pPr>
        <w:rPr>
          <w:rtl/>
        </w:rPr>
      </w:pPr>
      <w:r w:rsidRPr="003A2A2A">
        <w:rPr>
          <w:rFonts w:hint="cs"/>
          <w:i/>
          <w:iCs/>
          <w:rtl/>
        </w:rPr>
        <w:t>ب</w:t>
      </w:r>
      <w:r w:rsidRPr="003A2A2A">
        <w:rPr>
          <w:i/>
          <w:iCs/>
          <w:rtl/>
        </w:rPr>
        <w:t>)</w:t>
      </w:r>
      <w:r w:rsidRPr="003A2A2A">
        <w:rPr>
          <w:rtl/>
        </w:rPr>
        <w:tab/>
      </w:r>
      <w:r w:rsidRPr="003A2A2A">
        <w:rPr>
          <w:rFonts w:hint="eastAsia"/>
          <w:spacing w:val="-4"/>
          <w:rtl/>
        </w:rPr>
        <w:t>بقرار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الجمعية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العامة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للأمم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المتحدة</w:t>
      </w:r>
      <w:r w:rsidRPr="003A2A2A">
        <w:rPr>
          <w:rFonts w:hint="cs"/>
          <w:spacing w:val="-4"/>
          <w:rtl/>
        </w:rPr>
        <w:t xml:space="preserve"> </w:t>
      </w:r>
      <w:r w:rsidRPr="003A2A2A">
        <w:rPr>
          <w:spacing w:val="-4"/>
        </w:rPr>
        <w:t>(UNGA)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بشأن</w:t>
      </w:r>
      <w:r w:rsidRPr="003A2A2A">
        <w:rPr>
          <w:spacing w:val="-4"/>
          <w:rtl/>
        </w:rPr>
        <w:t xml:space="preserve"> "</w:t>
      </w:r>
      <w:r w:rsidRPr="003A2A2A">
        <w:rPr>
          <w:rFonts w:hint="eastAsia"/>
          <w:spacing w:val="-4"/>
          <w:rtl/>
        </w:rPr>
        <w:t>تحويل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عالمنا</w:t>
      </w:r>
      <w:r w:rsidRPr="003A2A2A">
        <w:rPr>
          <w:spacing w:val="-4"/>
        </w:rPr>
        <w:t>: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خطة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التنمية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المستدامة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لعام </w:t>
      </w:r>
      <w:r w:rsidRPr="003A2A2A">
        <w:rPr>
          <w:rFonts w:cs="Calibri"/>
          <w:spacing w:val="-4"/>
        </w:rPr>
        <w:t>2030</w:t>
      </w:r>
      <w:r w:rsidRPr="003A2A2A">
        <w:rPr>
          <w:spacing w:val="-4"/>
          <w:rtl/>
        </w:rPr>
        <w:t>" (</w:t>
      </w:r>
      <w:r w:rsidRPr="003A2A2A">
        <w:rPr>
          <w:rFonts w:hint="eastAsia"/>
          <w:spacing w:val="-4"/>
          <w:rtl/>
        </w:rPr>
        <w:t>القرار </w:t>
      </w:r>
      <w:r w:rsidRPr="003A2A2A">
        <w:rPr>
          <w:rFonts w:cs="Calibri"/>
          <w:spacing w:val="-4"/>
        </w:rPr>
        <w:t>70</w:t>
      </w:r>
      <w:r w:rsidRPr="003A2A2A">
        <w:rPr>
          <w:spacing w:val="-4"/>
        </w:rPr>
        <w:t>/</w:t>
      </w:r>
      <w:r w:rsidRPr="003A2A2A">
        <w:rPr>
          <w:rFonts w:cs="Calibri"/>
          <w:spacing w:val="-4"/>
        </w:rPr>
        <w:t>1</w:t>
      </w:r>
      <w:r w:rsidRPr="003A2A2A">
        <w:rPr>
          <w:spacing w:val="-4"/>
          <w:rtl/>
        </w:rPr>
        <w:t>)</w:t>
      </w:r>
      <w:r w:rsidRPr="003A2A2A">
        <w:rPr>
          <w:rFonts w:hint="eastAsia"/>
          <w:spacing w:val="-4"/>
          <w:rtl/>
        </w:rPr>
        <w:t>؛</w:t>
      </w:r>
    </w:p>
    <w:p w14:paraId="69BCEB78" w14:textId="77777777" w:rsidR="00650AC3" w:rsidRPr="003A2A2A" w:rsidRDefault="00650AC3" w:rsidP="00650AC3">
      <w:pPr>
        <w:rPr>
          <w:rtl/>
        </w:rPr>
      </w:pPr>
      <w:r w:rsidRPr="003A2A2A">
        <w:rPr>
          <w:rFonts w:hint="cs"/>
          <w:i/>
          <w:iCs/>
          <w:rtl/>
        </w:rPr>
        <w:t>ج</w:t>
      </w:r>
      <w:r w:rsidRPr="003A2A2A">
        <w:rPr>
          <w:i/>
          <w:iCs/>
          <w:rtl/>
        </w:rPr>
        <w:t>)</w:t>
      </w:r>
      <w:r w:rsidRPr="003A2A2A">
        <w:rPr>
          <w:rtl/>
        </w:rPr>
        <w:tab/>
        <w:t xml:space="preserve">بالقرار </w:t>
      </w:r>
      <w:r w:rsidRPr="003A2A2A">
        <w:rPr>
          <w:rFonts w:cs="Calibri"/>
        </w:rPr>
        <w:t>70</w:t>
      </w:r>
      <w:r w:rsidRPr="003A2A2A">
        <w:t>/</w:t>
      </w:r>
      <w:r w:rsidRPr="003A2A2A">
        <w:rPr>
          <w:rFonts w:cs="Calibri"/>
        </w:rPr>
        <w:t>125</w:t>
      </w:r>
      <w:r w:rsidRPr="003A2A2A">
        <w:rPr>
          <w:rtl/>
        </w:rPr>
        <w:t xml:space="preserve"> للجمعية العامة للأمم المتحدة</w:t>
      </w:r>
      <w:r w:rsidRPr="003A2A2A">
        <w:rPr>
          <w:rFonts w:hint="cs"/>
          <w:rtl/>
        </w:rPr>
        <w:t>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بشأن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الوثيقة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الختامية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للاجتماع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الرفيـع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المسـتوى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للجمعيـة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العامـة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بشـأن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الاستعراض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العام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لتنفيذ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نتائج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القمة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العالمية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لمجتمع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المعلومات؛</w:t>
      </w:r>
    </w:p>
    <w:p w14:paraId="0FA23855" w14:textId="77777777" w:rsidR="00650AC3" w:rsidRPr="003A2A2A" w:rsidRDefault="00650AC3" w:rsidP="00650AC3">
      <w:pPr>
        <w:rPr>
          <w:rtl/>
        </w:rPr>
      </w:pPr>
      <w:proofErr w:type="gramStart"/>
      <w:r w:rsidRPr="003A2A2A">
        <w:rPr>
          <w:rFonts w:hint="cs"/>
          <w:i/>
          <w:iCs/>
          <w:rtl/>
        </w:rPr>
        <w:t>د</w:t>
      </w:r>
      <w:r w:rsidRPr="003A2A2A">
        <w:rPr>
          <w:rFonts w:hint="eastAsia"/>
          <w:i/>
          <w:iCs/>
          <w:rtl/>
        </w:rPr>
        <w:t> </w:t>
      </w:r>
      <w:r w:rsidRPr="003A2A2A">
        <w:rPr>
          <w:i/>
          <w:iCs/>
          <w:rtl/>
        </w:rPr>
        <w:t>)</w:t>
      </w:r>
      <w:proofErr w:type="gramEnd"/>
      <w:r w:rsidRPr="003A2A2A">
        <w:rPr>
          <w:rFonts w:hint="cs"/>
          <w:rtl/>
        </w:rPr>
        <w:tab/>
        <w:t xml:space="preserve">ببيان </w:t>
      </w:r>
      <w:r w:rsidRPr="003A2A2A">
        <w:rPr>
          <w:rtl/>
        </w:rPr>
        <w:t>الحدث رفيع المستوى بشأن تنفيذ نواتج القمة العالمية لمجتمع المعلومات بعد مضي عشر سنوات</w:t>
      </w:r>
      <w:r w:rsidRPr="003A2A2A">
        <w:rPr>
          <w:rFonts w:hint="eastAsia"/>
          <w:rtl/>
        </w:rPr>
        <w:t> </w:t>
      </w:r>
      <w:r w:rsidRPr="003A2A2A">
        <w:t>(WSIS+10)</w:t>
      </w:r>
      <w:r w:rsidRPr="003A2A2A">
        <w:rPr>
          <w:rFonts w:hint="cs"/>
          <w:rtl/>
        </w:rPr>
        <w:t xml:space="preserve"> </w:t>
      </w:r>
      <w:r w:rsidRPr="003A2A2A">
        <w:rPr>
          <w:rtl/>
        </w:rPr>
        <w:t>ورؤية الحدث فيما يتعلق بالقمة العالمية لمجتمع المعلومات بعد عام</w:t>
      </w:r>
      <w:r w:rsidRPr="003A2A2A">
        <w:rPr>
          <w:rFonts w:hint="cs"/>
          <w:rtl/>
        </w:rPr>
        <w:t> </w:t>
      </w:r>
      <w:r w:rsidRPr="003A2A2A">
        <w:t>2015</w:t>
      </w:r>
      <w:r w:rsidRPr="003A2A2A">
        <w:rPr>
          <w:rtl/>
        </w:rPr>
        <w:t xml:space="preserve">، اللذين تم اعتمادهما </w:t>
      </w:r>
      <w:r w:rsidRPr="001A6351">
        <w:rPr>
          <w:spacing w:val="-2"/>
          <w:rtl/>
        </w:rPr>
        <w:t>في</w:t>
      </w:r>
      <w:r w:rsidRPr="001A6351">
        <w:rPr>
          <w:rFonts w:hint="cs"/>
          <w:spacing w:val="-2"/>
          <w:rtl/>
        </w:rPr>
        <w:t> </w:t>
      </w:r>
      <w:r w:rsidRPr="001A6351">
        <w:rPr>
          <w:spacing w:val="-2"/>
          <w:rtl/>
        </w:rPr>
        <w:t>الحدث رفيع المستوى</w:t>
      </w:r>
      <w:r w:rsidRPr="001A6351">
        <w:rPr>
          <w:rFonts w:hint="cs"/>
          <w:spacing w:val="-2"/>
          <w:rtl/>
        </w:rPr>
        <w:t xml:space="preserve"> (</w:t>
      </w:r>
      <w:r w:rsidRPr="001A6351">
        <w:rPr>
          <w:spacing w:val="-2"/>
          <w:rtl/>
        </w:rPr>
        <w:t>جنيف،</w:t>
      </w:r>
      <w:r w:rsidRPr="001A6351">
        <w:rPr>
          <w:rFonts w:hint="cs"/>
          <w:spacing w:val="-2"/>
          <w:rtl/>
        </w:rPr>
        <w:t xml:space="preserve"> </w:t>
      </w:r>
      <w:r w:rsidRPr="001A6351">
        <w:rPr>
          <w:spacing w:val="-2"/>
        </w:rPr>
        <w:t>2014</w:t>
      </w:r>
      <w:r w:rsidRPr="001A6351">
        <w:rPr>
          <w:spacing w:val="-2"/>
          <w:rtl/>
        </w:rPr>
        <w:t xml:space="preserve">) الذي نسقه الاتحاد وأقرهما مؤتمر المندوبين المفوضين (بوسان، </w:t>
      </w:r>
      <w:r w:rsidRPr="001A6351">
        <w:rPr>
          <w:spacing w:val="-2"/>
        </w:rPr>
        <w:t>2014</w:t>
      </w:r>
      <w:r w:rsidRPr="001A6351">
        <w:rPr>
          <w:spacing w:val="-2"/>
          <w:rtl/>
        </w:rPr>
        <w:t>)، وتقديمهما</w:t>
      </w:r>
      <w:r w:rsidRPr="003A2A2A">
        <w:rPr>
          <w:rtl/>
        </w:rPr>
        <w:t xml:space="preserve"> كمساهمة في الاستعراض الشامل للقمة الذي أجرته الجمعية العامة للأمم المتحدة</w:t>
      </w:r>
      <w:r w:rsidRPr="003A2A2A">
        <w:rPr>
          <w:rFonts w:hint="cs"/>
          <w:rtl/>
        </w:rPr>
        <w:t>،</w:t>
      </w:r>
    </w:p>
    <w:p w14:paraId="5D57D145" w14:textId="77777777" w:rsidR="00650AC3" w:rsidRPr="003A2A2A" w:rsidRDefault="00650AC3" w:rsidP="00650AC3"/>
    <w:p w14:paraId="0D042D58" w14:textId="77777777" w:rsidR="00650AC3" w:rsidRPr="003A2A2A" w:rsidRDefault="00650AC3" w:rsidP="00650AC3"/>
    <w:p w14:paraId="744C444F" w14:textId="77777777" w:rsidR="00650AC3" w:rsidRPr="003A2A2A" w:rsidRDefault="00650AC3" w:rsidP="00650AC3">
      <w:pPr>
        <w:rPr>
          <w:rtl/>
        </w:rPr>
      </w:pPr>
      <w:r w:rsidRPr="003A2A2A">
        <w:rPr>
          <w:rtl/>
        </w:rPr>
        <w:br w:type="page"/>
      </w:r>
    </w:p>
    <w:p w14:paraId="2CE58582" w14:textId="77777777" w:rsidR="00650AC3" w:rsidRPr="003A2A2A" w:rsidRDefault="00650AC3" w:rsidP="00650AC3">
      <w:pPr>
        <w:pStyle w:val="Call"/>
        <w:rPr>
          <w:rtl/>
        </w:rPr>
      </w:pPr>
      <w:r w:rsidRPr="003A2A2A">
        <w:rPr>
          <w:rFonts w:hint="cs"/>
          <w:rtl/>
        </w:rPr>
        <w:lastRenderedPageBreak/>
        <w:t>وإذ يأخذ بعين الاعتبار</w:t>
      </w:r>
    </w:p>
    <w:p w14:paraId="7C3F9AF9" w14:textId="77777777" w:rsidR="00650AC3" w:rsidRPr="003A2A2A" w:rsidRDefault="00650AC3" w:rsidP="00650AC3">
      <w:pPr>
        <w:rPr>
          <w:rtl/>
        </w:rPr>
      </w:pPr>
      <w:r w:rsidRPr="001A6351">
        <w:rPr>
          <w:rFonts w:hint="cs"/>
          <w:i/>
          <w:iCs/>
          <w:spacing w:val="-2"/>
          <w:rtl/>
        </w:rPr>
        <w:t xml:space="preserve"> </w:t>
      </w:r>
      <w:proofErr w:type="gramStart"/>
      <w:r w:rsidRPr="001A6351">
        <w:rPr>
          <w:rFonts w:hint="cs"/>
          <w:i/>
          <w:iCs/>
          <w:spacing w:val="-2"/>
          <w:rtl/>
        </w:rPr>
        <w:t>أ )</w:t>
      </w:r>
      <w:proofErr w:type="gramEnd"/>
      <w:r w:rsidRPr="001A6351">
        <w:rPr>
          <w:rFonts w:hint="cs"/>
          <w:spacing w:val="-2"/>
          <w:rtl/>
        </w:rPr>
        <w:tab/>
        <w:t>الدور الهام الذي يضطلع به الاتحاد الدولي للاتصالات في النهوض بتقييس الاتصالات/تكنولوجيا المعلومات والاتصالات</w:t>
      </w:r>
      <w:r w:rsidRPr="003A2A2A">
        <w:rPr>
          <w:rFonts w:hint="cs"/>
          <w:rtl/>
        </w:rPr>
        <w:t xml:space="preserve"> وتنميتها على الصعيد العالمي؛</w:t>
      </w:r>
    </w:p>
    <w:p w14:paraId="2F293EFD" w14:textId="77777777" w:rsidR="00650AC3" w:rsidRPr="003A2A2A" w:rsidRDefault="00650AC3" w:rsidP="00650AC3">
      <w:pPr>
        <w:rPr>
          <w:rtl/>
        </w:rPr>
      </w:pPr>
      <w:r w:rsidRPr="003A2A2A">
        <w:rPr>
          <w:rFonts w:hint="cs"/>
          <w:i/>
          <w:iCs/>
          <w:rtl/>
        </w:rPr>
        <w:t>ب)</w:t>
      </w:r>
      <w:r w:rsidRPr="003A2A2A">
        <w:rPr>
          <w:rFonts w:hint="cs"/>
          <w:rtl/>
        </w:rPr>
        <w:tab/>
        <w:t>قيام الاتحاد، تحقيقاً لهذا الغرض، بتنسيق الجهود الرامية إلى تأمين تنمية متجانسة لوسائل الاتصالات/تكنولوجيا المعلومات والاتصالات في جميع الدول الأعضاء في الاتحاد،</w:t>
      </w:r>
    </w:p>
    <w:p w14:paraId="5C62458D" w14:textId="77777777" w:rsidR="00650AC3" w:rsidRPr="003A2A2A" w:rsidRDefault="00650AC3" w:rsidP="00650AC3">
      <w:pPr>
        <w:pStyle w:val="Call"/>
        <w:rPr>
          <w:rtl/>
        </w:rPr>
      </w:pPr>
      <w:r w:rsidRPr="003A2A2A">
        <w:rPr>
          <w:rFonts w:hint="cs"/>
          <w:rtl/>
        </w:rPr>
        <w:t>وإذ يأخذ بعين الاعتبار كذلك</w:t>
      </w:r>
    </w:p>
    <w:p w14:paraId="411323AA" w14:textId="77777777" w:rsidR="00650AC3" w:rsidRPr="003A2A2A" w:rsidRDefault="00650AC3" w:rsidP="00650AC3">
      <w:pPr>
        <w:rPr>
          <w:rtl/>
        </w:rPr>
      </w:pPr>
      <w:r w:rsidRPr="001A6351">
        <w:rPr>
          <w:rFonts w:hint="cs"/>
          <w:spacing w:val="-2"/>
          <w:rtl/>
        </w:rPr>
        <w:t xml:space="preserve">أن هذا المؤتمر، </w:t>
      </w:r>
      <w:proofErr w:type="gramStart"/>
      <w:r w:rsidRPr="001A6351">
        <w:rPr>
          <w:rFonts w:hint="cs"/>
          <w:spacing w:val="-2"/>
          <w:rtl/>
        </w:rPr>
        <w:t>مثلة</w:t>
      </w:r>
      <w:proofErr w:type="gramEnd"/>
      <w:r w:rsidRPr="001A6351">
        <w:rPr>
          <w:rFonts w:hint="cs"/>
          <w:spacing w:val="-2"/>
          <w:rtl/>
        </w:rPr>
        <w:t xml:space="preserve"> مثل ال</w:t>
      </w:r>
      <w:r w:rsidRPr="001A6351">
        <w:rPr>
          <w:spacing w:val="-2"/>
          <w:rtl/>
        </w:rPr>
        <w:t>مؤتمرا</w:t>
      </w:r>
      <w:r w:rsidRPr="001A6351">
        <w:rPr>
          <w:rFonts w:hint="cs"/>
          <w:spacing w:val="-2"/>
          <w:rtl/>
        </w:rPr>
        <w:t>ت، مطالب بتكوين وجهة نظر ووضع مقترحات بشأن المسائل التي تحدد استراتيجية لتنمية</w:t>
      </w:r>
      <w:r w:rsidRPr="003A2A2A">
        <w:rPr>
          <w:rFonts w:hint="cs"/>
          <w:rtl/>
        </w:rPr>
        <w:t xml:space="preserve"> وسائل الاتصالات/تكنولوجيا المعلومات والاتصالات وخدماتها وتطبيقاتها على الصعيد العالمي، وتيسير تعبئة الموارد اللازمة لتحقيق هذا الغرض،</w:t>
      </w:r>
    </w:p>
    <w:p w14:paraId="164C0AC0" w14:textId="77777777" w:rsidR="00650AC3" w:rsidRPr="003A2A2A" w:rsidRDefault="00650AC3" w:rsidP="00650AC3">
      <w:pPr>
        <w:pStyle w:val="Call"/>
        <w:rPr>
          <w:rtl/>
        </w:rPr>
      </w:pPr>
      <w:r w:rsidRPr="003A2A2A">
        <w:rPr>
          <w:rFonts w:hint="cs"/>
          <w:rtl/>
        </w:rPr>
        <w:t>وإذ يلاحظ</w:t>
      </w:r>
    </w:p>
    <w:p w14:paraId="7E4520FE" w14:textId="77777777" w:rsidR="00650AC3" w:rsidRPr="003A2A2A" w:rsidRDefault="00650AC3" w:rsidP="00650AC3">
      <w:pPr>
        <w:rPr>
          <w:rtl/>
          <w:lang w:bidi="ar-SY"/>
        </w:rPr>
      </w:pPr>
      <w:r w:rsidRPr="003A2A2A">
        <w:rPr>
          <w:rFonts w:hint="cs"/>
          <w:i/>
          <w:iCs/>
          <w:rtl/>
        </w:rPr>
        <w:t xml:space="preserve"> </w:t>
      </w:r>
      <w:proofErr w:type="gramStart"/>
      <w:r w:rsidRPr="003A2A2A">
        <w:rPr>
          <w:rFonts w:hint="cs"/>
          <w:i/>
          <w:iCs/>
          <w:rtl/>
        </w:rPr>
        <w:t>أ )</w:t>
      </w:r>
      <w:proofErr w:type="gramEnd"/>
      <w:r w:rsidRPr="003A2A2A">
        <w:rPr>
          <w:rFonts w:hint="cs"/>
          <w:rtl/>
        </w:rPr>
        <w:tab/>
        <w:t xml:space="preserve">أن وسائل الاتصالات/تكنولوجيا المعلومات والاتصالات الحديثة وخدماتها وتطبيقاتها أقيمت في معظم الحالات على أساس توصيات قطاعي الاتصالات الراديوية </w:t>
      </w:r>
      <w:r w:rsidRPr="003A2A2A">
        <w:t>(ITU–R)</w:t>
      </w:r>
      <w:r w:rsidRPr="003A2A2A">
        <w:rPr>
          <w:rFonts w:hint="cs"/>
          <w:rtl/>
        </w:rPr>
        <w:t xml:space="preserve"> وتقييس الاتصالات </w:t>
      </w:r>
      <w:r w:rsidRPr="003A2A2A">
        <w:t>(ITU–T)</w:t>
      </w:r>
      <w:r w:rsidRPr="003A2A2A">
        <w:rPr>
          <w:rFonts w:hint="cs"/>
          <w:rtl/>
        </w:rPr>
        <w:t xml:space="preserve"> في الاتحاد الدولي للاتصالات؛</w:t>
      </w:r>
    </w:p>
    <w:p w14:paraId="3D0FA7C9" w14:textId="77777777" w:rsidR="00650AC3" w:rsidRPr="003A2A2A" w:rsidRDefault="00650AC3" w:rsidP="00650AC3">
      <w:pPr>
        <w:rPr>
          <w:rtl/>
        </w:rPr>
      </w:pPr>
      <w:r w:rsidRPr="003A2A2A">
        <w:rPr>
          <w:rFonts w:hint="cs"/>
          <w:i/>
          <w:iCs/>
          <w:rtl/>
        </w:rPr>
        <w:t>ب)</w:t>
      </w:r>
      <w:r w:rsidRPr="003A2A2A">
        <w:rPr>
          <w:rFonts w:hint="cs"/>
          <w:rtl/>
        </w:rPr>
        <w:tab/>
        <w:t>أن التوصيات الصادرة عن هذين القطاعين هي حصيلة الجهود الجماعية لجميع الجهات المشاركة في عملية تقييس الاتصالات في الاتحاد، وأن اعتماد هذه التوصيات يتم بتوافق آراء أعضاء الاتحاد؛</w:t>
      </w:r>
    </w:p>
    <w:p w14:paraId="1CA49912" w14:textId="77777777" w:rsidR="00650AC3" w:rsidRPr="003A2A2A" w:rsidRDefault="00650AC3" w:rsidP="00650AC3">
      <w:pPr>
        <w:rPr>
          <w:rtl/>
        </w:rPr>
      </w:pPr>
      <w:r w:rsidRPr="003A2A2A">
        <w:rPr>
          <w:rFonts w:hint="cs"/>
          <w:i/>
          <w:iCs/>
          <w:rtl/>
        </w:rPr>
        <w:t>ج)</w:t>
      </w:r>
      <w:r w:rsidRPr="003A2A2A">
        <w:rPr>
          <w:rFonts w:hint="cs"/>
          <w:rtl/>
        </w:rPr>
        <w:tab/>
        <w:t xml:space="preserve">أن القيود التي تحول دون النفاذ إلى وسائل الاتصالات/تكنولوجيا المعلومات والاتصالات وخدماتها وتطبيقاتها </w:t>
      </w:r>
      <w:r w:rsidRPr="001A6351">
        <w:rPr>
          <w:rFonts w:hint="cs"/>
          <w:spacing w:val="-2"/>
          <w:rtl/>
        </w:rPr>
        <w:t>التي</w:t>
      </w:r>
      <w:r w:rsidRPr="001A6351">
        <w:rPr>
          <w:rFonts w:hint="eastAsia"/>
          <w:spacing w:val="-2"/>
          <w:rtl/>
        </w:rPr>
        <w:t> </w:t>
      </w:r>
      <w:r w:rsidRPr="001A6351">
        <w:rPr>
          <w:rFonts w:hint="cs"/>
          <w:spacing w:val="-2"/>
          <w:rtl/>
        </w:rPr>
        <w:t>تعتمد عليها تنمية الاتصالات الوطنية والتي وضعت على أساس التوصيات الصادرة عن هذين القطاعين تشكل عائقاً أمام</w:t>
      </w:r>
      <w:r w:rsidRPr="003A2A2A">
        <w:rPr>
          <w:rFonts w:hint="cs"/>
          <w:rtl/>
        </w:rPr>
        <w:t xml:space="preserve"> تنمية الاتصالات/تكنولوجيا المعلومات والاتصالات في العالم بشكل متناسق والمواءمة بينها،</w:t>
      </w:r>
    </w:p>
    <w:p w14:paraId="71911337" w14:textId="77777777" w:rsidR="00650AC3" w:rsidRPr="003A2A2A" w:rsidRDefault="00650AC3" w:rsidP="00650AC3">
      <w:pPr>
        <w:pStyle w:val="Call"/>
        <w:rPr>
          <w:rtl/>
        </w:rPr>
      </w:pPr>
      <w:r w:rsidRPr="003A2A2A">
        <w:rPr>
          <w:rFonts w:hint="cs"/>
          <w:rtl/>
        </w:rPr>
        <w:t>وإذ يعترف</w:t>
      </w:r>
    </w:p>
    <w:p w14:paraId="659B105A" w14:textId="77777777" w:rsidR="00650AC3" w:rsidRPr="003A2A2A" w:rsidRDefault="00650AC3" w:rsidP="00650AC3">
      <w:pPr>
        <w:rPr>
          <w:rtl/>
        </w:rPr>
      </w:pPr>
      <w:r w:rsidRPr="003A2A2A">
        <w:rPr>
          <w:rFonts w:hint="cs"/>
          <w:rtl/>
        </w:rPr>
        <w:t>أن تحقيق التجانس الشامل بين شبكات الاتصالات/تكنولوجيا المعلومات والاتصالات غير ممكن تحقيقه ما</w:t>
      </w:r>
      <w:r w:rsidRPr="003A2A2A">
        <w:rPr>
          <w:rFonts w:hint="eastAsia"/>
          <w:rtl/>
        </w:rPr>
        <w:t> </w:t>
      </w:r>
      <w:r w:rsidRPr="003A2A2A">
        <w:rPr>
          <w:rFonts w:hint="cs"/>
          <w:rtl/>
        </w:rPr>
        <w:t>لم</w:t>
      </w:r>
      <w:r w:rsidRPr="003A2A2A">
        <w:rPr>
          <w:rFonts w:hint="eastAsia"/>
          <w:rtl/>
        </w:rPr>
        <w:t> </w:t>
      </w:r>
      <w:r w:rsidRPr="003A2A2A">
        <w:rPr>
          <w:rFonts w:hint="cs"/>
          <w:rtl/>
        </w:rPr>
        <w:t>تتمتع جميع البلدان التي تشارك في أعمال الاتحاد بدون استثناء بالنفاذ على أساس غير تمييزي إلى الاتصالات/تكنولوجيا المعلومات والاتصالات الجديدة ووسائلها وخدماتها وتطبيقاتها الحديثة، دون المساس بالقوانين الوطنية والالتزامات الدولية الناشئة عن اختصاصات منظمات دولية</w:t>
      </w:r>
      <w:r w:rsidRPr="003A2A2A">
        <w:rPr>
          <w:rFonts w:hint="eastAsia"/>
          <w:rtl/>
        </w:rPr>
        <w:t> </w:t>
      </w:r>
      <w:r w:rsidRPr="003A2A2A">
        <w:rPr>
          <w:rFonts w:hint="cs"/>
          <w:rtl/>
        </w:rPr>
        <w:t>أخرى،</w:t>
      </w:r>
    </w:p>
    <w:p w14:paraId="08CF31C7" w14:textId="77777777" w:rsidR="00650AC3" w:rsidRPr="003A2A2A" w:rsidRDefault="00650AC3" w:rsidP="00650AC3"/>
    <w:p w14:paraId="0FB5540C" w14:textId="77777777" w:rsidR="00650AC3" w:rsidRPr="003A2A2A" w:rsidRDefault="00650AC3" w:rsidP="00650AC3"/>
    <w:p w14:paraId="3A65FF0A" w14:textId="77777777" w:rsidR="00650AC3" w:rsidRPr="003A2A2A" w:rsidRDefault="00650AC3" w:rsidP="00650AC3">
      <w:pPr>
        <w:rPr>
          <w:rtl/>
        </w:rPr>
      </w:pPr>
      <w:r w:rsidRPr="003A2A2A">
        <w:rPr>
          <w:rtl/>
        </w:rPr>
        <w:br w:type="page"/>
      </w:r>
    </w:p>
    <w:p w14:paraId="75F602B0" w14:textId="77777777" w:rsidR="00650AC3" w:rsidRPr="003A2A2A" w:rsidRDefault="00650AC3" w:rsidP="00650AC3">
      <w:pPr>
        <w:pStyle w:val="Call"/>
        <w:rPr>
          <w:rtl/>
        </w:rPr>
      </w:pPr>
      <w:r w:rsidRPr="003A2A2A">
        <w:rPr>
          <w:rFonts w:hint="cs"/>
          <w:rtl/>
        </w:rPr>
        <w:lastRenderedPageBreak/>
        <w:t>يقـرر</w:t>
      </w:r>
    </w:p>
    <w:p w14:paraId="79D214E4" w14:textId="77777777" w:rsidR="00650AC3" w:rsidRPr="003A2A2A" w:rsidRDefault="00650AC3" w:rsidP="00650AC3">
      <w:pPr>
        <w:rPr>
          <w:rtl/>
        </w:rPr>
      </w:pPr>
      <w:r w:rsidRPr="003A2A2A">
        <w:rPr>
          <w:rFonts w:hint="cs"/>
          <w:rtl/>
        </w:rPr>
        <w:t>أنه يتعين تأمين النفاذ على أساس غير تمييزي إلى وسائل الاتصالات/تكنولوجيا المعلومات والاتصالات وخدماتها وتطبيقاتها، القائمة على أساس توصيات قطاعي الاتصالات الراديوية وتقييس الاتصالات في الاتحاد،</w:t>
      </w:r>
    </w:p>
    <w:p w14:paraId="0B7871E2" w14:textId="77777777" w:rsidR="00650AC3" w:rsidRPr="003A2A2A" w:rsidRDefault="00650AC3" w:rsidP="00650AC3">
      <w:pPr>
        <w:pStyle w:val="Call"/>
        <w:rPr>
          <w:rtl/>
        </w:rPr>
      </w:pPr>
      <w:r w:rsidRPr="003A2A2A">
        <w:rPr>
          <w:rFonts w:hint="cs"/>
          <w:rtl/>
        </w:rPr>
        <w:t>يشجع مدير مكتب تنمية الاتصالات</w:t>
      </w:r>
    </w:p>
    <w:p w14:paraId="26B592BE" w14:textId="77777777" w:rsidR="00650AC3" w:rsidRPr="003A2A2A" w:rsidRDefault="00650AC3" w:rsidP="00650AC3">
      <w:pPr>
        <w:spacing w:line="187" w:lineRule="auto"/>
        <w:rPr>
          <w:rtl/>
        </w:rPr>
      </w:pPr>
      <w:r w:rsidRPr="003A2A2A">
        <w:rPr>
          <w:rFonts w:hint="cs"/>
          <w:rtl/>
        </w:rPr>
        <w:t>على الدخول في شراكات أو إقامة تعاون استراتيجي مع الجهات التي تحترم النفاذ إلى وسائل الاتصالات/تكنولوجيا المعلومات والاتصالات، وخدماتها وتطبيقاتها بدون تمييز،</w:t>
      </w:r>
    </w:p>
    <w:p w14:paraId="1ECB39E0" w14:textId="77777777" w:rsidR="00650AC3" w:rsidRPr="003A2A2A" w:rsidRDefault="00650AC3" w:rsidP="00650AC3">
      <w:pPr>
        <w:pStyle w:val="Call"/>
        <w:rPr>
          <w:rtl/>
        </w:rPr>
      </w:pPr>
      <w:r w:rsidRPr="003A2A2A">
        <w:rPr>
          <w:rFonts w:hint="cs"/>
          <w:rtl/>
        </w:rPr>
        <w:t>يطلب من الأمين العام</w:t>
      </w:r>
    </w:p>
    <w:p w14:paraId="7577F859" w14:textId="77777777" w:rsidR="00650AC3" w:rsidRPr="003A2A2A" w:rsidRDefault="00650AC3" w:rsidP="00650AC3">
      <w:pPr>
        <w:rPr>
          <w:rtl/>
        </w:rPr>
      </w:pPr>
      <w:r w:rsidRPr="003A2A2A">
        <w:rPr>
          <w:rFonts w:hint="cs"/>
          <w:rtl/>
        </w:rPr>
        <w:t>إحالة هذا القرار إلى مؤتمر المندوبين المفوضين القادم للنظر فيه،</w:t>
      </w:r>
    </w:p>
    <w:p w14:paraId="167F7475" w14:textId="77777777" w:rsidR="00650AC3" w:rsidRPr="003A2A2A" w:rsidRDefault="00650AC3" w:rsidP="00650AC3">
      <w:pPr>
        <w:pStyle w:val="Call"/>
        <w:rPr>
          <w:rtl/>
        </w:rPr>
      </w:pPr>
      <w:r w:rsidRPr="003A2A2A">
        <w:rPr>
          <w:rFonts w:hint="cs"/>
          <w:rtl/>
        </w:rPr>
        <w:t>يدعو مؤتمر المندوبين المفوضين</w:t>
      </w:r>
    </w:p>
    <w:p w14:paraId="32A36560" w14:textId="77777777" w:rsidR="00650AC3" w:rsidRPr="003A2A2A" w:rsidRDefault="00650AC3" w:rsidP="00650AC3">
      <w:pPr>
        <w:spacing w:line="187" w:lineRule="auto"/>
        <w:rPr>
          <w:rtl/>
        </w:rPr>
      </w:pPr>
      <w:r w:rsidRPr="003A2A2A">
        <w:rPr>
          <w:rFonts w:hint="cs"/>
          <w:rtl/>
        </w:rPr>
        <w:t>إلى النظر في هذا القرار بهدف اتخاذ إجراءات تضمن تعزيز النفاذ إلى وسائل الاتصالات/تكنولوجيات الاتصالات والمعلومات الحديثة وخدماتها وتطبيقاتها على الصعيد العالمي،</w:t>
      </w:r>
    </w:p>
    <w:p w14:paraId="4174E88B" w14:textId="77777777" w:rsidR="00650AC3" w:rsidRPr="003A2A2A" w:rsidRDefault="00650AC3" w:rsidP="00650AC3">
      <w:pPr>
        <w:pStyle w:val="Call"/>
        <w:rPr>
          <w:rtl/>
        </w:rPr>
      </w:pPr>
      <w:r w:rsidRPr="003A2A2A">
        <w:rPr>
          <w:rFonts w:hint="cs"/>
          <w:rtl/>
        </w:rPr>
        <w:t>يدعو الدول الأعضاء</w:t>
      </w:r>
    </w:p>
    <w:p w14:paraId="3D0A0014" w14:textId="77777777" w:rsidR="00650AC3" w:rsidRPr="003A2A2A" w:rsidRDefault="00650AC3" w:rsidP="00650AC3">
      <w:pPr>
        <w:spacing w:line="187" w:lineRule="auto"/>
        <w:rPr>
          <w:rtl/>
        </w:rPr>
      </w:pPr>
      <w:r w:rsidRPr="003A2A2A">
        <w:t>1</w:t>
      </w:r>
      <w:r w:rsidRPr="003A2A2A">
        <w:rPr>
          <w:rtl/>
          <w:lang w:bidi="ar-LB"/>
        </w:rPr>
        <w:tab/>
      </w:r>
      <w:r w:rsidRPr="003A2A2A">
        <w:rPr>
          <w:color w:val="000000"/>
          <w:rtl/>
        </w:rPr>
        <w:t>إلى الامتناع عن اتخاذ أي تدابير من جانب واحد و/أو</w:t>
      </w:r>
      <w:r w:rsidRPr="003A2A2A">
        <w:rPr>
          <w:rFonts w:hint="cs"/>
          <w:color w:val="000000"/>
          <w:rtl/>
        </w:rPr>
        <w:t xml:space="preserve"> تدابير</w:t>
      </w:r>
      <w:r w:rsidRPr="003A2A2A">
        <w:rPr>
          <w:color w:val="000000"/>
          <w:rtl/>
        </w:rPr>
        <w:t xml:space="preserve"> تمييزية من شأنها أن تعيق تقنياً النفاذ التام لدولة عضو أخرى إلى الإنترنت تماشياً </w:t>
      </w:r>
      <w:r w:rsidRPr="003A2A2A">
        <w:rPr>
          <w:rFonts w:hint="cs"/>
          <w:color w:val="000000"/>
          <w:rtl/>
        </w:rPr>
        <w:t xml:space="preserve">مع </w:t>
      </w:r>
      <w:r w:rsidRPr="003A2A2A">
        <w:rPr>
          <w:color w:val="000000"/>
          <w:rtl/>
        </w:rPr>
        <w:t>روح المادة</w:t>
      </w:r>
      <w:r w:rsidRPr="003A2A2A">
        <w:rPr>
          <w:rFonts w:hint="cs"/>
          <w:rtl/>
        </w:rPr>
        <w:t> </w:t>
      </w:r>
      <w:r w:rsidRPr="003A2A2A">
        <w:rPr>
          <w:color w:val="000000"/>
        </w:rPr>
        <w:t>1</w:t>
      </w:r>
      <w:r w:rsidRPr="003A2A2A">
        <w:rPr>
          <w:color w:val="000000"/>
          <w:rtl/>
        </w:rPr>
        <w:t xml:space="preserve"> من دستور الاتحاد ومبادئ القمة العالمية لمجتمع </w:t>
      </w:r>
      <w:proofErr w:type="gramStart"/>
      <w:r w:rsidRPr="003A2A2A">
        <w:rPr>
          <w:color w:val="000000"/>
          <w:rtl/>
        </w:rPr>
        <w:t>المعلومات</w:t>
      </w:r>
      <w:r w:rsidRPr="003A2A2A">
        <w:rPr>
          <w:rFonts w:hint="cs"/>
          <w:color w:val="000000"/>
          <w:rtl/>
        </w:rPr>
        <w:t>؛</w:t>
      </w:r>
      <w:proofErr w:type="gramEnd"/>
    </w:p>
    <w:p w14:paraId="43B1C21A" w14:textId="77777777" w:rsidR="00650AC3" w:rsidRPr="003A2A2A" w:rsidRDefault="00650AC3" w:rsidP="00650AC3">
      <w:pPr>
        <w:spacing w:line="187" w:lineRule="auto"/>
        <w:rPr>
          <w:rtl/>
        </w:rPr>
      </w:pPr>
      <w:r w:rsidRPr="003A2A2A">
        <w:t>2</w:t>
      </w:r>
      <w:r w:rsidRPr="003A2A2A">
        <w:rPr>
          <w:rtl/>
          <w:lang w:bidi="ar-LB"/>
        </w:rPr>
        <w:tab/>
      </w:r>
      <w:r w:rsidRPr="003A2A2A">
        <w:rPr>
          <w:rFonts w:hint="cs"/>
          <w:rtl/>
        </w:rPr>
        <w:t xml:space="preserve">إلى مساعدة جهات تصنيع التجهيزات ومزودي خدمات الاتصالات/تكنولوجيا المعلومات والاتصالات، لضمان إتاحة وسائل الاتصالات/تكنولوجيا المعلومات والاتصالات وخدماتها وتطبيقاتها القائمة على أساس التوصيات الصادرة عن القطاعين للجميع بدون أي تمييز، وفقاً لنواتج </w:t>
      </w:r>
      <w:r w:rsidRPr="003A2A2A">
        <w:rPr>
          <w:rFonts w:hint="eastAsia"/>
          <w:rtl/>
        </w:rPr>
        <w:t>القمة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العالمية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لمجتمع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المعلومات</w:t>
      </w:r>
      <w:r w:rsidRPr="003A2A2A">
        <w:rPr>
          <w:rFonts w:hint="cs"/>
          <w:rtl/>
        </w:rPr>
        <w:t>.</w:t>
      </w:r>
    </w:p>
    <w:p w14:paraId="15703A30" w14:textId="77777777" w:rsidR="00650AC3" w:rsidRPr="003A2A2A" w:rsidRDefault="00650AC3" w:rsidP="00650AC3"/>
    <w:p w14:paraId="0D74F5A5" w14:textId="77777777" w:rsidR="00650AC3" w:rsidRPr="003A2A2A" w:rsidRDefault="00650AC3" w:rsidP="00650AC3"/>
    <w:p w14:paraId="5B0062E0" w14:textId="77777777" w:rsidR="00650AC3" w:rsidRPr="003A2A2A" w:rsidRDefault="00650AC3" w:rsidP="00650AC3"/>
    <w:p w14:paraId="38DE2476" w14:textId="77777777" w:rsidR="00CE6C6B" w:rsidRDefault="00CE6C6B"/>
    <w:sectPr w:rsidR="00CE6C6B" w:rsidSect="003707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4" w:code="9"/>
      <w:pgMar w:top="1418" w:right="1134" w:bottom="1418" w:left="1134" w:header="720" w:footer="720" w:gutter="0"/>
      <w:cols w:space="720"/>
      <w:vAlign w:val="both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308C7" w14:textId="77777777" w:rsidR="001A6351" w:rsidRDefault="001A6351">
      <w:pPr>
        <w:spacing w:before="0" w:line="240" w:lineRule="auto"/>
      </w:pPr>
      <w:r>
        <w:separator/>
      </w:r>
    </w:p>
  </w:endnote>
  <w:endnote w:type="continuationSeparator" w:id="0">
    <w:p w14:paraId="3A179121" w14:textId="77777777" w:rsidR="001A6351" w:rsidRDefault="001A635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A745E" w14:textId="77777777" w:rsidR="001A6351" w:rsidRDefault="001A63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B6770" w14:textId="77777777" w:rsidR="001A6351" w:rsidRDefault="001A63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ADDA0" w14:textId="77777777" w:rsidR="001A6351" w:rsidRDefault="001A6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98AB9" w14:textId="77777777" w:rsidR="001A6351" w:rsidRDefault="001A6351">
      <w:pPr>
        <w:spacing w:before="0" w:line="240" w:lineRule="auto"/>
      </w:pPr>
      <w:r>
        <w:separator/>
      </w:r>
    </w:p>
  </w:footnote>
  <w:footnote w:type="continuationSeparator" w:id="0">
    <w:p w14:paraId="2639F23B" w14:textId="77777777" w:rsidR="001A6351" w:rsidRDefault="001A635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  <w:rtl/>
      </w:rPr>
      <w:id w:val="-19446848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FE8DE8" w14:textId="77777777" w:rsidR="001A6351" w:rsidRPr="00713E5A" w:rsidRDefault="001A6351" w:rsidP="001A6351">
        <w:pPr>
          <w:pStyle w:val="Header"/>
          <w:tabs>
            <w:tab w:val="clear" w:pos="794"/>
            <w:tab w:val="left" w:pos="851"/>
          </w:tabs>
          <w:jc w:val="left"/>
          <w:rPr>
            <w:sz w:val="16"/>
            <w:szCs w:val="16"/>
          </w:rPr>
        </w:pPr>
        <w:r w:rsidRPr="00713E5A">
          <w:rPr>
            <w:sz w:val="16"/>
            <w:szCs w:val="16"/>
          </w:rPr>
          <w:fldChar w:fldCharType="begin"/>
        </w:r>
        <w:r w:rsidRPr="00713E5A">
          <w:rPr>
            <w:sz w:val="16"/>
            <w:szCs w:val="16"/>
          </w:rPr>
          <w:instrText xml:space="preserve"> PAGE   \* MERGEFORMAT </w:instrText>
        </w:r>
        <w:r w:rsidRPr="00713E5A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116</w:t>
        </w:r>
        <w:r w:rsidRPr="00713E5A">
          <w:rPr>
            <w:noProof/>
            <w:sz w:val="16"/>
            <w:szCs w:val="16"/>
          </w:rPr>
          <w:fldChar w:fldCharType="end"/>
        </w:r>
        <w:r>
          <w:rPr>
            <w:sz w:val="16"/>
            <w:szCs w:val="16"/>
          </w:rPr>
          <w:tab/>
        </w:r>
        <w:r w:rsidRPr="00D80939">
          <w:rPr>
            <w:sz w:val="16"/>
            <w:szCs w:val="16"/>
            <w:rtl/>
          </w:rPr>
          <w:t xml:space="preserve">التقرير النهائي للمؤتمر العالمي لتنمية الاتصالات لعام 2022 </w:t>
        </w:r>
        <w:r>
          <w:rPr>
            <w:rFonts w:hint="cs"/>
            <w:sz w:val="16"/>
            <w:szCs w:val="16"/>
            <w:rtl/>
          </w:rPr>
          <w:t>–</w:t>
        </w:r>
        <w:r w:rsidRPr="00D80939">
          <w:rPr>
            <w:sz w:val="16"/>
            <w:szCs w:val="16"/>
            <w:rtl/>
          </w:rPr>
          <w:t xml:space="preserve"> </w:t>
        </w:r>
        <w:r>
          <w:rPr>
            <w:rFonts w:hint="cs"/>
            <w:sz w:val="16"/>
            <w:szCs w:val="16"/>
            <w:rtl/>
          </w:rPr>
          <w:t>الجزء الرابع – القرار 20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7211374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7972E4" w14:textId="77777777" w:rsidR="001A6351" w:rsidRPr="00713E5A" w:rsidRDefault="00650AC3" w:rsidP="00AB63D9">
        <w:pPr>
          <w:pStyle w:val="Header"/>
          <w:tabs>
            <w:tab w:val="clear" w:pos="794"/>
            <w:tab w:val="left" w:pos="851"/>
          </w:tabs>
          <w:bidi w:val="0"/>
          <w:jc w:val="left"/>
          <w:rPr>
            <w:sz w:val="16"/>
            <w:szCs w:val="16"/>
          </w:rPr>
        </w:pPr>
        <w:r w:rsidRPr="00713E5A">
          <w:rPr>
            <w:sz w:val="16"/>
            <w:szCs w:val="16"/>
          </w:rPr>
          <w:fldChar w:fldCharType="begin"/>
        </w:r>
        <w:r w:rsidRPr="00713E5A">
          <w:rPr>
            <w:sz w:val="16"/>
            <w:szCs w:val="16"/>
          </w:rPr>
          <w:instrText xml:space="preserve"> PAGE   \* MERGEFORMAT </w:instrText>
        </w:r>
        <w:r w:rsidRPr="00713E5A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63</w:t>
        </w:r>
        <w:r w:rsidRPr="00713E5A">
          <w:rPr>
            <w:noProof/>
            <w:sz w:val="16"/>
            <w:szCs w:val="16"/>
          </w:rPr>
          <w:fldChar w:fldCharType="end"/>
        </w:r>
        <w:r>
          <w:rPr>
            <w:sz w:val="16"/>
            <w:szCs w:val="16"/>
          </w:rPr>
          <w:tab/>
        </w:r>
        <w:r w:rsidRPr="00D80939">
          <w:rPr>
            <w:sz w:val="16"/>
            <w:szCs w:val="16"/>
            <w:rtl/>
          </w:rPr>
          <w:t xml:space="preserve">التقرير النهائي للمؤتمر العالمي لتنمية الاتصالات لعام 2022 </w:t>
        </w:r>
        <w:r>
          <w:rPr>
            <w:rFonts w:hint="cs"/>
            <w:sz w:val="16"/>
            <w:szCs w:val="16"/>
            <w:rtl/>
          </w:rPr>
          <w:t>–</w:t>
        </w:r>
        <w:r w:rsidRPr="00D80939">
          <w:rPr>
            <w:sz w:val="16"/>
            <w:szCs w:val="16"/>
            <w:rtl/>
          </w:rPr>
          <w:t xml:space="preserve"> </w:t>
        </w:r>
        <w:r>
          <w:rPr>
            <w:rFonts w:hint="cs"/>
            <w:sz w:val="16"/>
            <w:szCs w:val="16"/>
            <w:rtl/>
          </w:rPr>
          <w:t>الجزء الرابع – القرار 20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795633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2CA566" w14:textId="77777777" w:rsidR="001A6351" w:rsidRPr="00713E5A" w:rsidRDefault="001A6351" w:rsidP="001A6351">
        <w:pPr>
          <w:pStyle w:val="Header"/>
          <w:tabs>
            <w:tab w:val="clear" w:pos="794"/>
            <w:tab w:val="left" w:pos="851"/>
          </w:tabs>
          <w:bidi w:val="0"/>
          <w:jc w:val="left"/>
          <w:rPr>
            <w:sz w:val="16"/>
            <w:szCs w:val="16"/>
          </w:rPr>
        </w:pPr>
        <w:r w:rsidRPr="00713E5A">
          <w:rPr>
            <w:sz w:val="16"/>
            <w:szCs w:val="16"/>
          </w:rPr>
          <w:fldChar w:fldCharType="begin"/>
        </w:r>
        <w:r w:rsidRPr="00713E5A">
          <w:rPr>
            <w:sz w:val="16"/>
            <w:szCs w:val="16"/>
          </w:rPr>
          <w:instrText xml:space="preserve"> PAGE   \* MERGEFORMAT </w:instrText>
        </w:r>
        <w:r w:rsidRPr="00713E5A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117</w:t>
        </w:r>
        <w:r w:rsidRPr="00713E5A">
          <w:rPr>
            <w:noProof/>
            <w:sz w:val="16"/>
            <w:szCs w:val="16"/>
          </w:rPr>
          <w:fldChar w:fldCharType="end"/>
        </w:r>
        <w:r>
          <w:rPr>
            <w:sz w:val="16"/>
            <w:szCs w:val="16"/>
          </w:rPr>
          <w:tab/>
        </w:r>
        <w:r w:rsidRPr="00D80939">
          <w:rPr>
            <w:sz w:val="16"/>
            <w:szCs w:val="16"/>
            <w:rtl/>
          </w:rPr>
          <w:t xml:space="preserve">التقرير النهائي للمؤتمر العالمي لتنمية الاتصالات لعام 2022 </w:t>
        </w:r>
        <w:r>
          <w:rPr>
            <w:rFonts w:hint="cs"/>
            <w:sz w:val="16"/>
            <w:szCs w:val="16"/>
            <w:rtl/>
          </w:rPr>
          <w:t>–</w:t>
        </w:r>
        <w:r w:rsidRPr="00D80939">
          <w:rPr>
            <w:sz w:val="16"/>
            <w:szCs w:val="16"/>
            <w:rtl/>
          </w:rPr>
          <w:t xml:space="preserve"> </w:t>
        </w:r>
        <w:r>
          <w:rPr>
            <w:rFonts w:hint="cs"/>
            <w:sz w:val="16"/>
            <w:szCs w:val="16"/>
            <w:rtl/>
          </w:rPr>
          <w:t>الجزء الرابع – القرار 20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AC3"/>
    <w:rsid w:val="000C7E7E"/>
    <w:rsid w:val="0012086A"/>
    <w:rsid w:val="001A6351"/>
    <w:rsid w:val="001C1912"/>
    <w:rsid w:val="00312F86"/>
    <w:rsid w:val="00370784"/>
    <w:rsid w:val="00503CDC"/>
    <w:rsid w:val="00650AC3"/>
    <w:rsid w:val="0066087E"/>
    <w:rsid w:val="006E326C"/>
    <w:rsid w:val="007C6F7A"/>
    <w:rsid w:val="00844E50"/>
    <w:rsid w:val="00A641FA"/>
    <w:rsid w:val="00C01150"/>
    <w:rsid w:val="00CE6C6B"/>
    <w:rsid w:val="00D54A42"/>
    <w:rsid w:val="00F7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B8D113"/>
  <w14:defaultImageDpi w14:val="32767"/>
  <w15:chartTrackingRefBased/>
  <w15:docId w15:val="{BB752AA2-A579-434A-8A3C-6B283698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351"/>
    <w:pPr>
      <w:bidi/>
      <w:spacing w:before="120" w:after="0" w:line="192" w:lineRule="auto"/>
      <w:jc w:val="both"/>
    </w:pPr>
    <w:rPr>
      <w:rFonts w:ascii="Dubai" w:hAnsi="Dubai" w:cs="Duba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qFormat/>
    <w:rsid w:val="00650AC3"/>
    <w:pPr>
      <w:keepNext/>
      <w:tabs>
        <w:tab w:val="left" w:pos="794"/>
      </w:tabs>
      <w:spacing w:before="160"/>
      <w:ind w:left="1588" w:hanging="794"/>
    </w:pPr>
    <w:rPr>
      <w:rFonts w:eastAsiaTheme="minorEastAsia"/>
      <w:i/>
      <w:iCs/>
      <w:lang w:val="en-US" w:eastAsia="zh-CN"/>
    </w:rPr>
  </w:style>
  <w:style w:type="paragraph" w:customStyle="1" w:styleId="Normalaftertitle">
    <w:name w:val="Normal after title"/>
    <w:basedOn w:val="Normal"/>
    <w:qFormat/>
    <w:rsid w:val="00650AC3"/>
    <w:pPr>
      <w:keepNext/>
      <w:tabs>
        <w:tab w:val="left" w:pos="794"/>
      </w:tabs>
      <w:spacing w:before="360"/>
    </w:pPr>
    <w:rPr>
      <w:rFonts w:eastAsiaTheme="minorEastAsia"/>
      <w:lang w:val="en-US" w:eastAsia="zh-CN" w:bidi="ar-SY"/>
    </w:rPr>
  </w:style>
  <w:style w:type="paragraph" w:customStyle="1" w:styleId="ResNo">
    <w:name w:val="Res_No"/>
    <w:basedOn w:val="Normal"/>
    <w:qFormat/>
    <w:rsid w:val="00650AC3"/>
    <w:pPr>
      <w:keepNext/>
      <w:keepLines/>
      <w:tabs>
        <w:tab w:val="left" w:pos="794"/>
      </w:tabs>
      <w:spacing w:before="360"/>
      <w:jc w:val="center"/>
      <w:outlineLvl w:val="0"/>
    </w:pPr>
    <w:rPr>
      <w:rFonts w:eastAsiaTheme="minorEastAsia"/>
      <w:sz w:val="26"/>
      <w:szCs w:val="26"/>
      <w:lang w:val="en-US" w:eastAsia="zh-CN"/>
    </w:rPr>
  </w:style>
  <w:style w:type="paragraph" w:customStyle="1" w:styleId="Restitle">
    <w:name w:val="Res_title"/>
    <w:basedOn w:val="Normal"/>
    <w:qFormat/>
    <w:rsid w:val="00650AC3"/>
    <w:pPr>
      <w:keepNext/>
      <w:keepLines/>
      <w:tabs>
        <w:tab w:val="left" w:pos="794"/>
      </w:tabs>
      <w:spacing w:before="240"/>
      <w:jc w:val="center"/>
    </w:pPr>
    <w:rPr>
      <w:rFonts w:eastAsiaTheme="minorEastAsia"/>
      <w:b/>
      <w:bCs/>
      <w:sz w:val="26"/>
      <w:szCs w:val="26"/>
      <w:lang w:val="en-US" w:eastAsia="zh-CN" w:bidi="ar-SY"/>
    </w:rPr>
  </w:style>
  <w:style w:type="paragraph" w:styleId="Header">
    <w:name w:val="header"/>
    <w:basedOn w:val="Normal"/>
    <w:link w:val="HeaderChar"/>
    <w:uiPriority w:val="99"/>
    <w:unhideWhenUsed/>
    <w:rsid w:val="00650AC3"/>
    <w:pPr>
      <w:tabs>
        <w:tab w:val="left" w:pos="794"/>
        <w:tab w:val="center" w:pos="4680"/>
        <w:tab w:val="right" w:pos="9360"/>
      </w:tabs>
      <w:spacing w:line="240" w:lineRule="auto"/>
    </w:pPr>
    <w:rPr>
      <w:rFonts w:eastAsiaTheme="minorEastAsia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50AC3"/>
    <w:rPr>
      <w:rFonts w:ascii="Dubai" w:eastAsiaTheme="minorEastAsia" w:hAnsi="Dubai" w:cs="Dubai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1A635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Adea, Maynard</dc:creator>
  <cp:keywords/>
  <dc:description/>
  <cp:lastModifiedBy>Gergis, Mina</cp:lastModifiedBy>
  <cp:revision>2</cp:revision>
  <dcterms:created xsi:type="dcterms:W3CDTF">2023-10-16T07:36:00Z</dcterms:created>
  <dcterms:modified xsi:type="dcterms:W3CDTF">2023-10-16T11:34:00Z</dcterms:modified>
</cp:coreProperties>
</file>