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6A645" w14:textId="77777777" w:rsidR="00E00DC2" w:rsidRDefault="00AB2403" w:rsidP="00185645">
      <w:pPr>
        <w:pStyle w:val="ResNo"/>
        <w:rPr>
          <w:lang w:val="es-ES_tradnl"/>
        </w:rPr>
      </w:pPr>
      <w:bookmarkStart w:id="0" w:name="_Toc227854871"/>
      <w:bookmarkStart w:id="1" w:name="_Toc227855205"/>
      <w:bookmarkStart w:id="2" w:name="_Toc227855412"/>
      <w:bookmarkStart w:id="3" w:name="_Toc227856158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2</w:t>
      </w:r>
      <w:r w:rsidRPr="003C0233">
        <w:rPr>
          <w:lang w:val="es-ES_tradnl"/>
        </w:rPr>
        <w:t xml:space="preserve"> (Rev. </w:t>
      </w:r>
      <w:r w:rsidR="00A94C1C" w:rsidRPr="003C0233">
        <w:rPr>
          <w:lang w:val="es-ES_tradnl"/>
        </w:rPr>
        <w:t>Bakú</w:t>
      </w:r>
      <w:r w:rsidRPr="003C0233">
        <w:rPr>
          <w:lang w:val="es-ES_tradnl"/>
        </w:rPr>
        <w:t>, 2025)</w:t>
      </w:r>
      <w:bookmarkStart w:id="4" w:name="_Toc227854872"/>
      <w:bookmarkStart w:id="5" w:name="_Toc227855206"/>
      <w:bookmarkStart w:id="6" w:name="_Toc227855413"/>
      <w:bookmarkStart w:id="7" w:name="_Toc227856159"/>
      <w:bookmarkEnd w:id="0"/>
      <w:bookmarkEnd w:id="1"/>
      <w:bookmarkEnd w:id="2"/>
      <w:bookmarkEnd w:id="3"/>
    </w:p>
    <w:p w14:paraId="770846E7" w14:textId="0C9A70D0" w:rsidR="00AB2403" w:rsidRPr="003C0233" w:rsidRDefault="00AB2403" w:rsidP="00E00DC2">
      <w:pPr>
        <w:pStyle w:val="Restitle"/>
        <w:rPr>
          <w:lang w:val="es-ES_tradnl"/>
        </w:rPr>
      </w:pPr>
      <w:r w:rsidRPr="003C0233">
        <w:rPr>
          <w:lang w:val="es-ES_tradnl"/>
        </w:rPr>
        <w:t>Establecimiento de Comisiones de Estudio</w:t>
      </w:r>
      <w:bookmarkEnd w:id="4"/>
      <w:bookmarkEnd w:id="5"/>
      <w:bookmarkEnd w:id="6"/>
      <w:bookmarkEnd w:id="7"/>
    </w:p>
    <w:p w14:paraId="1394F678" w14:textId="77777777" w:rsidR="00AB2403" w:rsidRPr="003C0233" w:rsidRDefault="00AB2403" w:rsidP="00AB2403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(Bakú, 2025),</w:t>
      </w:r>
    </w:p>
    <w:p w14:paraId="54C01875" w14:textId="77777777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>considerando</w:t>
      </w:r>
    </w:p>
    <w:p w14:paraId="6877298D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el mandato de cada Comisión de Estudio se ha de definir claramente a fin de evitar duplicaciones entre las Comisiones de Estudio y otros Grupos del Sector de Desarrollo de las Telecomunicaciones de la UIT (UIT-D) establecidos conforme al número 209 a) del Artículo 16 del Convenio de la UIT y de velar por la coherencia del programa de trabajo global del Sector;</w:t>
      </w:r>
    </w:p>
    <w:p w14:paraId="3E81F963" w14:textId="11734D5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que, para llevar a cabo los estudios encargados al UIT</w:t>
      </w:r>
      <w:r w:rsidRPr="003C0233">
        <w:rPr>
          <w:lang w:val="es-ES_tradnl"/>
        </w:rPr>
        <w:noBreakHyphen/>
        <w:t>D, conviene establecer Comisiones de Estudio, según se estipula en los Artículos 17 y 20 del Convenio, que se ocuparán de Cuestiones específicas de telecomunicaciones dotadas de una orientación práctica y que resultan prioritarias para los países en desarrollo</w:t>
      </w:r>
      <w:r w:rsidR="00D9469A" w:rsidRPr="003C0233">
        <w:rPr>
          <w:rStyle w:val="FootnoteReference"/>
          <w:lang w:val="es-ES_tradnl"/>
        </w:rPr>
        <w:footnoteReference w:id="1"/>
      </w:r>
      <w:r w:rsidRPr="003C0233">
        <w:rPr>
          <w:lang w:val="es-ES_tradnl"/>
        </w:rPr>
        <w:t>, teniendo en cuenta el Plan Estratégico y los objetivos de la UIT, y prepararán documentos pertinentes en forma de Informes, Directrices y/o Recomendaciones para el desarrollo de las telecomunicaciones/tecnologías de la información y la comunicación;</w:t>
      </w:r>
    </w:p>
    <w:p w14:paraId="1B492BC6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se han de evitar en la medida de lo posible las duplicaciones entre los estudios emprendidos por el UIT</w:t>
      </w:r>
      <w:r w:rsidRPr="003C0233">
        <w:rPr>
          <w:lang w:val="es-ES_tradnl"/>
        </w:rPr>
        <w:noBreakHyphen/>
        <w:t>D y los realizados por los otros dos Sectores de la Unión;</w:t>
      </w:r>
    </w:p>
    <w:p w14:paraId="6121187B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los resultados de los estudios sobre las Cuestiones de estudio adoptadas por la Conferencia Mundial de Desarrollo de las Telecomunicaciones (Dubái, 2014) y la Conferencia Mundial de Desarrollo de las Telecomunicaciones (Buenos Aires, 2017) y asignadas a las dos Comisiones de Estudio,</w:t>
      </w:r>
    </w:p>
    <w:p w14:paraId="4DB50072" w14:textId="77777777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>resuelve</w:t>
      </w:r>
    </w:p>
    <w:p w14:paraId="33DF067B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se lleven a cabo los trabajos de las dos Comisiones de Estudio del Sector, con una responsabilidad clara y los mandatos indicados en el Anexo 1 a la presente Resolución;</w:t>
      </w:r>
    </w:p>
    <w:p w14:paraId="4C6A8D2C" w14:textId="30039AFE" w:rsidR="009F442F" w:rsidRPr="003C0233" w:rsidRDefault="009F442F" w:rsidP="00AB2403">
      <w:pPr>
        <w:rPr>
          <w:lang w:val="es-ES_tradnl"/>
        </w:rPr>
      </w:pPr>
      <w:r w:rsidRPr="003C0233">
        <w:rPr>
          <w:lang w:val="es-ES_tradnl"/>
        </w:rPr>
        <w:br w:type="page"/>
      </w:r>
    </w:p>
    <w:p w14:paraId="0E087A33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lastRenderedPageBreak/>
        <w:t>2</w:t>
      </w:r>
      <w:r w:rsidRPr="003C0233">
        <w:rPr>
          <w:lang w:val="es-ES_tradnl"/>
        </w:rPr>
        <w:tab/>
        <w:t>que cada Comisión de Estudio y sus grupos correspondientes realicen estudios en el marco de las Cuestiones del UIT</w:t>
      </w:r>
      <w:r w:rsidRPr="003C0233">
        <w:rPr>
          <w:lang w:val="es-ES_tradnl"/>
        </w:rPr>
        <w:noBreakHyphen/>
        <w:t>D adoptadas por la presente Conferencia y que le hayan sido asignadas conforme a la estructura que se presenta del Anexo 2 a la presente Resolución, así como las Cuestiones de estudio del UIT</w:t>
      </w:r>
      <w:r w:rsidRPr="003C0233">
        <w:rPr>
          <w:lang w:val="es-ES_tradnl"/>
        </w:rPr>
        <w:noBreakHyphen/>
        <w:t>D adoptadas o revisadas entre dos Conferencias Mundiales de Desarrollo de las Telecomunicaciones (CMDT) de conformidad con lo dispuesto en la Resolución 1 (Rev. Bakú, 2025) de la presente Conferencia;</w:t>
      </w:r>
    </w:p>
    <w:p w14:paraId="416ECEBA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la organización de las Comisiones de Estudio propicie un aumento de las sinergias, la transparencia y la eficacia con un solapamiento mínimo entre las Cuestiones de estudio del UIT</w:t>
      </w:r>
      <w:r w:rsidRPr="003C0233">
        <w:rPr>
          <w:lang w:val="es-ES_tradnl"/>
        </w:rPr>
        <w:noBreakHyphen/>
        <w:t>D;</w:t>
      </w:r>
    </w:p>
    <w:p w14:paraId="52FD964D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las Cuestiones de estudio del UIT</w:t>
      </w:r>
      <w:r w:rsidRPr="003C0233">
        <w:rPr>
          <w:lang w:val="es-ES_tradnl"/>
        </w:rPr>
        <w:noBreakHyphen/>
        <w:t>D deben estar relacionadas con la ejecución de las Resoluciones de la CMDT y de la Conferencia de Plenipotenciarios (PP), y también con los programas de la Oficina de Desarrollo de las Telecomunicaciones (BDT) establecidos en el Plan de Acción del UIT</w:t>
      </w:r>
      <w:r w:rsidRPr="003C0233">
        <w:rPr>
          <w:lang w:val="es-ES_tradnl"/>
        </w:rPr>
        <w:noBreakHyphen/>
        <w:t>D, a fin de que dichas Comisiones de Estudio y los programas de la BDT se beneficien mutuamente de las actividades, los recursos y los conocimientos de cada uno de ellos, y contribuyan conjuntamente al logro de los Objetivos del UIT</w:t>
      </w:r>
      <w:r w:rsidRPr="003C0233">
        <w:rPr>
          <w:lang w:val="es-ES_tradnl"/>
        </w:rPr>
        <w:noBreakHyphen/>
        <w:t>D;</w:t>
      </w:r>
    </w:p>
    <w:p w14:paraId="657BF4EB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5</w:t>
      </w:r>
      <w:r w:rsidRPr="003C0233">
        <w:rPr>
          <w:lang w:val="es-ES_tradnl"/>
        </w:rPr>
        <w:tab/>
        <w:t>que las Comisiones de Estudio utilicen los resultados y materiales pertinentes de los otros dos Sectores y la Secretaría General relacionados con sus mandatos y colaboren estrechamente con las Comisiones de Estudio de los otros Sectores en asuntos de interés común;</w:t>
      </w:r>
    </w:p>
    <w:p w14:paraId="5F6FB941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6</w:t>
      </w:r>
      <w:r w:rsidRPr="003C0233">
        <w:rPr>
          <w:lang w:val="es-ES_tradnl"/>
        </w:rPr>
        <w:tab/>
        <w:t xml:space="preserve">que las Comisiones de Estudio sean dirigidas por los </w:t>
      </w:r>
      <w:proofErr w:type="gramStart"/>
      <w:r w:rsidRPr="003C0233">
        <w:rPr>
          <w:lang w:val="es-ES_tradnl"/>
        </w:rPr>
        <w:t>Presidentes</w:t>
      </w:r>
      <w:proofErr w:type="gramEnd"/>
      <w:r w:rsidRPr="003C0233">
        <w:rPr>
          <w:lang w:val="es-ES_tradnl"/>
        </w:rPr>
        <w:t xml:space="preserve"> y </w:t>
      </w:r>
      <w:proofErr w:type="gramStart"/>
      <w:r w:rsidRPr="003C0233">
        <w:rPr>
          <w:lang w:val="es-ES_tradnl"/>
        </w:rPr>
        <w:t>Vicepresidentes</w:t>
      </w:r>
      <w:proofErr w:type="gramEnd"/>
      <w:r w:rsidRPr="003C0233">
        <w:rPr>
          <w:lang w:val="es-ES_tradnl"/>
        </w:rPr>
        <w:t xml:space="preserve"> indicados en el Anexo 3 a la presente Resolución.</w:t>
      </w:r>
    </w:p>
    <w:p w14:paraId="25E0BB58" w14:textId="77777777" w:rsidR="006C021F" w:rsidRPr="003C0233" w:rsidRDefault="006C021F" w:rsidP="00AB2403">
      <w:pPr>
        <w:rPr>
          <w:lang w:val="es-ES_tradnl"/>
        </w:rPr>
      </w:pPr>
    </w:p>
    <w:p w14:paraId="7A84F0E1" w14:textId="77777777" w:rsidR="006C021F" w:rsidRPr="003C0233" w:rsidRDefault="006C021F" w:rsidP="00AB2403">
      <w:pPr>
        <w:rPr>
          <w:lang w:val="es-ES_tradnl"/>
        </w:rPr>
      </w:pPr>
    </w:p>
    <w:p w14:paraId="53456A77" w14:textId="77777777" w:rsidR="006C021F" w:rsidRPr="003C0233" w:rsidRDefault="006C021F" w:rsidP="00AB2403">
      <w:pPr>
        <w:rPr>
          <w:lang w:val="es-ES_tradnl"/>
        </w:rPr>
      </w:pPr>
    </w:p>
    <w:p w14:paraId="3ABD6808" w14:textId="77777777" w:rsidR="006C021F" w:rsidRPr="003C0233" w:rsidRDefault="006C021F" w:rsidP="00AB2403">
      <w:pPr>
        <w:rPr>
          <w:lang w:val="es-ES_tradnl"/>
        </w:rPr>
      </w:pPr>
    </w:p>
    <w:p w14:paraId="3B20875A" w14:textId="77777777" w:rsidR="006C021F" w:rsidRPr="003C0233" w:rsidRDefault="006C021F" w:rsidP="00AB2403">
      <w:pPr>
        <w:rPr>
          <w:lang w:val="es-ES_tradnl"/>
        </w:rPr>
      </w:pPr>
    </w:p>
    <w:p w14:paraId="064C8F34" w14:textId="77777777" w:rsidR="006C021F" w:rsidRPr="003C0233" w:rsidRDefault="006C021F" w:rsidP="00AB2403">
      <w:pPr>
        <w:rPr>
          <w:lang w:val="es-ES_tradnl"/>
        </w:rPr>
      </w:pPr>
    </w:p>
    <w:p w14:paraId="24C7B6A2" w14:textId="77777777" w:rsidR="006C021F" w:rsidRPr="003C0233" w:rsidRDefault="006C021F" w:rsidP="00AB2403">
      <w:pPr>
        <w:rPr>
          <w:lang w:val="es-ES_tradnl"/>
        </w:rPr>
      </w:pPr>
    </w:p>
    <w:p w14:paraId="5C22E34E" w14:textId="421E7051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br w:type="page"/>
      </w:r>
    </w:p>
    <w:p w14:paraId="4177085E" w14:textId="4FC988B6" w:rsidR="00AB2403" w:rsidRPr="003C0233" w:rsidRDefault="00AB2403" w:rsidP="00AB2403">
      <w:pPr>
        <w:pStyle w:val="AnnexNo"/>
        <w:rPr>
          <w:lang w:val="es-ES_tradnl"/>
        </w:rPr>
      </w:pPr>
      <w:bookmarkStart w:id="8" w:name="_Toc227855414"/>
      <w:bookmarkStart w:id="9" w:name="_Toc227856160"/>
      <w:r w:rsidRPr="003C0233">
        <w:rPr>
          <w:lang w:val="es-ES_tradnl"/>
        </w:rPr>
        <w:lastRenderedPageBreak/>
        <w:t>ANEXO 1 A LA RESOLUCIÓN 2 (</w:t>
      </w:r>
      <w:r w:rsidR="00A414F8" w:rsidRPr="003C0233">
        <w:rPr>
          <w:caps w:val="0"/>
          <w:lang w:val="es-ES_tradnl"/>
        </w:rPr>
        <w:t>Rev</w:t>
      </w:r>
      <w:r w:rsidRPr="003C0233">
        <w:rPr>
          <w:lang w:val="es-ES_tradnl"/>
        </w:rPr>
        <w:t xml:space="preserve">. </w:t>
      </w:r>
      <w:r w:rsidR="00A414F8" w:rsidRPr="003C0233">
        <w:rPr>
          <w:caps w:val="0"/>
          <w:lang w:val="es-ES_tradnl"/>
        </w:rPr>
        <w:t>Bakú</w:t>
      </w:r>
      <w:r w:rsidRPr="003C0233">
        <w:rPr>
          <w:lang w:val="es-ES_tradnl"/>
        </w:rPr>
        <w:t>, 2025)</w:t>
      </w:r>
      <w:bookmarkEnd w:id="8"/>
      <w:bookmarkEnd w:id="9"/>
    </w:p>
    <w:p w14:paraId="0E88E09C" w14:textId="77777777" w:rsidR="00AB2403" w:rsidRPr="003C0233" w:rsidRDefault="00AB2403" w:rsidP="00AB2403">
      <w:pPr>
        <w:pStyle w:val="Annextitle"/>
        <w:rPr>
          <w:lang w:val="es-ES_tradnl"/>
        </w:rPr>
      </w:pPr>
      <w:bookmarkStart w:id="10" w:name="_Toc227854873"/>
      <w:bookmarkStart w:id="11" w:name="_Toc227855207"/>
      <w:bookmarkStart w:id="12" w:name="_Toc227855415"/>
      <w:bookmarkStart w:id="13" w:name="_Toc227856161"/>
      <w:r w:rsidRPr="003C0233">
        <w:rPr>
          <w:lang w:val="es-ES_tradnl"/>
        </w:rPr>
        <w:t>Atribuciones de las Comisiones de Estudio del UIT-D</w:t>
      </w:r>
      <w:bookmarkEnd w:id="10"/>
      <w:bookmarkEnd w:id="11"/>
      <w:bookmarkEnd w:id="12"/>
      <w:bookmarkEnd w:id="13"/>
    </w:p>
    <w:p w14:paraId="341D67B6" w14:textId="77777777" w:rsidR="00AB2403" w:rsidRPr="003C0233" w:rsidRDefault="00AB2403" w:rsidP="00AB2403">
      <w:pPr>
        <w:pStyle w:val="Heading1"/>
        <w:rPr>
          <w:lang w:val="es-ES_tradnl"/>
        </w:rPr>
      </w:pPr>
      <w:bookmarkStart w:id="14" w:name="_Toc227854874"/>
      <w:bookmarkStart w:id="15" w:name="_Toc227856162"/>
      <w:r w:rsidRPr="003C0233">
        <w:rPr>
          <w:lang w:val="es-ES_tradnl"/>
        </w:rPr>
        <w:t>1</w:t>
      </w:r>
      <w:r w:rsidRPr="003C0233">
        <w:rPr>
          <w:lang w:val="es-ES_tradnl"/>
        </w:rPr>
        <w:tab/>
      </w:r>
      <w:proofErr w:type="gramStart"/>
      <w:r w:rsidRPr="003C0233">
        <w:rPr>
          <w:lang w:val="es-ES_tradnl"/>
        </w:rPr>
        <w:t>Comisión</w:t>
      </w:r>
      <w:proofErr w:type="gramEnd"/>
      <w:r w:rsidRPr="003C0233">
        <w:rPr>
          <w:lang w:val="es-ES_tradnl"/>
        </w:rPr>
        <w:t xml:space="preserve"> de Estudio 1</w:t>
      </w:r>
      <w:bookmarkEnd w:id="14"/>
      <w:bookmarkEnd w:id="15"/>
    </w:p>
    <w:p w14:paraId="67207CF1" w14:textId="5F3C9AE7" w:rsidR="00AB2403" w:rsidRPr="003C0233" w:rsidRDefault="00AB2403" w:rsidP="00AB2403">
      <w:pPr>
        <w:pStyle w:val="Headingb"/>
        <w:rPr>
          <w:lang w:val="es-ES_tradnl"/>
        </w:rPr>
      </w:pPr>
      <w:r w:rsidRPr="003C0233">
        <w:rPr>
          <w:lang w:val="es-ES_tradnl"/>
        </w:rPr>
        <w:t>Conectividad universal y significativa</w:t>
      </w:r>
      <w:r w:rsidR="00D9469A" w:rsidRPr="003C0233">
        <w:rPr>
          <w:rStyle w:val="FootnoteReference"/>
          <w:lang w:val="es-ES_tradnl"/>
        </w:rPr>
        <w:footnoteReference w:id="2"/>
      </w:r>
      <w:r w:rsidRPr="003C0233">
        <w:rPr>
          <w:lang w:val="es-ES_tradnl"/>
        </w:rPr>
        <w:t xml:space="preserve"> para la reducción de la brecha digital</w:t>
      </w:r>
    </w:p>
    <w:p w14:paraId="646622DC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Aspectos políticos y reglamentarios nacionales del desarrollo de las telecomunicaciones/TIC de banda ancha</w:t>
      </w:r>
    </w:p>
    <w:p w14:paraId="3D542EAF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Aspectos económicos del ámbito de las redes nacionales de telecomunicaciones/TIC, incluida la facilitación del asentamiento de la economía digital y la prestación de servicios de telecomunicaciones/TIC, en particular para las zonas rurales y remotas</w:t>
      </w:r>
    </w:p>
    <w:p w14:paraId="618FC477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Enfoques nacionales para la provisión de acceso a las telecomunicaciones/TIC en las zonas rurales y remotas, prestando una atención especial a los países en desarrollo, incluidos los países menos adelantados, los pequeños Estados insulares en desarrollo, los países en desarrollo sin litoral y los países con economías en transición</w:t>
      </w:r>
    </w:p>
    <w:p w14:paraId="637101B7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Acceso a los servicios de telecomunicaciones/TIC para permitir las comunicaciones inclusivas, especialmente para las personas con discapacidad y las personas con necesidades especiales</w:t>
      </w:r>
    </w:p>
    <w:p w14:paraId="015BA652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Migración y adopción de tecnologías digitales para la radiodifusión en diferentes entornos</w:t>
      </w:r>
    </w:p>
    <w:p w14:paraId="34084D4A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Utilización de las telecomunicaciones/TIC para la reducción y gestión del riesgo de catástrofes, especialmente en los países en desarrollo</w:t>
      </w:r>
    </w:p>
    <w:p w14:paraId="3D89DDE3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Información, protección, empoderamiento y derechos del consumidor respecto de los servicios de telecomunicaciones/TIC, en especial para los grupos vulnerables</w:t>
      </w:r>
    </w:p>
    <w:p w14:paraId="6D120FD0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Telecomunicaciones/TIC nuevas e incipientes, incluidas las aplicaciones de IA, para lograr la conectividad universal y significativa</w:t>
      </w:r>
    </w:p>
    <w:p w14:paraId="6AA7F56C" w14:textId="77777777" w:rsidR="005C3B78" w:rsidRPr="003C0233" w:rsidRDefault="005C3B78" w:rsidP="005C3B78">
      <w:pPr>
        <w:rPr>
          <w:lang w:val="es-ES_tradnl"/>
        </w:rPr>
      </w:pPr>
    </w:p>
    <w:p w14:paraId="50896058" w14:textId="77777777" w:rsidR="005C3B78" w:rsidRPr="003C0233" w:rsidRDefault="005C3B78" w:rsidP="005C3B78">
      <w:pPr>
        <w:rPr>
          <w:lang w:val="es-ES_tradnl"/>
        </w:rPr>
      </w:pPr>
    </w:p>
    <w:p w14:paraId="1A236B52" w14:textId="77777777" w:rsidR="005C3B78" w:rsidRPr="003C0233" w:rsidRDefault="005C3B78" w:rsidP="005C3B78">
      <w:pPr>
        <w:rPr>
          <w:lang w:val="es-ES_tradnl"/>
        </w:rPr>
      </w:pPr>
    </w:p>
    <w:p w14:paraId="07CB1CB8" w14:textId="487F23B3" w:rsidR="005C3B78" w:rsidRPr="003C0233" w:rsidRDefault="005C3B78" w:rsidP="005C3B78">
      <w:pPr>
        <w:rPr>
          <w:lang w:val="es-ES_tradnl"/>
        </w:rPr>
      </w:pPr>
      <w:r w:rsidRPr="003C0233">
        <w:rPr>
          <w:lang w:val="es-ES_tradnl"/>
        </w:rPr>
        <w:br w:type="page"/>
      </w:r>
    </w:p>
    <w:p w14:paraId="68F58583" w14:textId="77777777" w:rsidR="00AB2403" w:rsidRPr="003C0233" w:rsidRDefault="00AB2403" w:rsidP="00AB2403">
      <w:pPr>
        <w:pStyle w:val="Heading1"/>
        <w:rPr>
          <w:lang w:val="es-ES_tradnl"/>
        </w:rPr>
      </w:pPr>
      <w:bookmarkStart w:id="16" w:name="_Toc227854875"/>
      <w:bookmarkStart w:id="17" w:name="_Toc227856163"/>
      <w:r w:rsidRPr="003C0233">
        <w:rPr>
          <w:lang w:val="es-ES_tradnl"/>
        </w:rPr>
        <w:lastRenderedPageBreak/>
        <w:t>2</w:t>
      </w:r>
      <w:r w:rsidRPr="003C0233">
        <w:rPr>
          <w:lang w:val="es-ES_tradnl"/>
        </w:rPr>
        <w:tab/>
      </w:r>
      <w:proofErr w:type="gramStart"/>
      <w:r w:rsidRPr="003C0233">
        <w:rPr>
          <w:lang w:val="es-ES_tradnl"/>
        </w:rPr>
        <w:t>Comisión</w:t>
      </w:r>
      <w:proofErr w:type="gramEnd"/>
      <w:r w:rsidRPr="003C0233">
        <w:rPr>
          <w:lang w:val="es-ES_tradnl"/>
        </w:rPr>
        <w:t xml:space="preserve"> de Estudio 2</w:t>
      </w:r>
      <w:bookmarkEnd w:id="16"/>
      <w:bookmarkEnd w:id="17"/>
    </w:p>
    <w:p w14:paraId="2E0FE29C" w14:textId="77777777" w:rsidR="00AB2403" w:rsidRPr="003C0233" w:rsidRDefault="00AB2403" w:rsidP="00AB2403">
      <w:pPr>
        <w:pStyle w:val="Headingb"/>
        <w:rPr>
          <w:lang w:val="es-ES_tradnl"/>
        </w:rPr>
      </w:pPr>
      <w:r w:rsidRPr="003C0233">
        <w:rPr>
          <w:lang w:val="es-ES_tradnl"/>
        </w:rPr>
        <w:t>Transformación digital</w:t>
      </w:r>
    </w:p>
    <w:p w14:paraId="3275435A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 xml:space="preserve">Telecomunicaciones/TIC para la transformación digital, entre otros, la </w:t>
      </w:r>
      <w:proofErr w:type="spellStart"/>
      <w:r w:rsidRPr="003C0233">
        <w:rPr>
          <w:lang w:val="es-ES_tradnl"/>
        </w:rPr>
        <w:t>cibersalud</w:t>
      </w:r>
      <w:proofErr w:type="spellEnd"/>
      <w:r w:rsidRPr="003C0233">
        <w:rPr>
          <w:lang w:val="es-ES_tradnl"/>
        </w:rPr>
        <w:t xml:space="preserve"> y la </w:t>
      </w:r>
      <w:proofErr w:type="spellStart"/>
      <w:r w:rsidRPr="003C0233">
        <w:rPr>
          <w:lang w:val="es-ES_tradnl"/>
        </w:rPr>
        <w:t>ciberenseñanza</w:t>
      </w:r>
      <w:proofErr w:type="spellEnd"/>
    </w:p>
    <w:p w14:paraId="57A5B4E0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Creación de confianza y seguridad en la utilización de las TIC</w:t>
      </w:r>
    </w:p>
    <w:p w14:paraId="0B18E5C5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Utilización de las telecomunicaciones/TIC para supervisar y mitigar los efectos del cambio climático, y consideración de la economía circular y la eliminación segura de los residuos electrónicos</w:t>
      </w:r>
    </w:p>
    <w:p w14:paraId="331E5B26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Lucha contra la falsificación de dispositivos de telecomunicaciones/TIC y el robo de dispositivos móviles de telecomunicación</w:t>
      </w:r>
    </w:p>
    <w:p w14:paraId="2E9B8CB5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Realización de pruebas de conformidad e interoperabilidad de dispositivos y equipos de telecomunicaciones/TIC</w:t>
      </w:r>
    </w:p>
    <w:p w14:paraId="2071D5AC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Exposición de las personas a los campos electromagnéticos</w:t>
      </w:r>
    </w:p>
    <w:p w14:paraId="4A1ED9C3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Desafíos y perspectivas de los países en desarrollo respecto del acceso a las tecnologías de telecomunicaciones/TIC incipientes, las plataformas, las aplicaciones y los casos de uso</w:t>
      </w:r>
    </w:p>
    <w:p w14:paraId="1C94E31C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Utilización de las telecomunicaciones/TIC para crear ciudades inteligentes y la sociedad de la información</w:t>
      </w:r>
    </w:p>
    <w:p w14:paraId="16D977C6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Adopción de las telecomunicaciones/TIC y mejora de las competencias digitales</w:t>
      </w:r>
    </w:p>
    <w:p w14:paraId="2FD4AF29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Disponibilidad y asequibilidad de los terminales/dispositivos de usuario</w:t>
      </w:r>
    </w:p>
    <w:p w14:paraId="0D5095A2" w14:textId="77777777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Utilización de las tecnologías de telecomunicaciones/TIC nuevas e incipientes</w:t>
      </w:r>
    </w:p>
    <w:p w14:paraId="16CAE8D8" w14:textId="77777777" w:rsidR="00B92ACE" w:rsidRPr="003C0233" w:rsidRDefault="00B92ACE" w:rsidP="00AB2403">
      <w:pPr>
        <w:rPr>
          <w:lang w:val="es-ES_tradnl"/>
        </w:rPr>
      </w:pPr>
    </w:p>
    <w:p w14:paraId="76102630" w14:textId="77777777" w:rsidR="00B92ACE" w:rsidRPr="003C0233" w:rsidRDefault="00B92ACE" w:rsidP="00AB2403">
      <w:pPr>
        <w:rPr>
          <w:lang w:val="es-ES_tradnl"/>
        </w:rPr>
      </w:pPr>
    </w:p>
    <w:p w14:paraId="65ABBFD5" w14:textId="77777777" w:rsidR="00B92ACE" w:rsidRPr="003C0233" w:rsidRDefault="00B92ACE" w:rsidP="00AB2403">
      <w:pPr>
        <w:rPr>
          <w:lang w:val="es-ES_tradnl"/>
        </w:rPr>
      </w:pPr>
    </w:p>
    <w:p w14:paraId="0192B5CA" w14:textId="77777777" w:rsidR="0031478E" w:rsidRPr="003C0233" w:rsidRDefault="0031478E" w:rsidP="00AB2403">
      <w:pPr>
        <w:rPr>
          <w:lang w:val="es-ES_tradnl"/>
        </w:rPr>
      </w:pPr>
    </w:p>
    <w:p w14:paraId="73CC632D" w14:textId="77777777" w:rsidR="0031478E" w:rsidRPr="003C0233" w:rsidRDefault="0031478E" w:rsidP="00AB2403">
      <w:pPr>
        <w:rPr>
          <w:lang w:val="es-ES_tradnl"/>
        </w:rPr>
      </w:pPr>
    </w:p>
    <w:p w14:paraId="56AFBDF4" w14:textId="77777777" w:rsidR="0031478E" w:rsidRPr="003C0233" w:rsidRDefault="0031478E" w:rsidP="00AB2403">
      <w:pPr>
        <w:rPr>
          <w:lang w:val="es-ES_tradnl"/>
        </w:rPr>
      </w:pPr>
    </w:p>
    <w:p w14:paraId="4446F1EA" w14:textId="77777777" w:rsidR="00B92ACE" w:rsidRPr="003C0233" w:rsidRDefault="00B92ACE" w:rsidP="00AB2403">
      <w:pPr>
        <w:rPr>
          <w:lang w:val="es-ES_tradnl"/>
        </w:rPr>
      </w:pPr>
    </w:p>
    <w:p w14:paraId="6789243E" w14:textId="08EB41C6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br w:type="page"/>
      </w:r>
    </w:p>
    <w:p w14:paraId="134047CD" w14:textId="433D606A" w:rsidR="00AB2403" w:rsidRPr="003C0233" w:rsidRDefault="00AB2403" w:rsidP="00AB2403">
      <w:pPr>
        <w:pStyle w:val="AnnexNo"/>
        <w:rPr>
          <w:lang w:val="es-ES_tradnl"/>
        </w:rPr>
      </w:pPr>
      <w:bookmarkStart w:id="18" w:name="_Toc227855416"/>
      <w:bookmarkStart w:id="19" w:name="_Toc227856164"/>
      <w:r w:rsidRPr="003C0233">
        <w:rPr>
          <w:lang w:val="es-ES_tradnl"/>
        </w:rPr>
        <w:lastRenderedPageBreak/>
        <w:t>ANEXO 2 A LA RESOLUCIÓN 2 (</w:t>
      </w:r>
      <w:r w:rsidR="0031478E" w:rsidRPr="003C0233">
        <w:rPr>
          <w:caps w:val="0"/>
          <w:lang w:val="es-ES_tradnl"/>
        </w:rPr>
        <w:t>Rev</w:t>
      </w:r>
      <w:r w:rsidRPr="003C0233">
        <w:rPr>
          <w:lang w:val="es-ES_tradnl"/>
        </w:rPr>
        <w:t xml:space="preserve">. </w:t>
      </w:r>
      <w:r w:rsidR="0031478E" w:rsidRPr="003C0233">
        <w:rPr>
          <w:caps w:val="0"/>
          <w:lang w:val="es-ES_tradnl"/>
        </w:rPr>
        <w:t>Bakú</w:t>
      </w:r>
      <w:r w:rsidRPr="003C0233">
        <w:rPr>
          <w:lang w:val="es-ES_tradnl"/>
        </w:rPr>
        <w:t>, 2025)</w:t>
      </w:r>
      <w:bookmarkEnd w:id="18"/>
      <w:bookmarkEnd w:id="19"/>
    </w:p>
    <w:p w14:paraId="240F3ED1" w14:textId="77777777" w:rsidR="00AB2403" w:rsidRPr="003C0233" w:rsidRDefault="00AB2403" w:rsidP="00AB2403">
      <w:pPr>
        <w:pStyle w:val="Annextitle"/>
        <w:rPr>
          <w:lang w:val="es-ES_tradnl"/>
        </w:rPr>
      </w:pPr>
      <w:bookmarkStart w:id="20" w:name="_Toc227854876"/>
      <w:bookmarkStart w:id="21" w:name="_Toc227855208"/>
      <w:bookmarkStart w:id="22" w:name="_Toc227855417"/>
      <w:bookmarkStart w:id="23" w:name="_Toc227856165"/>
      <w:r w:rsidRPr="003C0233">
        <w:rPr>
          <w:lang w:val="es-ES_tradnl"/>
        </w:rPr>
        <w:t xml:space="preserve">Cuestiones asignadas a las Comisiones de Estudio del UIT-D por la </w:t>
      </w:r>
      <w:r w:rsidRPr="003C0233">
        <w:rPr>
          <w:lang w:val="es-ES_tradnl"/>
        </w:rPr>
        <w:br/>
        <w:t>Conferencia Mundial de Desarrollo de las Telecomunicaciones</w:t>
      </w:r>
      <w:bookmarkEnd w:id="20"/>
      <w:bookmarkEnd w:id="21"/>
      <w:bookmarkEnd w:id="22"/>
      <w:bookmarkEnd w:id="23"/>
    </w:p>
    <w:p w14:paraId="77E9AC5E" w14:textId="77777777" w:rsidR="00AB2403" w:rsidRPr="003C0233" w:rsidRDefault="00AB2403" w:rsidP="00AB2403">
      <w:pPr>
        <w:pStyle w:val="Heading1"/>
        <w:rPr>
          <w:lang w:val="es-ES_tradnl"/>
        </w:rPr>
      </w:pPr>
      <w:bookmarkStart w:id="24" w:name="_Toc227854877"/>
      <w:bookmarkStart w:id="25" w:name="_Toc227856166"/>
      <w:r w:rsidRPr="003C0233">
        <w:rPr>
          <w:lang w:val="es-ES_tradnl"/>
        </w:rPr>
        <w:t>Comisión de Estudio 1</w:t>
      </w:r>
      <w:bookmarkEnd w:id="24"/>
      <w:bookmarkEnd w:id="25"/>
    </w:p>
    <w:p w14:paraId="5A86872F" w14:textId="47E4BB9D" w:rsidR="00AB2403" w:rsidRPr="003C0233" w:rsidRDefault="00AB2403" w:rsidP="00AB2403">
      <w:pPr>
        <w:pStyle w:val="enumlev1"/>
        <w:ind w:left="2608" w:hanging="2608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</w:r>
      <w:r w:rsidRPr="003C0233">
        <w:rPr>
          <w:b/>
          <w:bCs/>
          <w:lang w:val="es-ES_tradnl"/>
        </w:rPr>
        <w:t>Cuestión 1/1</w:t>
      </w:r>
      <w:r w:rsidRPr="003C0233">
        <w:rPr>
          <w:lang w:val="es-ES_tradnl"/>
        </w:rPr>
        <w:t>:</w:t>
      </w:r>
      <w:r w:rsidR="00DE2DB7" w:rsidRPr="003C0233">
        <w:rPr>
          <w:lang w:val="es-ES_tradnl"/>
        </w:rPr>
        <w:t xml:space="preserve"> </w:t>
      </w:r>
      <w:r w:rsidRPr="003C0233">
        <w:rPr>
          <w:lang w:val="es-ES_tradnl"/>
        </w:rPr>
        <w:t xml:space="preserve">Políticas y estrategias propicias para la conectividad universal, en particular para zonas </w:t>
      </w:r>
      <w:proofErr w:type="spellStart"/>
      <w:r w:rsidRPr="003C0233">
        <w:rPr>
          <w:lang w:val="es-ES_tradnl"/>
        </w:rPr>
        <w:t>subatendidas</w:t>
      </w:r>
      <w:proofErr w:type="spellEnd"/>
      <w:r w:rsidRPr="003C0233">
        <w:rPr>
          <w:lang w:val="es-ES_tradnl"/>
        </w:rPr>
        <w:t>, rurales y remotas</w:t>
      </w:r>
    </w:p>
    <w:p w14:paraId="75FD0BC9" w14:textId="3284BEF9" w:rsidR="00AB2403" w:rsidRPr="003C0233" w:rsidRDefault="00AB2403" w:rsidP="00AB2403">
      <w:pPr>
        <w:pStyle w:val="enumlev1"/>
        <w:ind w:left="2608" w:hanging="2608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</w:r>
      <w:r w:rsidRPr="003C0233">
        <w:rPr>
          <w:b/>
          <w:bCs/>
          <w:lang w:val="es-ES_tradnl"/>
        </w:rPr>
        <w:t>Cuestión 2/1</w:t>
      </w:r>
      <w:r w:rsidRPr="003C0233">
        <w:rPr>
          <w:lang w:val="es-ES_tradnl"/>
        </w:rPr>
        <w:t>:</w:t>
      </w:r>
      <w:r w:rsidR="00DE2DB7" w:rsidRPr="003C0233">
        <w:rPr>
          <w:color w:val="000000"/>
          <w:lang w:val="es-ES_tradnl"/>
        </w:rPr>
        <w:t xml:space="preserve"> </w:t>
      </w:r>
      <w:r w:rsidRPr="003C0233">
        <w:rPr>
          <w:color w:val="000000"/>
          <w:lang w:val="es-ES_tradnl"/>
        </w:rPr>
        <w:t>Políticas y reglamentos propicios para la adopción de tecnologías y servicios de telecomunicaciones/TIC para la distribución y la radiodifusión</w:t>
      </w:r>
    </w:p>
    <w:p w14:paraId="07BA0593" w14:textId="579A2CFC" w:rsidR="00AB2403" w:rsidRPr="003C0233" w:rsidRDefault="00AB2403" w:rsidP="00AB2403">
      <w:pPr>
        <w:pStyle w:val="enumlev1"/>
        <w:ind w:left="2608" w:hanging="2608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</w:r>
      <w:r w:rsidRPr="003C0233">
        <w:rPr>
          <w:b/>
          <w:bCs/>
          <w:lang w:val="es-ES_tradnl"/>
        </w:rPr>
        <w:t>Cuestión 3/1</w:t>
      </w:r>
      <w:r w:rsidRPr="003C0233">
        <w:rPr>
          <w:lang w:val="es-ES_tradnl"/>
        </w:rPr>
        <w:t>:</w:t>
      </w:r>
      <w:r w:rsidR="00DE2DB7" w:rsidRPr="003C0233">
        <w:rPr>
          <w:color w:val="000000"/>
          <w:lang w:val="es-ES_tradnl"/>
        </w:rPr>
        <w:t xml:space="preserve"> </w:t>
      </w:r>
      <w:r w:rsidRPr="003C0233">
        <w:rPr>
          <w:color w:val="000000"/>
          <w:lang w:val="es-ES_tradnl"/>
        </w:rPr>
        <w:t>Utilización de las telecomunicaciones/TIC para la reducción y gestión del riesgo de catástrofes</w:t>
      </w:r>
    </w:p>
    <w:p w14:paraId="06748D15" w14:textId="6E245ED5" w:rsidR="00AB2403" w:rsidRPr="003C0233" w:rsidRDefault="00AB2403" w:rsidP="00AB2403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</w:r>
      <w:r w:rsidRPr="003C0233">
        <w:rPr>
          <w:b/>
          <w:bCs/>
          <w:lang w:val="es-ES_tradnl"/>
        </w:rPr>
        <w:t>Cuestión 4/1</w:t>
      </w:r>
      <w:r w:rsidRPr="003C0233">
        <w:rPr>
          <w:lang w:val="es-ES_tradnl"/>
        </w:rPr>
        <w:t>:</w:t>
      </w:r>
      <w:r w:rsidR="00DE2DB7" w:rsidRPr="003C0233">
        <w:rPr>
          <w:lang w:val="es-ES_tradnl"/>
        </w:rPr>
        <w:t xml:space="preserve"> </w:t>
      </w:r>
      <w:r w:rsidRPr="003C0233">
        <w:rPr>
          <w:color w:val="000000"/>
          <w:lang w:val="es-ES_tradnl"/>
        </w:rPr>
        <w:t>Aspectos económicos de las telecomunicaciones/TIC nacionales</w:t>
      </w:r>
    </w:p>
    <w:p w14:paraId="40550657" w14:textId="1A393F17" w:rsidR="00AB2403" w:rsidRPr="003C0233" w:rsidRDefault="00AB2403" w:rsidP="00AB2403">
      <w:pPr>
        <w:pStyle w:val="enumlev1"/>
        <w:ind w:left="2608" w:hanging="2608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</w:r>
      <w:r w:rsidRPr="003C0233">
        <w:rPr>
          <w:b/>
          <w:bCs/>
          <w:lang w:val="es-ES_tradnl"/>
        </w:rPr>
        <w:t>Cuestión 5/1</w:t>
      </w:r>
      <w:r w:rsidRPr="003C0233">
        <w:rPr>
          <w:lang w:val="es-ES_tradnl"/>
        </w:rPr>
        <w:t>:</w:t>
      </w:r>
      <w:r w:rsidR="00DE2DB7" w:rsidRPr="003C0233">
        <w:rPr>
          <w:lang w:val="es-ES_tradnl"/>
        </w:rPr>
        <w:t xml:space="preserve"> </w:t>
      </w:r>
      <w:r w:rsidRPr="003C0233">
        <w:rPr>
          <w:lang w:val="es-ES_tradnl"/>
        </w:rPr>
        <w:t>Protección y empoderamiento del consumidor y accesibilidad universal y significativa, en especial para las personas con discapacidad y las personas con necesidades especiales</w:t>
      </w:r>
    </w:p>
    <w:p w14:paraId="18E11BCA" w14:textId="77777777" w:rsidR="00AB2403" w:rsidRPr="003C0233" w:rsidRDefault="00AB2403" w:rsidP="00AB2403">
      <w:pPr>
        <w:pStyle w:val="Heading1"/>
        <w:rPr>
          <w:lang w:val="es-ES_tradnl"/>
        </w:rPr>
      </w:pPr>
      <w:bookmarkStart w:id="26" w:name="_Toc227854878"/>
      <w:bookmarkStart w:id="27" w:name="_Toc227856167"/>
      <w:r w:rsidRPr="003C0233">
        <w:rPr>
          <w:lang w:val="es-ES_tradnl"/>
        </w:rPr>
        <w:t>Comisión de Estudio 2</w:t>
      </w:r>
      <w:bookmarkEnd w:id="26"/>
      <w:bookmarkEnd w:id="27"/>
    </w:p>
    <w:p w14:paraId="0EF3C23E" w14:textId="321A3840" w:rsidR="00AB2403" w:rsidRPr="003C0233" w:rsidRDefault="00AB2403" w:rsidP="00AB2403">
      <w:pPr>
        <w:pStyle w:val="enumlev1"/>
        <w:ind w:left="2608" w:hanging="2608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</w:r>
      <w:r w:rsidRPr="003C0233">
        <w:rPr>
          <w:b/>
          <w:bCs/>
          <w:lang w:val="es-ES_tradnl"/>
        </w:rPr>
        <w:t>Cuestión 1/2</w:t>
      </w:r>
      <w:r w:rsidRPr="003C0233">
        <w:rPr>
          <w:lang w:val="es-ES_tradnl"/>
        </w:rPr>
        <w:t>:</w:t>
      </w:r>
      <w:r w:rsidR="00DE2DB7" w:rsidRPr="003C0233">
        <w:rPr>
          <w:lang w:val="es-ES_tradnl"/>
        </w:rPr>
        <w:t xml:space="preserve"> </w:t>
      </w:r>
      <w:r w:rsidRPr="003C0233">
        <w:rPr>
          <w:lang w:val="es-ES_tradnl"/>
        </w:rPr>
        <w:t>Telecomunicaciones/TIC propicias para la transformación digital y las ciudades y comunidades inteligentes y sostenibles</w:t>
      </w:r>
    </w:p>
    <w:p w14:paraId="386F7E4B" w14:textId="3D33D3D6" w:rsidR="00AB2403" w:rsidRPr="003C0233" w:rsidRDefault="00AB2403" w:rsidP="00AB2403">
      <w:pPr>
        <w:pStyle w:val="enumlev1"/>
        <w:ind w:left="2608" w:hanging="2608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</w:r>
      <w:r w:rsidRPr="003C0233">
        <w:rPr>
          <w:b/>
          <w:bCs/>
          <w:lang w:val="es-ES_tradnl"/>
        </w:rPr>
        <w:t>Cuestión 2/2</w:t>
      </w:r>
      <w:r w:rsidRPr="003C0233">
        <w:rPr>
          <w:lang w:val="es-ES_tradnl"/>
        </w:rPr>
        <w:t>:</w:t>
      </w:r>
      <w:r w:rsidR="00DE2DB7" w:rsidRPr="003C0233">
        <w:rPr>
          <w:lang w:val="es-ES_tradnl"/>
        </w:rPr>
        <w:t xml:space="preserve"> </w:t>
      </w:r>
      <w:r w:rsidRPr="003C0233">
        <w:rPr>
          <w:lang w:val="es-ES_tradnl"/>
        </w:rPr>
        <w:t>TIC para el medio ambiente y la evaluación de la exposición de las personas a los campos electromagnéticos</w:t>
      </w:r>
    </w:p>
    <w:p w14:paraId="284CDECF" w14:textId="60306DEF" w:rsidR="00AB2403" w:rsidRPr="003C0233" w:rsidRDefault="00AB2403" w:rsidP="00AB2403">
      <w:pPr>
        <w:pStyle w:val="enumlev1"/>
        <w:ind w:left="2608" w:hanging="2608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</w:r>
      <w:r w:rsidRPr="003C0233">
        <w:rPr>
          <w:b/>
          <w:bCs/>
          <w:lang w:val="es-ES_tradnl"/>
        </w:rPr>
        <w:t>Cuestión 3/2</w:t>
      </w:r>
      <w:r w:rsidRPr="003C0233">
        <w:rPr>
          <w:lang w:val="es-ES_tradnl"/>
        </w:rPr>
        <w:t>:</w:t>
      </w:r>
      <w:r w:rsidR="00DE2DB7" w:rsidRPr="003C0233">
        <w:rPr>
          <w:lang w:val="es-ES_tradnl"/>
        </w:rPr>
        <w:t xml:space="preserve"> </w:t>
      </w:r>
      <w:r w:rsidRPr="003C0233">
        <w:rPr>
          <w:lang w:val="es-ES_tradnl"/>
        </w:rPr>
        <w:t>Seguridad en las redes de información y comunicación: prácticas idóneas para el desarrollo de una cultura de ciberseguridad</w:t>
      </w:r>
    </w:p>
    <w:p w14:paraId="280C83B1" w14:textId="4EA88144" w:rsidR="00AB2403" w:rsidRPr="003C0233" w:rsidRDefault="00AB2403" w:rsidP="00AB2403">
      <w:pPr>
        <w:pStyle w:val="enumlev1"/>
        <w:ind w:left="2608" w:hanging="2608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</w:r>
      <w:r w:rsidRPr="003C0233">
        <w:rPr>
          <w:b/>
          <w:bCs/>
          <w:lang w:val="es-ES_tradnl"/>
        </w:rPr>
        <w:t>Cuestión 4/2</w:t>
      </w:r>
      <w:r w:rsidRPr="003C0233">
        <w:rPr>
          <w:lang w:val="es-ES_tradnl"/>
        </w:rPr>
        <w:t>:</w:t>
      </w:r>
      <w:r w:rsidR="00DE2DB7" w:rsidRPr="003C0233">
        <w:rPr>
          <w:lang w:val="es-ES_tradnl"/>
        </w:rPr>
        <w:t xml:space="preserve"> </w:t>
      </w:r>
      <w:r w:rsidRPr="003C0233">
        <w:rPr>
          <w:lang w:val="es-ES_tradnl"/>
        </w:rPr>
        <w:t>Disponibilidad y asequibilidad de los dispositivos de usuario y asuntos relativos a los equipos de telecomunicaciones/TIC, incluidas la conformidad y la interoperabilidad</w:t>
      </w:r>
    </w:p>
    <w:p w14:paraId="0324E4A3" w14:textId="46A62FBF" w:rsidR="00AB2403" w:rsidRPr="003C0233" w:rsidRDefault="00AB2403" w:rsidP="00AB2403">
      <w:pPr>
        <w:pStyle w:val="enumlev1"/>
        <w:ind w:left="2608" w:hanging="2608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</w:r>
      <w:r w:rsidRPr="003C0233">
        <w:rPr>
          <w:b/>
          <w:bCs/>
          <w:lang w:val="es-ES_tradnl"/>
        </w:rPr>
        <w:t>Cuestión 5/2</w:t>
      </w:r>
      <w:r w:rsidRPr="003C0233">
        <w:rPr>
          <w:lang w:val="es-ES_tradnl"/>
        </w:rPr>
        <w:t>:</w:t>
      </w:r>
      <w:r w:rsidR="00DE2DB7" w:rsidRPr="003C0233">
        <w:rPr>
          <w:lang w:val="es-ES_tradnl"/>
        </w:rPr>
        <w:t xml:space="preserve"> </w:t>
      </w:r>
      <w:r w:rsidRPr="003C0233">
        <w:rPr>
          <w:color w:val="000000"/>
          <w:lang w:val="es-ES_tradnl"/>
        </w:rPr>
        <w:t xml:space="preserve">Adopción y </w:t>
      </w:r>
      <w:r w:rsidRPr="003C0233">
        <w:rPr>
          <w:lang w:val="es-ES_tradnl"/>
        </w:rPr>
        <w:t>utilización de servicios y tecnologías nuevos e incipientes de telecomunicaciones/TIC y desarrollo de competencias digitales</w:t>
      </w:r>
    </w:p>
    <w:p w14:paraId="3963F1B2" w14:textId="77777777" w:rsidR="00AB2403" w:rsidRPr="003C0233" w:rsidRDefault="00AB2403" w:rsidP="00AB2403">
      <w:pPr>
        <w:rPr>
          <w:sz w:val="28"/>
          <w:lang w:val="es-ES_tradnl"/>
        </w:rPr>
      </w:pPr>
      <w:r w:rsidRPr="003C0233">
        <w:rPr>
          <w:lang w:val="es-ES_tradnl"/>
        </w:rPr>
        <w:br w:type="page"/>
      </w:r>
    </w:p>
    <w:p w14:paraId="4A3C0126" w14:textId="77777777" w:rsidR="00AB2403" w:rsidRPr="003C0233" w:rsidRDefault="00AB2403" w:rsidP="00AB2403">
      <w:pPr>
        <w:pStyle w:val="AnnexNo"/>
        <w:rPr>
          <w:lang w:val="es-ES_tradnl"/>
        </w:rPr>
      </w:pPr>
      <w:bookmarkStart w:id="28" w:name="_Toc227855418"/>
      <w:bookmarkStart w:id="29" w:name="_Toc227856168"/>
      <w:r w:rsidRPr="003C0233">
        <w:rPr>
          <w:lang w:val="es-ES_tradnl"/>
        </w:rPr>
        <w:lastRenderedPageBreak/>
        <w:t>ANEXO 3 A LA RESOLUCIÓN 2 (Rev. Bakú, 2025)</w:t>
      </w:r>
      <w:bookmarkEnd w:id="28"/>
      <w:bookmarkEnd w:id="29"/>
    </w:p>
    <w:p w14:paraId="7B04E438" w14:textId="77777777" w:rsidR="00AB2403" w:rsidRPr="003C0233" w:rsidRDefault="00AB2403" w:rsidP="00AB2403">
      <w:pPr>
        <w:pStyle w:val="Annextitle"/>
        <w:keepNext w:val="0"/>
        <w:keepLines w:val="0"/>
        <w:widowControl w:val="0"/>
        <w:rPr>
          <w:lang w:val="es-ES_tradnl"/>
        </w:rPr>
      </w:pPr>
      <w:bookmarkStart w:id="30" w:name="_Toc227854879"/>
      <w:bookmarkStart w:id="31" w:name="_Toc227855209"/>
      <w:bookmarkStart w:id="32" w:name="_Toc227855419"/>
      <w:bookmarkStart w:id="33" w:name="_Toc227856169"/>
      <w:r w:rsidRPr="003C0233">
        <w:rPr>
          <w:lang w:val="es-ES_tradnl"/>
        </w:rPr>
        <w:t xml:space="preserve">Lista de </w:t>
      </w:r>
      <w:proofErr w:type="gramStart"/>
      <w:r w:rsidRPr="003C0233">
        <w:rPr>
          <w:lang w:val="es-ES_tradnl"/>
        </w:rPr>
        <w:t>Presidentes</w:t>
      </w:r>
      <w:proofErr w:type="gramEnd"/>
      <w:r w:rsidRPr="003C0233">
        <w:rPr>
          <w:lang w:val="es-ES_tradnl"/>
        </w:rPr>
        <w:t xml:space="preserve"> y </w:t>
      </w:r>
      <w:proofErr w:type="gramStart"/>
      <w:r w:rsidRPr="003C0233">
        <w:rPr>
          <w:lang w:val="es-ES_tradnl"/>
        </w:rPr>
        <w:t>Vicepresidentes</w:t>
      </w:r>
      <w:bookmarkEnd w:id="30"/>
      <w:bookmarkEnd w:id="31"/>
      <w:bookmarkEnd w:id="32"/>
      <w:bookmarkEnd w:id="33"/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5"/>
        <w:gridCol w:w="5644"/>
      </w:tblGrid>
      <w:tr w:rsidR="00AB2403" w:rsidRPr="00E10CC9" w14:paraId="4C7212BB" w14:textId="77777777" w:rsidTr="00A94C1C">
        <w:trPr>
          <w:jc w:val="center"/>
        </w:trPr>
        <w:tc>
          <w:tcPr>
            <w:tcW w:w="3985" w:type="dxa"/>
            <w:hideMark/>
          </w:tcPr>
          <w:p w14:paraId="05B43B3F" w14:textId="77777777" w:rsidR="00AB2403" w:rsidRPr="00E10CC9" w:rsidRDefault="00AB2403">
            <w:pPr>
              <w:pStyle w:val="Tabletext"/>
              <w:rPr>
                <w:b/>
                <w:bCs/>
                <w:sz w:val="22"/>
                <w:szCs w:val="22"/>
                <w:lang w:val="es-ES_tradnl"/>
              </w:rPr>
            </w:pPr>
            <w:r w:rsidRPr="00E10CC9">
              <w:rPr>
                <w:b/>
                <w:bCs/>
                <w:sz w:val="22"/>
                <w:szCs w:val="22"/>
                <w:lang w:val="es-ES_tradnl"/>
              </w:rPr>
              <w:t>Comisión de Estudio 1</w:t>
            </w:r>
          </w:p>
        </w:tc>
        <w:tc>
          <w:tcPr>
            <w:tcW w:w="5644" w:type="dxa"/>
          </w:tcPr>
          <w:p w14:paraId="6E519FF3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</w:p>
        </w:tc>
      </w:tr>
      <w:tr w:rsidR="00AB2403" w:rsidRPr="00E71155" w14:paraId="0B723266" w14:textId="77777777" w:rsidTr="00A94C1C">
        <w:trPr>
          <w:jc w:val="center"/>
        </w:trPr>
        <w:tc>
          <w:tcPr>
            <w:tcW w:w="3985" w:type="dxa"/>
            <w:hideMark/>
          </w:tcPr>
          <w:p w14:paraId="4F4567AD" w14:textId="77777777" w:rsidR="00AB2403" w:rsidRPr="00E10CC9" w:rsidRDefault="00AB2403">
            <w:pPr>
              <w:pStyle w:val="Tabletext"/>
              <w:rPr>
                <w:b/>
                <w:bCs/>
                <w:sz w:val="22"/>
                <w:szCs w:val="22"/>
                <w:lang w:val="es-ES_tradnl"/>
              </w:rPr>
            </w:pPr>
            <w:r w:rsidRPr="00E10CC9">
              <w:rPr>
                <w:b/>
                <w:bCs/>
                <w:sz w:val="22"/>
                <w:szCs w:val="22"/>
                <w:lang w:val="es-ES_tradnl"/>
              </w:rPr>
              <w:t>Presidente:</w:t>
            </w:r>
          </w:p>
        </w:tc>
        <w:tc>
          <w:tcPr>
            <w:tcW w:w="5644" w:type="dxa"/>
            <w:hideMark/>
          </w:tcPr>
          <w:p w14:paraId="34A72639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Roberto Mitsuake Hirayama (Brasil)</w:t>
            </w:r>
          </w:p>
        </w:tc>
      </w:tr>
      <w:tr w:rsidR="00AB2403" w:rsidRPr="00E71155" w14:paraId="147B036D" w14:textId="77777777" w:rsidTr="00A94C1C">
        <w:trPr>
          <w:jc w:val="center"/>
        </w:trPr>
        <w:tc>
          <w:tcPr>
            <w:tcW w:w="3985" w:type="dxa"/>
            <w:hideMark/>
          </w:tcPr>
          <w:p w14:paraId="370436CA" w14:textId="77777777" w:rsidR="00AB2403" w:rsidRPr="00E10CC9" w:rsidRDefault="00AB2403">
            <w:pPr>
              <w:pStyle w:val="Tabletext"/>
              <w:rPr>
                <w:b/>
                <w:bCs/>
                <w:sz w:val="22"/>
                <w:szCs w:val="22"/>
                <w:lang w:val="es-ES_tradnl"/>
              </w:rPr>
            </w:pPr>
            <w:r w:rsidRPr="00E10CC9">
              <w:rPr>
                <w:b/>
                <w:bCs/>
                <w:sz w:val="22"/>
                <w:szCs w:val="22"/>
                <w:lang w:val="es-ES_tradnl"/>
              </w:rPr>
              <w:t>Vicepresidentes:</w:t>
            </w:r>
          </w:p>
        </w:tc>
        <w:tc>
          <w:tcPr>
            <w:tcW w:w="5644" w:type="dxa"/>
            <w:hideMark/>
          </w:tcPr>
          <w:p w14:paraId="37B6C504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Hadiza Kachallah (Nigeria)</w:t>
            </w:r>
          </w:p>
          <w:p w14:paraId="79B0F7ED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Malick Ndiaye (Senegal)</w:t>
            </w:r>
          </w:p>
          <w:p w14:paraId="15243842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Francisco Antonio Casaccia Torres (Paraguay)</w:t>
            </w:r>
          </w:p>
          <w:p w14:paraId="298F0AE1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Abdelwaheb Galizra (Argelia)</w:t>
            </w:r>
          </w:p>
          <w:p w14:paraId="6FA1177A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Ali Rasheed Hamad Al-Hamad (Kuwait)</w:t>
            </w:r>
          </w:p>
          <w:p w14:paraId="120E96F0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Wesam Sedik (Egipto)</w:t>
            </w:r>
          </w:p>
          <w:p w14:paraId="54C13327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Memiko Otsuki (Japón)</w:t>
            </w:r>
          </w:p>
          <w:p w14:paraId="12D44154" w14:textId="77777777" w:rsidR="00AB2403" w:rsidRPr="00E71155" w:rsidRDefault="00AB2403">
            <w:pPr>
              <w:pStyle w:val="Tabletext"/>
              <w:rPr>
                <w:sz w:val="22"/>
                <w:szCs w:val="22"/>
              </w:rPr>
            </w:pPr>
            <w:r w:rsidRPr="00E71155">
              <w:rPr>
                <w:sz w:val="22"/>
                <w:szCs w:val="22"/>
              </w:rPr>
              <w:t>Sr. Dao Ngoc Tuyen (Viet Nam)</w:t>
            </w:r>
          </w:p>
          <w:p w14:paraId="73DAE50A" w14:textId="77777777" w:rsidR="00AB2403" w:rsidRPr="00E71155" w:rsidRDefault="00AB2403">
            <w:pPr>
              <w:pStyle w:val="Tabletext"/>
              <w:rPr>
                <w:sz w:val="22"/>
                <w:szCs w:val="22"/>
              </w:rPr>
            </w:pPr>
            <w:proofErr w:type="spellStart"/>
            <w:r w:rsidRPr="00E71155">
              <w:rPr>
                <w:sz w:val="22"/>
                <w:szCs w:val="22"/>
              </w:rPr>
              <w:t>Sra.</w:t>
            </w:r>
            <w:proofErr w:type="spellEnd"/>
            <w:r w:rsidRPr="00E71155">
              <w:rPr>
                <w:sz w:val="22"/>
                <w:szCs w:val="22"/>
              </w:rPr>
              <w:t> Sha Wei (China)</w:t>
            </w:r>
          </w:p>
          <w:p w14:paraId="2F91B34F" w14:textId="77777777" w:rsidR="00AB2403" w:rsidRPr="00E71155" w:rsidRDefault="00AB2403">
            <w:pPr>
              <w:pStyle w:val="Tabletext"/>
              <w:rPr>
                <w:sz w:val="22"/>
                <w:szCs w:val="22"/>
              </w:rPr>
            </w:pPr>
            <w:r w:rsidRPr="00E71155">
              <w:rPr>
                <w:sz w:val="22"/>
                <w:szCs w:val="22"/>
              </w:rPr>
              <w:t>Sr. Sunil Kumar Singhal (India)</w:t>
            </w:r>
          </w:p>
          <w:p w14:paraId="0398AF26" w14:textId="77777777" w:rsidR="00AB2403" w:rsidRPr="00E71155" w:rsidRDefault="00AB2403">
            <w:pPr>
              <w:pStyle w:val="Tabletext"/>
              <w:rPr>
                <w:sz w:val="22"/>
                <w:szCs w:val="22"/>
              </w:rPr>
            </w:pPr>
            <w:r w:rsidRPr="00E71155">
              <w:rPr>
                <w:sz w:val="22"/>
                <w:szCs w:val="22"/>
              </w:rPr>
              <w:t>Sr. Ilgar Abdullayev (</w:t>
            </w:r>
            <w:proofErr w:type="spellStart"/>
            <w:r w:rsidRPr="00E71155">
              <w:rPr>
                <w:sz w:val="22"/>
                <w:szCs w:val="22"/>
              </w:rPr>
              <w:t>Azerbaiyán</w:t>
            </w:r>
            <w:proofErr w:type="spellEnd"/>
            <w:r w:rsidRPr="00E71155">
              <w:rPr>
                <w:sz w:val="22"/>
                <w:szCs w:val="22"/>
              </w:rPr>
              <w:t>)</w:t>
            </w:r>
          </w:p>
          <w:p w14:paraId="1384094B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Anastasia Konukhova (Federación de Rusia)</w:t>
            </w:r>
          </w:p>
          <w:p w14:paraId="4B653679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Umida Musayeva (Uzbekistán)</w:t>
            </w:r>
          </w:p>
          <w:p w14:paraId="04E78A97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Cristina Aguiar (Portugal)</w:t>
            </w:r>
          </w:p>
          <w:p w14:paraId="41BC7309" w14:textId="77777777" w:rsidR="00AB2403" w:rsidRPr="00E71155" w:rsidRDefault="00AB2403">
            <w:pPr>
              <w:pStyle w:val="Tabletext"/>
              <w:rPr>
                <w:sz w:val="22"/>
                <w:szCs w:val="22"/>
              </w:rPr>
            </w:pPr>
            <w:r w:rsidRPr="00E71155">
              <w:rPr>
                <w:sz w:val="22"/>
                <w:szCs w:val="22"/>
              </w:rPr>
              <w:t>Sr. Mehmet Alper Tekin (Türkiye)</w:t>
            </w:r>
          </w:p>
          <w:p w14:paraId="7595F23D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Teddy Woodhouse (Reino Unido)</w:t>
            </w:r>
          </w:p>
        </w:tc>
      </w:tr>
      <w:tr w:rsidR="00AB2403" w:rsidRPr="00E10CC9" w14:paraId="1F34D7B5" w14:textId="77777777" w:rsidTr="00A94C1C">
        <w:trPr>
          <w:jc w:val="center"/>
        </w:trPr>
        <w:tc>
          <w:tcPr>
            <w:tcW w:w="3985" w:type="dxa"/>
            <w:hideMark/>
          </w:tcPr>
          <w:p w14:paraId="4E3F2A6A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b/>
                <w:bCs/>
                <w:sz w:val="22"/>
                <w:szCs w:val="22"/>
                <w:lang w:val="es-ES_tradnl"/>
              </w:rPr>
              <w:t>Comisión de Estudio 2</w:t>
            </w:r>
          </w:p>
        </w:tc>
        <w:tc>
          <w:tcPr>
            <w:tcW w:w="5644" w:type="dxa"/>
          </w:tcPr>
          <w:p w14:paraId="684AF8BA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</w:p>
        </w:tc>
      </w:tr>
      <w:tr w:rsidR="00AB2403" w:rsidRPr="00E10CC9" w14:paraId="5064ABAF" w14:textId="77777777" w:rsidTr="00A94C1C">
        <w:trPr>
          <w:jc w:val="center"/>
        </w:trPr>
        <w:tc>
          <w:tcPr>
            <w:tcW w:w="3985" w:type="dxa"/>
            <w:hideMark/>
          </w:tcPr>
          <w:p w14:paraId="4943EFF4" w14:textId="77777777" w:rsidR="00AB2403" w:rsidRPr="00E10CC9" w:rsidRDefault="00AB2403">
            <w:pPr>
              <w:pStyle w:val="Tabletext"/>
              <w:rPr>
                <w:b/>
                <w:bCs/>
                <w:sz w:val="22"/>
                <w:szCs w:val="22"/>
                <w:lang w:val="es-ES_tradnl"/>
              </w:rPr>
            </w:pPr>
            <w:r w:rsidRPr="00E10CC9">
              <w:rPr>
                <w:b/>
                <w:bCs/>
                <w:sz w:val="22"/>
                <w:szCs w:val="22"/>
                <w:lang w:val="es-ES_tradnl"/>
              </w:rPr>
              <w:t>Presidente:</w:t>
            </w:r>
          </w:p>
        </w:tc>
        <w:tc>
          <w:tcPr>
            <w:tcW w:w="5644" w:type="dxa"/>
            <w:hideMark/>
          </w:tcPr>
          <w:p w14:paraId="4E593C21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 xml:space="preserve">Sr. Fadel </w:t>
            </w:r>
            <w:proofErr w:type="spellStart"/>
            <w:r w:rsidRPr="00E10CC9">
              <w:rPr>
                <w:sz w:val="22"/>
                <w:szCs w:val="22"/>
                <w:lang w:val="es-ES_tradnl"/>
              </w:rPr>
              <w:t>Digham</w:t>
            </w:r>
            <w:proofErr w:type="spellEnd"/>
            <w:r w:rsidRPr="00E10CC9">
              <w:rPr>
                <w:sz w:val="22"/>
                <w:szCs w:val="22"/>
                <w:lang w:val="es-ES_tradnl"/>
              </w:rPr>
              <w:t xml:space="preserve"> (Egipto)</w:t>
            </w:r>
          </w:p>
        </w:tc>
      </w:tr>
      <w:tr w:rsidR="00AB2403" w:rsidRPr="00E71155" w14:paraId="74C42975" w14:textId="77777777" w:rsidTr="00A94C1C">
        <w:trPr>
          <w:jc w:val="center"/>
        </w:trPr>
        <w:tc>
          <w:tcPr>
            <w:tcW w:w="3985" w:type="dxa"/>
            <w:hideMark/>
          </w:tcPr>
          <w:p w14:paraId="411B2F6B" w14:textId="77777777" w:rsidR="00AB2403" w:rsidRPr="00E10CC9" w:rsidRDefault="00AB2403">
            <w:pPr>
              <w:pStyle w:val="Tabletext"/>
              <w:rPr>
                <w:b/>
                <w:bCs/>
                <w:sz w:val="22"/>
                <w:szCs w:val="22"/>
                <w:lang w:val="es-ES_tradnl"/>
              </w:rPr>
            </w:pPr>
            <w:r w:rsidRPr="00E10CC9">
              <w:rPr>
                <w:b/>
                <w:bCs/>
                <w:sz w:val="22"/>
                <w:szCs w:val="22"/>
                <w:lang w:val="es-ES_tradnl"/>
              </w:rPr>
              <w:t>Vicepresidentes:</w:t>
            </w:r>
          </w:p>
        </w:tc>
        <w:tc>
          <w:tcPr>
            <w:tcW w:w="5644" w:type="dxa"/>
            <w:hideMark/>
          </w:tcPr>
          <w:p w14:paraId="4AF6E35A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Imelda Salum Banali (</w:t>
            </w:r>
            <w:proofErr w:type="spellStart"/>
            <w:r w:rsidRPr="00E10CC9">
              <w:rPr>
                <w:sz w:val="22"/>
                <w:szCs w:val="22"/>
                <w:lang w:val="es-ES_tradnl"/>
              </w:rPr>
              <w:t>Tanzanía</w:t>
            </w:r>
            <w:proofErr w:type="spellEnd"/>
            <w:r w:rsidRPr="00E10CC9">
              <w:rPr>
                <w:sz w:val="22"/>
                <w:szCs w:val="22"/>
                <w:lang w:val="es-ES_tradnl"/>
              </w:rPr>
              <w:t>)</w:t>
            </w:r>
          </w:p>
          <w:p w14:paraId="7C7CD878" w14:textId="77777777" w:rsidR="00AB2403" w:rsidRPr="00E71155" w:rsidRDefault="00AB2403">
            <w:pPr>
              <w:pStyle w:val="Tabletext"/>
              <w:rPr>
                <w:sz w:val="22"/>
                <w:szCs w:val="22"/>
              </w:rPr>
            </w:pPr>
            <w:r w:rsidRPr="00E71155">
              <w:rPr>
                <w:sz w:val="22"/>
                <w:szCs w:val="22"/>
              </w:rPr>
              <w:t>Sr. Mohamed Lamine Minthe (Guinea)</w:t>
            </w:r>
          </w:p>
          <w:p w14:paraId="5C897F8F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Fifatin Carrelle Lucrece Toho (Benin)</w:t>
            </w:r>
          </w:p>
          <w:p w14:paraId="21EF767B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Víctor Antonio Martínez Sánchez (Paraguay)</w:t>
            </w:r>
          </w:p>
          <w:p w14:paraId="7AA104E0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Aisha Al Marzooqi (Emiratos Árabes Unidos)</w:t>
            </w:r>
          </w:p>
          <w:p w14:paraId="0E450E6C" w14:textId="77777777" w:rsidR="00AB2403" w:rsidRPr="00E71155" w:rsidRDefault="00AB2403">
            <w:pPr>
              <w:pStyle w:val="Tabletext"/>
              <w:rPr>
                <w:sz w:val="22"/>
                <w:szCs w:val="22"/>
              </w:rPr>
            </w:pPr>
            <w:proofErr w:type="spellStart"/>
            <w:r w:rsidRPr="00E71155">
              <w:rPr>
                <w:sz w:val="22"/>
                <w:szCs w:val="22"/>
              </w:rPr>
              <w:t>Sra.</w:t>
            </w:r>
            <w:proofErr w:type="spellEnd"/>
            <w:r w:rsidRPr="00E71155">
              <w:rPr>
                <w:sz w:val="22"/>
                <w:szCs w:val="22"/>
              </w:rPr>
              <w:t xml:space="preserve"> Maha Ziad Yousef </w:t>
            </w:r>
            <w:proofErr w:type="spellStart"/>
            <w:r w:rsidRPr="00E71155">
              <w:rPr>
                <w:sz w:val="22"/>
                <w:szCs w:val="22"/>
              </w:rPr>
              <w:t>Mouasher</w:t>
            </w:r>
            <w:proofErr w:type="spellEnd"/>
            <w:r w:rsidRPr="00E71155">
              <w:rPr>
                <w:sz w:val="22"/>
                <w:szCs w:val="22"/>
              </w:rPr>
              <w:t xml:space="preserve"> (Jordania)</w:t>
            </w:r>
          </w:p>
          <w:p w14:paraId="0A470141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Hideo Imanaka (Japón)</w:t>
            </w:r>
          </w:p>
          <w:p w14:paraId="6107E10B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Sandeep Kumar Gupta (India)</w:t>
            </w:r>
          </w:p>
          <w:p w14:paraId="06515950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Tongning Wu (China)</w:t>
            </w:r>
          </w:p>
          <w:p w14:paraId="79DBFE44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Sr. Javokhir Aripov (Uzbekistán)</w:t>
            </w:r>
          </w:p>
          <w:p w14:paraId="07B67D5A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Uliana Stoliarova (Federación de Rusia)</w:t>
            </w:r>
          </w:p>
          <w:p w14:paraId="7EF3A8E7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Lidia Stepinska-</w:t>
            </w:r>
            <w:proofErr w:type="spellStart"/>
            <w:r w:rsidRPr="00E10CC9">
              <w:rPr>
                <w:sz w:val="22"/>
                <w:szCs w:val="22"/>
                <w:lang w:val="es-ES_tradnl"/>
              </w:rPr>
              <w:t>Ustasiak</w:t>
            </w:r>
            <w:proofErr w:type="spellEnd"/>
            <w:r w:rsidRPr="00E10CC9">
              <w:rPr>
                <w:sz w:val="22"/>
                <w:szCs w:val="22"/>
                <w:lang w:val="es-ES_tradnl"/>
              </w:rPr>
              <w:t xml:space="preserve"> (Polonia)</w:t>
            </w:r>
          </w:p>
          <w:p w14:paraId="64A3A37F" w14:textId="77777777" w:rsidR="00AB2403" w:rsidRPr="00E10CC9" w:rsidRDefault="00AB2403">
            <w:pPr>
              <w:pStyle w:val="Tabletext"/>
              <w:rPr>
                <w:sz w:val="22"/>
                <w:szCs w:val="22"/>
                <w:lang w:val="es-ES_tradnl"/>
              </w:rPr>
            </w:pPr>
            <w:r w:rsidRPr="00E10CC9">
              <w:rPr>
                <w:sz w:val="22"/>
                <w:szCs w:val="22"/>
                <w:lang w:val="es-ES_tradnl"/>
              </w:rPr>
              <w:t>Sra. Carmen Madalina Clapon (Rumania)</w:t>
            </w:r>
          </w:p>
        </w:tc>
      </w:tr>
    </w:tbl>
    <w:p w14:paraId="5754DEC7" w14:textId="77777777" w:rsidR="00D85E1C" w:rsidRPr="00E71155" w:rsidRDefault="00D85E1C">
      <w:pPr>
        <w:rPr>
          <w:lang w:val="es-ES"/>
        </w:rPr>
      </w:pPr>
    </w:p>
    <w:sectPr w:rsidR="00D85E1C" w:rsidRPr="00E71155" w:rsidSect="00E71155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D065E" w14:textId="77777777" w:rsidR="00D85E1C" w:rsidRDefault="00D85E1C">
      <w:r>
        <w:separator/>
      </w:r>
    </w:p>
  </w:endnote>
  <w:endnote w:type="continuationSeparator" w:id="0">
    <w:p w14:paraId="475D8B0C" w14:textId="77777777" w:rsidR="00D85E1C" w:rsidRDefault="00D8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DA2A4" w14:textId="77777777" w:rsidR="00D85E1C" w:rsidRDefault="00D85E1C">
      <w:r>
        <w:rPr>
          <w:b/>
        </w:rPr>
        <w:t>_______________</w:t>
      </w:r>
    </w:p>
  </w:footnote>
  <w:footnote w:type="continuationSeparator" w:id="0">
    <w:p w14:paraId="58229A0C" w14:textId="77777777" w:rsidR="00D85E1C" w:rsidRDefault="00D85E1C">
      <w:r>
        <w:continuationSeparator/>
      </w:r>
    </w:p>
  </w:footnote>
  <w:footnote w:id="1">
    <w:p w14:paraId="73646C32" w14:textId="6032A1BA" w:rsidR="00D9469A" w:rsidRPr="00D9469A" w:rsidRDefault="00D9469A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E71155">
        <w:rPr>
          <w:lang w:val="es-ES"/>
        </w:rPr>
        <w:t xml:space="preserve"> Este término comprende los países menos adelantados, los pequeños Estados insulares en desarrollo, los países en desarrollo sin litoral y los países con economías en transición.</w:t>
      </w:r>
    </w:p>
  </w:footnote>
  <w:footnote w:id="2">
    <w:p w14:paraId="0DF75CDD" w14:textId="17CE4513" w:rsidR="00D9469A" w:rsidRPr="00D9469A" w:rsidRDefault="00D9469A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E71155">
        <w:rPr>
          <w:lang w:val="es-ES"/>
        </w:rPr>
        <w:t xml:space="preserve"> </w:t>
      </w:r>
      <w:r w:rsidRPr="00E71155">
        <w:rPr>
          <w:lang w:val="es-ES"/>
        </w:rPr>
        <w:t>Por conectividad significativa se entiende un nivel de conectividad que permite al usuario disfrutar de una experiencia en línea segura, satisfactoria, enriquecedora y productiva a un coste asequible.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30599582"/>
      <w:docPartObj>
        <w:docPartGallery w:val="Page Numbers (Top of Page)"/>
        <w:docPartUnique/>
      </w:docPartObj>
    </w:sdtPr>
    <w:sdtEndPr/>
    <w:sdtContent>
      <w:p w14:paraId="43CBEDA0" w14:textId="20FC960B" w:rsidR="00E10CC9" w:rsidRPr="00E71155" w:rsidRDefault="00E10CC9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E71155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E71155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E71155">
          <w:rPr>
            <w:sz w:val="16"/>
            <w:szCs w:val="16"/>
            <w:lang w:val="es-ES"/>
          </w:rPr>
          <w:tab/>
        </w:r>
        <w:r w:rsidRPr="00E71155">
          <w:rPr>
            <w:rFonts w:ascii="Calibri" w:hAnsi="Calibri"/>
            <w:sz w:val="16"/>
            <w:szCs w:val="16"/>
            <w:lang w:val="es-ES"/>
          </w:rPr>
          <w:t>Informe final de la CMDT-25 – Parte IV – Resolución 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419842055"/>
      <w:docPartObj>
        <w:docPartGallery w:val="Page Numbers (Top of Page)"/>
        <w:docPartUnique/>
      </w:docPartObj>
    </w:sdtPr>
    <w:sdtEndPr/>
    <w:sdtContent>
      <w:p w14:paraId="408ACF6D" w14:textId="6240991E" w:rsidR="00E10CC9" w:rsidRPr="00E71155" w:rsidRDefault="00E10CC9" w:rsidP="001F0843">
        <w:pPr>
          <w:tabs>
            <w:tab w:val="clear" w:pos="2268"/>
            <w:tab w:val="left" w:pos="1985"/>
            <w:tab w:val="left" w:pos="3686"/>
            <w:tab w:val="left" w:pos="5245"/>
            <w:tab w:val="left" w:pos="6379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E71155">
          <w:rPr>
            <w:rFonts w:ascii="Calibri" w:hAnsi="Calibri"/>
            <w:sz w:val="16"/>
            <w:szCs w:val="16"/>
            <w:lang w:val="es-ES"/>
          </w:rPr>
          <w:t>Informe final de la CMDT-25 – Parte IV – Resolución 2</w:t>
        </w:r>
        <w:r w:rsidRPr="00E71155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E71155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E71155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C229" w14:textId="5BA65019" w:rsidR="00E10CC9" w:rsidRPr="00E71155" w:rsidRDefault="00E10CC9" w:rsidP="001F0843">
    <w:pPr>
      <w:spacing w:before="0" w:after="120"/>
      <w:jc w:val="right"/>
      <w:textAlignment w:val="auto"/>
      <w:rPr>
        <w:rFonts w:ascii="Calibri" w:hAnsi="Calibri"/>
        <w:sz w:val="18"/>
        <w:lang w:val="es-ES"/>
      </w:rPr>
    </w:pPr>
    <w:r w:rsidRPr="00E71155">
      <w:rPr>
        <w:rFonts w:ascii="Calibri" w:hAnsi="Calibri"/>
        <w:sz w:val="18"/>
        <w:lang w:val="es-ES"/>
      </w:rPr>
      <w:t>Informe final de la CMDT-25 – Parte IV – Resolución 2</w:t>
    </w:r>
    <w:r w:rsidRPr="00E71155">
      <w:rPr>
        <w:rFonts w:ascii="Calibri" w:hAnsi="Calibri"/>
        <w:sz w:val="18"/>
        <w:lang w:val="es-ES"/>
      </w:rPr>
      <w:tab/>
    </w:r>
    <w:r w:rsidRPr="001F0843">
      <w:rPr>
        <w:rFonts w:ascii="Calibri" w:hAnsi="Calibri"/>
        <w:sz w:val="16"/>
        <w:szCs w:val="16"/>
        <w:lang w:val="fr-FR"/>
      </w:rPr>
      <w:fldChar w:fldCharType="begin"/>
    </w:r>
    <w:r w:rsidRPr="00E71155">
      <w:rPr>
        <w:rFonts w:ascii="Calibri" w:hAnsi="Calibri"/>
        <w:sz w:val="16"/>
        <w:szCs w:val="16"/>
        <w:lang w:val="es-ES"/>
      </w:rPr>
      <w:instrText xml:space="preserve"> PAGE   \* MERGEFORMAT </w:instrText>
    </w:r>
    <w:r w:rsidRPr="001F0843">
      <w:rPr>
        <w:rFonts w:ascii="Calibri" w:hAnsi="Calibri"/>
        <w:sz w:val="16"/>
        <w:szCs w:val="16"/>
        <w:lang w:val="fr-FR"/>
      </w:rPr>
      <w:fldChar w:fldCharType="separate"/>
    </w:r>
    <w:r w:rsidRPr="00E71155">
      <w:rPr>
        <w:rFonts w:ascii="Calibri" w:hAnsi="Calibri"/>
        <w:sz w:val="16"/>
        <w:szCs w:val="16"/>
        <w:lang w:val="es-ES"/>
      </w:rPr>
      <w:t>117</w:t>
    </w:r>
    <w:r w:rsidRPr="001F0843">
      <w:rPr>
        <w:rFonts w:ascii="Calibri" w:hAnsi="Calibri"/>
        <w:noProof/>
        <w:sz w:val="16"/>
        <w:szCs w:val="16"/>
        <w:lang w:val="fr-F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645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6F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1C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0DC2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1155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2635</TotalTime>
  <Pages>6</Pages>
  <Words>1332</Words>
  <Characters>7835</Characters>
  <Application>Microsoft Office Word</Application>
  <DocSecurity>0</DocSecurity>
  <Lines>182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9058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2 (Rev. Bakú, 2025) Establecimiento de Comisiones de Estudio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216</cp:revision>
  <cp:lastPrinted>2026-04-30T13:21:00Z</cp:lastPrinted>
  <dcterms:created xsi:type="dcterms:W3CDTF">2026-02-17T07:51:00Z</dcterms:created>
  <dcterms:modified xsi:type="dcterms:W3CDTF">2026-09-23T07:01:00Z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