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3333" w14:textId="77777777" w:rsidR="006E3AF9" w:rsidRPr="00334B96" w:rsidRDefault="006E3AF9" w:rsidP="006E3AF9">
      <w:pPr>
        <w:pStyle w:val="ResNo"/>
        <w:rPr>
          <w:lang w:val="ru-RU"/>
        </w:rPr>
      </w:pPr>
      <w:bookmarkStart w:id="0" w:name="_Toc116554117"/>
      <w:bookmarkStart w:id="1" w:name="_Toc227836914"/>
      <w:bookmarkStart w:id="2" w:name="_Toc227837527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2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  <w:bookmarkEnd w:id="2"/>
    </w:p>
    <w:p w14:paraId="5B69DAF5" w14:textId="77777777" w:rsidR="006E3AF9" w:rsidRPr="00334B96" w:rsidRDefault="006E3AF9" w:rsidP="006E3AF9">
      <w:pPr>
        <w:pStyle w:val="Restitle"/>
        <w:rPr>
          <w:lang w:val="ru-RU"/>
        </w:rPr>
      </w:pPr>
      <w:bookmarkStart w:id="3" w:name="_Toc116554118"/>
      <w:bookmarkStart w:id="4" w:name="_Toc227836915"/>
      <w:bookmarkStart w:id="5" w:name="_Toc227837528"/>
      <w:r w:rsidRPr="00334B96">
        <w:rPr>
          <w:lang w:val="ru-RU"/>
        </w:rPr>
        <w:t>Создание исследовательских комиссий</w:t>
      </w:r>
      <w:bookmarkEnd w:id="3"/>
      <w:bookmarkEnd w:id="4"/>
      <w:bookmarkEnd w:id="5"/>
    </w:p>
    <w:p w14:paraId="0701C206" w14:textId="77777777" w:rsidR="006E3AF9" w:rsidRPr="00334B96" w:rsidRDefault="006E3AF9" w:rsidP="006E3AF9">
      <w:pPr>
        <w:pStyle w:val="Normalaftertitle"/>
        <w:rPr>
          <w:szCs w:val="22"/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697D0B90" w14:textId="77777777" w:rsidR="006E3AF9" w:rsidRPr="00334B96" w:rsidRDefault="006E3AF9" w:rsidP="006E3AF9">
      <w:pPr>
        <w:pStyle w:val="Call"/>
        <w:rPr>
          <w:szCs w:val="22"/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lang w:val="ru-RU"/>
        </w:rPr>
        <w:t>,</w:t>
      </w:r>
    </w:p>
    <w:p w14:paraId="7D3173AB" w14:textId="77777777" w:rsidR="006E3AF9" w:rsidRPr="00334B96" w:rsidRDefault="006E3AF9" w:rsidP="006E3AF9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необходимо четко определить мандат каждой исследовательской комиссии в целях исключения дублирования между исследовательскими комиссиями и другими группами Сектора развития электросвязи МСЭ (МСЭ</w:t>
      </w:r>
      <w:r w:rsidRPr="00334B96">
        <w:rPr>
          <w:lang w:val="ru-RU"/>
        </w:rPr>
        <w:noBreakHyphen/>
        <w:t>D), создаваемыми в соответствии с п. 209 a) Статьи 16 Конвенции МСЭ, и обеспечения согласованности общей программы работы Сектора;</w:t>
      </w:r>
    </w:p>
    <w:p w14:paraId="6D2F5796" w14:textId="77777777" w:rsidR="006E3AF9" w:rsidRPr="00334B96" w:rsidRDefault="006E3AF9" w:rsidP="006E3AF9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для проведения исследований, порученных МСЭ</w:t>
      </w:r>
      <w:r w:rsidRPr="00334B96">
        <w:rPr>
          <w:lang w:val="ru-RU"/>
        </w:rPr>
        <w:noBreakHyphen/>
        <w:t xml:space="preserve">D, необходимо создавать исследовательские комиссии, предусмотренные в Статьях 17 и 20 Конвенции, для рассмотрения специальных </w:t>
      </w:r>
      <w:r w:rsidRPr="00334B96">
        <w:rPr>
          <w:lang w:val="ru-RU" w:bidi="ar-EG"/>
        </w:rPr>
        <w:t xml:space="preserve">целевых </w:t>
      </w:r>
      <w:r w:rsidRPr="00334B96">
        <w:rPr>
          <w:lang w:val="ru-RU"/>
        </w:rPr>
        <w:t>Вопросов электросвязи, представляющих первостепенный интерес для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, с учетом Стратегического плана МСЭ и </w:t>
      </w:r>
      <w:r w:rsidRPr="00334B96">
        <w:rPr>
          <w:spacing w:val="-4"/>
          <w:lang w:val="ru-RU"/>
        </w:rPr>
        <w:t xml:space="preserve">целей </w:t>
      </w:r>
      <w:r w:rsidRPr="00334B96">
        <w:rPr>
          <w:lang w:val="ru-RU"/>
        </w:rPr>
        <w:t>и подготовки соответствующих выходных документов в форме отчетов, руководящих указаний и/или Рекомендаций для развития электросвязи/информационно-коммуникационных технологий;</w:t>
      </w:r>
    </w:p>
    <w:p w14:paraId="4C40080F" w14:textId="77777777" w:rsidR="006E3AF9" w:rsidRPr="00334B96" w:rsidRDefault="006E3AF9" w:rsidP="006E3AF9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необходимость избегать в максимально возможной степени дублирования между исследованиями, проводимыми в МСЭ-D, и исследованиями, проводимыми в двух других Секторах Союза;</w:t>
      </w:r>
    </w:p>
    <w:p w14:paraId="4F81F6F3" w14:textId="77777777" w:rsidR="006E3AF9" w:rsidRPr="00334B96" w:rsidRDefault="006E3AF9" w:rsidP="006E3AF9">
      <w:pPr>
        <w:rPr>
          <w:szCs w:val="22"/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результаты исследований в рамках исследуемых Вопросов, принятых на Всемирной конференции по развитию электросвязи (</w:t>
      </w:r>
      <w:r w:rsidRPr="00334B96">
        <w:rPr>
          <w:lang w:val="ru-RU" w:bidi="ar-EG"/>
        </w:rPr>
        <w:t>Дубай, 2014 г.) и Всемирной конференции по развитию электросвязи (Буэнос-Айрес, 2017 г.</w:t>
      </w:r>
      <w:r w:rsidRPr="00334B96">
        <w:rPr>
          <w:lang w:val="ru-RU"/>
        </w:rPr>
        <w:t>) и порученных двум исследовательским комиссиям,</w:t>
      </w:r>
    </w:p>
    <w:p w14:paraId="47EB9767" w14:textId="77777777" w:rsidR="006E3AF9" w:rsidRPr="00334B96" w:rsidRDefault="006E3AF9" w:rsidP="006E3AF9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341C1D11" w14:textId="77777777" w:rsidR="006E3AF9" w:rsidRPr="00334B96" w:rsidRDefault="006E3AF9" w:rsidP="006E3AF9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провести в рамках Сектора работу двух исследовательских комиссий с четким определением обязанностей и кругов ведения, приведенных в Приложении 1 к настоящей Резолюции;</w:t>
      </w:r>
    </w:p>
    <w:p w14:paraId="3593D611" w14:textId="77777777" w:rsidR="006E3AF9" w:rsidRPr="00334B96" w:rsidRDefault="006E3AF9" w:rsidP="006E3A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03880932" w14:textId="77777777" w:rsidR="006E3AF9" w:rsidRPr="00334B96" w:rsidRDefault="006E3AF9" w:rsidP="006E3AF9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что каждая исследовательская комиссия и ее соответствующие группы будут вести исследования в рамках исследуемых Вопросов МСЭ-D, принятых на данной Конференции и порученных им согласно структуре, приведенной в Приложении 2 к настоящей Резолюции, а также исследуемых Вопросов МСЭ-D, принятых или пересмотренных в период между двумя всемирными конференциями по развитию электросвязи (ВКРЭ) в соответствии с положениями Резолюции 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Конференции;</w:t>
      </w:r>
    </w:p>
    <w:p w14:paraId="14D56D6D" w14:textId="77777777" w:rsidR="006E3AF9" w:rsidRPr="00334B96" w:rsidRDefault="006E3AF9" w:rsidP="006E3AF9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что следует обеспечивать, чтобы организация исследовательских комиссий приводила к повышению синергического эффекта, прозрачности и эффективности при минимальном совпадении между исследуемыми Вопросами МСЭ-D;</w:t>
      </w:r>
    </w:p>
    <w:p w14:paraId="5AD3B328" w14:textId="77777777" w:rsidR="006E3AF9" w:rsidRPr="00334B96" w:rsidRDefault="006E3AF9" w:rsidP="006E3AF9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что следует обеспечивать взаимосвязь исследуемых Вопросов МСЭ-D с выполнением Резолюций ВКРЭ и Полномочной конференции, а также с программами Бюро развития электросвязи (БРЭ), предусмотренными Планом действий МСЭ-D, с тем чтобы исследовательские комиссии и программы БРЭ могли пользоваться преимуществами деятельности, ресурсов и специальных знаний друг друга и сообща вносить вклад в выполнение задач МСЭ-D;</w:t>
      </w:r>
    </w:p>
    <w:p w14:paraId="068CE717" w14:textId="77777777" w:rsidR="006E3AF9" w:rsidRPr="00334B96" w:rsidRDefault="006E3AF9" w:rsidP="006E3AF9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что исследовательским комиссиям следует использовать соответствующие результаты работы и материалы двух других Секторов и Генерального секретариата, которые соответствуют их кругу ведения, и тесно взаимодействовать с исследовательскими комиссиями других Секторов по вопросам, представляющим взаимный интерес;</w:t>
      </w:r>
    </w:p>
    <w:p w14:paraId="668A23DC" w14:textId="77777777" w:rsidR="006E3AF9" w:rsidRPr="00334B96" w:rsidRDefault="006E3AF9" w:rsidP="006E3AF9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что руководство работой исследовательских комиссий будут осуществлять председатели и заместители председателей, как указано в Приложении 3 к настоящей Резолюции.</w:t>
      </w:r>
    </w:p>
    <w:p w14:paraId="5C8EAC33" w14:textId="77777777" w:rsidR="006E3AF9" w:rsidRPr="00334B96" w:rsidRDefault="006E3AF9" w:rsidP="006E3AF9">
      <w:pPr>
        <w:rPr>
          <w:lang w:val="en-US"/>
        </w:rPr>
      </w:pPr>
    </w:p>
    <w:p w14:paraId="68711557" w14:textId="77777777" w:rsidR="006E3AF9" w:rsidRPr="00334B96" w:rsidRDefault="006E3AF9" w:rsidP="006E3AF9">
      <w:pPr>
        <w:rPr>
          <w:lang w:val="en-US"/>
        </w:rPr>
      </w:pPr>
    </w:p>
    <w:p w14:paraId="554C8B43" w14:textId="77777777" w:rsidR="006E3AF9" w:rsidRPr="00334B96" w:rsidRDefault="006E3AF9" w:rsidP="006E3AF9">
      <w:pPr>
        <w:rPr>
          <w:lang w:val="en-US"/>
        </w:rPr>
      </w:pPr>
    </w:p>
    <w:p w14:paraId="74876F50" w14:textId="77777777" w:rsidR="006E3AF9" w:rsidRPr="00334B96" w:rsidRDefault="006E3AF9" w:rsidP="006E3AF9">
      <w:pPr>
        <w:rPr>
          <w:lang w:val="en-US"/>
        </w:rPr>
      </w:pPr>
    </w:p>
    <w:p w14:paraId="0AC65870" w14:textId="77777777" w:rsidR="006E3AF9" w:rsidRPr="00334B96" w:rsidRDefault="006E3AF9" w:rsidP="006E3AF9">
      <w:pPr>
        <w:rPr>
          <w:lang w:val="en-US"/>
        </w:rPr>
      </w:pPr>
    </w:p>
    <w:p w14:paraId="763B6447" w14:textId="77777777" w:rsidR="006E3AF9" w:rsidRPr="00334B96" w:rsidRDefault="006E3AF9" w:rsidP="006E3AF9">
      <w:pPr>
        <w:rPr>
          <w:lang w:val="en-US"/>
        </w:rPr>
      </w:pPr>
    </w:p>
    <w:p w14:paraId="5F82DC58" w14:textId="77777777" w:rsidR="006E3AF9" w:rsidRPr="00334B96" w:rsidRDefault="006E3AF9" w:rsidP="006E3AF9">
      <w:pPr>
        <w:rPr>
          <w:lang w:val="ru-RU"/>
        </w:rPr>
      </w:pPr>
      <w:r w:rsidRPr="00334B96">
        <w:rPr>
          <w:lang w:val="ru-RU"/>
        </w:rPr>
        <w:br w:type="page"/>
      </w:r>
    </w:p>
    <w:p w14:paraId="3A4C132E" w14:textId="77777777" w:rsidR="006E3AF9" w:rsidRPr="00334B96" w:rsidRDefault="006E3AF9" w:rsidP="006E3AF9">
      <w:pPr>
        <w:pStyle w:val="AnnexNo"/>
        <w:rPr>
          <w:lang w:val="ru-RU"/>
        </w:rPr>
      </w:pPr>
      <w:r w:rsidRPr="00334B96">
        <w:rPr>
          <w:lang w:val="ru-RU"/>
        </w:rPr>
        <w:lastRenderedPageBreak/>
        <w:t xml:space="preserve">ПРИЛОЖЕНИЕ 1 </w:t>
      </w:r>
      <w:r w:rsidRPr="00334B96">
        <w:rPr>
          <w:caps w:val="0"/>
          <w:lang w:val="ru-RU"/>
        </w:rPr>
        <w:t>к</w:t>
      </w:r>
      <w:r w:rsidRPr="00334B96">
        <w:rPr>
          <w:lang w:val="ru-RU"/>
        </w:rPr>
        <w:t xml:space="preserve"> РЕЗОЛЮЦИИ 2 (</w:t>
      </w:r>
      <w:proofErr w:type="spellStart"/>
      <w:r w:rsidRPr="00334B96">
        <w:rPr>
          <w:caps w:val="0"/>
          <w:lang w:val="ru-RU"/>
        </w:rPr>
        <w:t>Пересм</w:t>
      </w:r>
      <w:proofErr w:type="spellEnd"/>
      <w:r w:rsidRPr="00334B96">
        <w:rPr>
          <w:lang w:val="ru-RU"/>
        </w:rPr>
        <w:t xml:space="preserve">. </w:t>
      </w:r>
      <w:r w:rsidRPr="00334B96">
        <w:rPr>
          <w:caps w:val="0"/>
          <w:lang w:val="ru-RU"/>
        </w:rPr>
        <w:t>Баку</w:t>
      </w:r>
      <w:r w:rsidRPr="00334B96">
        <w:rPr>
          <w:lang w:val="ru-RU"/>
        </w:rPr>
        <w:t>, 2025 </w:t>
      </w:r>
      <w:r w:rsidRPr="00334B96">
        <w:rPr>
          <w:caps w:val="0"/>
          <w:lang w:val="ru-RU"/>
        </w:rPr>
        <w:t>г</w:t>
      </w:r>
      <w:r w:rsidRPr="00334B96">
        <w:rPr>
          <w:lang w:val="ru-RU"/>
        </w:rPr>
        <w:t>.)</w:t>
      </w:r>
    </w:p>
    <w:p w14:paraId="1388A52E" w14:textId="77777777" w:rsidR="006E3AF9" w:rsidRPr="00334B96" w:rsidRDefault="006E3AF9" w:rsidP="006E3AF9">
      <w:pPr>
        <w:pStyle w:val="Annextitle"/>
        <w:rPr>
          <w:lang w:val="ru-RU"/>
        </w:rPr>
      </w:pPr>
      <w:bookmarkStart w:id="6" w:name="_Toc116554119"/>
      <w:r w:rsidRPr="00334B96">
        <w:rPr>
          <w:lang w:val="ru-RU"/>
        </w:rPr>
        <w:t>Сфера деятельности исследовательских комиссий МСЭ-D</w:t>
      </w:r>
      <w:bookmarkEnd w:id="6"/>
    </w:p>
    <w:p w14:paraId="7C35848A" w14:textId="77777777" w:rsidR="006E3AF9" w:rsidRPr="00334B96" w:rsidRDefault="006E3AF9" w:rsidP="006E3AF9">
      <w:pPr>
        <w:pStyle w:val="Heading1"/>
        <w:rPr>
          <w:lang w:val="ru-RU"/>
        </w:rPr>
      </w:pPr>
      <w:bookmarkStart w:id="7" w:name="_Toc116554120"/>
      <w:r w:rsidRPr="00334B96">
        <w:rPr>
          <w:lang w:val="ru-RU"/>
        </w:rPr>
        <w:t>1</w:t>
      </w:r>
      <w:r w:rsidRPr="00334B96">
        <w:rPr>
          <w:lang w:val="ru-RU"/>
        </w:rPr>
        <w:tab/>
        <w:t>1-я Исследовательская комиссия</w:t>
      </w:r>
      <w:bookmarkEnd w:id="7"/>
    </w:p>
    <w:p w14:paraId="2C2A9021" w14:textId="77777777" w:rsidR="006E3AF9" w:rsidRPr="00334B96" w:rsidRDefault="006E3AF9" w:rsidP="006E3AF9">
      <w:pPr>
        <w:pStyle w:val="Headingb"/>
        <w:rPr>
          <w:lang w:val="ru-RU"/>
        </w:rPr>
      </w:pPr>
      <w:r w:rsidRPr="00334B96">
        <w:rPr>
          <w:lang w:val="ru-RU"/>
        </w:rPr>
        <w:t>Универсальная и реальная возможность установления соединений для преодоления цифрового разрыва</w:t>
      </w:r>
      <w:r w:rsidRPr="00334B96">
        <w:rPr>
          <w:rStyle w:val="FootnoteReference"/>
          <w:lang w:val="ru-RU"/>
        </w:rPr>
        <w:footnoteReference w:id="2"/>
      </w:r>
    </w:p>
    <w:p w14:paraId="77E80E56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Национальные политические и регуляторные аспекты развития широкополосной электросвязи/ИКТ.</w:t>
      </w:r>
    </w:p>
    <w:p w14:paraId="1C7AFCF8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Экономические аспекты в области электросвязи/ИКТ на национальном уровне, включая содействие развитию цифровой экономики</w:t>
      </w:r>
      <w:r w:rsidRPr="00334B96">
        <w:rPr>
          <w:rFonts w:cstheme="minorHAnsi"/>
          <w:szCs w:val="24"/>
          <w:lang w:val="ru-RU"/>
        </w:rPr>
        <w:t xml:space="preserve"> </w:t>
      </w:r>
      <w:r w:rsidRPr="00334B96">
        <w:rPr>
          <w:lang w:val="ru-RU"/>
        </w:rPr>
        <w:t>и предоставлению услуг электросвязи/ИКТ, в том числе в сельских и отдаленных районах.</w:t>
      </w:r>
    </w:p>
    <w:p w14:paraId="35477629" w14:textId="77777777" w:rsidR="006E3AF9" w:rsidRPr="00334B96" w:rsidRDefault="006E3AF9" w:rsidP="006E3AF9">
      <w:pPr>
        <w:pStyle w:val="enumlev1"/>
        <w:rPr>
          <w:szCs w:val="22"/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 xml:space="preserve">Национальные подходы к обеспечению доступа к электросвязи/ИКТ в сельских и отдаленных районах, </w:t>
      </w:r>
      <w:r w:rsidRPr="00334B96">
        <w:rPr>
          <w:szCs w:val="22"/>
          <w:lang w:val="ru-RU"/>
        </w:rPr>
        <w:t>при уделении особого внимания развивающимся странам, включая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  <w:p w14:paraId="118CC1FD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Доступ к услугам электросвязи/ИКТ для обеспечения связи для всех, в особенности для лиц с ограниченными возможностями и лиц с особыми потребностями.</w:t>
      </w:r>
    </w:p>
    <w:p w14:paraId="5FFAB823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 xml:space="preserve">– </w:t>
      </w:r>
      <w:r w:rsidRPr="00334B96">
        <w:rPr>
          <w:lang w:val="ru-RU"/>
        </w:rPr>
        <w:tab/>
        <w:t>Переход к цифровым технологиям и внедрение цифровых технологий для радиовещания в различных средах.</w:t>
      </w:r>
    </w:p>
    <w:p w14:paraId="3076FD85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Использование электросвязи/ИКТ для снижения рисков бедствий и управления операциями в случае бедствий, в особенности в развивающихся странах.</w:t>
      </w:r>
    </w:p>
    <w:p w14:paraId="5FE892E2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Информация для потребителей, расширение их прав и возможностей, их защита и права в сфере услуг электросвязи/ИКТ, особенно для уязвимых групп.</w:t>
      </w:r>
    </w:p>
    <w:p w14:paraId="7857D173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−</w:t>
      </w:r>
      <w:r w:rsidRPr="00334B96">
        <w:rPr>
          <w:lang w:val="ru-RU"/>
        </w:rPr>
        <w:tab/>
        <w:t>Новые и появляющиеся технологии электросвязи/ИКТ, включая приложения искусственного интеллекта (ИИ), для обеспечения универсальной и реальной возможности установления соединений.</w:t>
      </w:r>
    </w:p>
    <w:p w14:paraId="5C0B1173" w14:textId="77777777" w:rsidR="006E3AF9" w:rsidRPr="00334B96" w:rsidRDefault="006E3AF9" w:rsidP="006E3A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  <w:bookmarkStart w:id="8" w:name="_Toc116554121"/>
    </w:p>
    <w:p w14:paraId="2FA95F8A" w14:textId="77777777" w:rsidR="006E3AF9" w:rsidRPr="00334B96" w:rsidRDefault="006E3AF9" w:rsidP="006E3A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n-US"/>
        </w:rPr>
      </w:pPr>
    </w:p>
    <w:p w14:paraId="0FC30727" w14:textId="77777777" w:rsidR="006E3AF9" w:rsidRPr="00334B96" w:rsidRDefault="006E3AF9" w:rsidP="006E3A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  <w:sz w:val="28"/>
          <w:lang w:val="ru-RU"/>
        </w:rPr>
      </w:pPr>
      <w:r w:rsidRPr="00334B96">
        <w:rPr>
          <w:lang w:val="ru-RU"/>
        </w:rPr>
        <w:br w:type="page"/>
      </w:r>
    </w:p>
    <w:p w14:paraId="47F62AB9" w14:textId="77777777" w:rsidR="006E3AF9" w:rsidRPr="00334B96" w:rsidRDefault="006E3AF9" w:rsidP="006E3AF9">
      <w:pPr>
        <w:pStyle w:val="Heading1"/>
        <w:tabs>
          <w:tab w:val="left" w:pos="5032"/>
        </w:tabs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2-я Исследовательская комиссия</w:t>
      </w:r>
      <w:bookmarkEnd w:id="8"/>
    </w:p>
    <w:p w14:paraId="49D1E6F4" w14:textId="77777777" w:rsidR="006E3AF9" w:rsidRPr="00334B96" w:rsidRDefault="006E3AF9" w:rsidP="006E3AF9">
      <w:pPr>
        <w:pStyle w:val="Headingb"/>
        <w:rPr>
          <w:lang w:val="ru-RU"/>
        </w:rPr>
      </w:pPr>
      <w:r w:rsidRPr="00334B96">
        <w:rPr>
          <w:lang w:val="ru-RU"/>
        </w:rPr>
        <w:t>Цифровая трансформация</w:t>
      </w:r>
    </w:p>
    <w:p w14:paraId="14960020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−</w:t>
      </w:r>
      <w:r w:rsidRPr="00334B96">
        <w:rPr>
          <w:lang w:val="ru-RU"/>
        </w:rPr>
        <w:tab/>
        <w:t>Электросвязь/ИКТ для цифровой трансформации, включая электронное здравоохранение и электронное образование.</w:t>
      </w:r>
    </w:p>
    <w:p w14:paraId="598F8B2A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Укрепление доверия и безопасности при использовании ИКТ.</w:t>
      </w:r>
    </w:p>
    <w:p w14:paraId="72DAA54B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Использование электросвязи/ИКТ для мониторинга и смягчения воздействия изменения климата</w:t>
      </w:r>
      <w:r w:rsidRPr="00334B96">
        <w:rPr>
          <w:rFonts w:cstheme="minorHAnsi"/>
          <w:szCs w:val="24"/>
          <w:lang w:val="ru-RU"/>
        </w:rPr>
        <w:t xml:space="preserve"> </w:t>
      </w:r>
      <w:r w:rsidRPr="00334B96">
        <w:rPr>
          <w:lang w:val="ru-RU"/>
        </w:rPr>
        <w:t>и учет проблемы циркуляционной экономики и безопасного удаления электронных отходов.</w:t>
      </w:r>
    </w:p>
    <w:p w14:paraId="490422AF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Борьба с использованием контрафактных устройств электросвязи/ИКТ и хищениями мобильных устройств электросвязи.</w:t>
      </w:r>
    </w:p>
    <w:p w14:paraId="3EB377E7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−</w:t>
      </w:r>
      <w:r w:rsidRPr="00334B96">
        <w:rPr>
          <w:lang w:val="ru-RU"/>
        </w:rPr>
        <w:tab/>
        <w:t>Проведение проверок на соответствие и функциональную совместимость устройств и оборудования электросвязи/ИКТ.</w:t>
      </w:r>
    </w:p>
    <w:p w14:paraId="060BBB14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Воздействие электромагнитных полей на человека.</w:t>
      </w:r>
    </w:p>
    <w:p w14:paraId="0B149FCC" w14:textId="77777777" w:rsidR="006E3AF9" w:rsidRPr="00334B96" w:rsidRDefault="006E3AF9" w:rsidP="006E3AF9">
      <w:pPr>
        <w:pStyle w:val="enumlev1"/>
        <w:rPr>
          <w:szCs w:val="18"/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szCs w:val="18"/>
          <w:lang w:val="ru-RU"/>
        </w:rPr>
        <w:t>Проблемы и возможности для развивающихся стран, связанные с доступом к появляющимся технологиям, платформам, приложениям и сценариям использования электросвязи/ИКТ</w:t>
      </w:r>
      <w:r w:rsidRPr="00334B96">
        <w:rPr>
          <w:rFonts w:cstheme="minorHAnsi"/>
          <w:szCs w:val="18"/>
          <w:lang w:val="ru-RU"/>
        </w:rPr>
        <w:t>.</w:t>
      </w:r>
    </w:p>
    <w:p w14:paraId="31430B0F" w14:textId="77777777" w:rsidR="006E3AF9" w:rsidRPr="00334B96" w:rsidRDefault="006E3AF9" w:rsidP="006E3AF9">
      <w:pPr>
        <w:pStyle w:val="enumlev1"/>
        <w:rPr>
          <w:szCs w:val="18"/>
          <w:lang w:val="ru-RU"/>
        </w:rPr>
      </w:pPr>
      <w:r w:rsidRPr="00334B96">
        <w:rPr>
          <w:szCs w:val="18"/>
          <w:lang w:val="ru-RU"/>
        </w:rPr>
        <w:t>–</w:t>
      </w:r>
      <w:r w:rsidRPr="00334B96">
        <w:rPr>
          <w:szCs w:val="18"/>
          <w:lang w:val="ru-RU"/>
        </w:rPr>
        <w:tab/>
        <w:t>Использование электросвязи/ИКТ при формировании "умных" городов и информационного общества.</w:t>
      </w:r>
    </w:p>
    <w:p w14:paraId="740C0FE5" w14:textId="77777777" w:rsidR="006E3AF9" w:rsidRPr="00334B96" w:rsidRDefault="006E3AF9" w:rsidP="006E3AF9">
      <w:pPr>
        <w:pStyle w:val="enumlev1"/>
        <w:rPr>
          <w:sz w:val="20"/>
          <w:szCs w:val="18"/>
          <w:lang w:val="ru-RU"/>
        </w:rPr>
      </w:pPr>
      <w:r w:rsidRPr="00334B96">
        <w:rPr>
          <w:szCs w:val="18"/>
          <w:lang w:val="ru-RU"/>
        </w:rPr>
        <w:t>–</w:t>
      </w:r>
      <w:r w:rsidRPr="00334B96">
        <w:rPr>
          <w:szCs w:val="18"/>
          <w:lang w:val="ru-RU"/>
        </w:rPr>
        <w:tab/>
        <w:t>Внедрение электросвязи/ИКТ и совершенствование цифровых навыков.</w:t>
      </w:r>
    </w:p>
    <w:p w14:paraId="0DCAAF0B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Наличие и приемлемость в ценовом отношении устройств пользователей.</w:t>
      </w:r>
    </w:p>
    <w:p w14:paraId="33A9ED5F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  <w:t>Использование новых и появляющихся технологий электросвязи/ИКТ.</w:t>
      </w:r>
    </w:p>
    <w:p w14:paraId="19042E14" w14:textId="77777777" w:rsidR="006E3AF9" w:rsidRPr="00334B96" w:rsidRDefault="006E3AF9" w:rsidP="006E3AF9">
      <w:pPr>
        <w:rPr>
          <w:lang w:val="en-US"/>
        </w:rPr>
      </w:pPr>
    </w:p>
    <w:p w14:paraId="50688391" w14:textId="77777777" w:rsidR="006E3AF9" w:rsidRPr="00334B96" w:rsidRDefault="006E3AF9" w:rsidP="006E3AF9">
      <w:pPr>
        <w:rPr>
          <w:lang w:val="en-US"/>
        </w:rPr>
      </w:pPr>
    </w:p>
    <w:p w14:paraId="548C2465" w14:textId="77777777" w:rsidR="006E3AF9" w:rsidRPr="00334B96" w:rsidRDefault="006E3AF9" w:rsidP="006E3AF9">
      <w:pPr>
        <w:rPr>
          <w:lang w:val="en-US"/>
        </w:rPr>
      </w:pPr>
    </w:p>
    <w:p w14:paraId="1F5D24EA" w14:textId="77777777" w:rsidR="006E3AF9" w:rsidRPr="00334B96" w:rsidRDefault="006E3AF9" w:rsidP="006E3AF9">
      <w:pPr>
        <w:rPr>
          <w:lang w:val="en-US"/>
        </w:rPr>
      </w:pPr>
    </w:p>
    <w:p w14:paraId="535DDFE7" w14:textId="77777777" w:rsidR="006E3AF9" w:rsidRPr="00334B96" w:rsidRDefault="006E3AF9" w:rsidP="006E3AF9">
      <w:pPr>
        <w:rPr>
          <w:lang w:val="en-US"/>
        </w:rPr>
      </w:pPr>
    </w:p>
    <w:p w14:paraId="536371EA" w14:textId="77777777" w:rsidR="006E3AF9" w:rsidRPr="00334B96" w:rsidRDefault="006E3AF9" w:rsidP="006E3AF9">
      <w:pPr>
        <w:rPr>
          <w:lang w:val="ru-RU"/>
        </w:rPr>
      </w:pPr>
      <w:r w:rsidRPr="00334B96">
        <w:rPr>
          <w:lang w:val="ru-RU"/>
        </w:rPr>
        <w:br w:type="page"/>
      </w:r>
    </w:p>
    <w:p w14:paraId="29160569" w14:textId="77777777" w:rsidR="006E3AF9" w:rsidRPr="00334B96" w:rsidRDefault="006E3AF9" w:rsidP="006E3AF9">
      <w:pPr>
        <w:pStyle w:val="AnnexNo"/>
        <w:rPr>
          <w:lang w:val="ru-RU"/>
        </w:rPr>
      </w:pPr>
      <w:r w:rsidRPr="00334B96">
        <w:rPr>
          <w:lang w:val="ru-RU"/>
        </w:rPr>
        <w:lastRenderedPageBreak/>
        <w:t xml:space="preserve">ПРИЛОЖЕНИЕ 2 </w:t>
      </w:r>
      <w:r w:rsidRPr="00334B96">
        <w:rPr>
          <w:caps w:val="0"/>
          <w:lang w:val="ru-RU"/>
        </w:rPr>
        <w:t>к</w:t>
      </w:r>
      <w:r w:rsidRPr="00334B96">
        <w:rPr>
          <w:lang w:val="ru-RU"/>
        </w:rPr>
        <w:t xml:space="preserve"> РЕЗОЛЮЦИИ 2 (</w:t>
      </w:r>
      <w:proofErr w:type="spellStart"/>
      <w:r w:rsidRPr="00334B96">
        <w:rPr>
          <w:caps w:val="0"/>
          <w:lang w:val="ru-RU"/>
        </w:rPr>
        <w:t>Пересм</w:t>
      </w:r>
      <w:proofErr w:type="spellEnd"/>
      <w:r w:rsidRPr="00334B96">
        <w:rPr>
          <w:lang w:val="ru-RU"/>
        </w:rPr>
        <w:t xml:space="preserve">. </w:t>
      </w:r>
      <w:r w:rsidRPr="00334B96">
        <w:rPr>
          <w:caps w:val="0"/>
          <w:lang w:val="ru-RU"/>
        </w:rPr>
        <w:t>Баку</w:t>
      </w:r>
      <w:r w:rsidRPr="00334B96">
        <w:rPr>
          <w:lang w:val="ru-RU"/>
        </w:rPr>
        <w:t>, 2025 </w:t>
      </w:r>
      <w:r w:rsidRPr="00334B96">
        <w:rPr>
          <w:caps w:val="0"/>
          <w:lang w:val="ru-RU"/>
        </w:rPr>
        <w:t>г</w:t>
      </w:r>
      <w:r w:rsidRPr="00334B96">
        <w:rPr>
          <w:lang w:val="ru-RU"/>
        </w:rPr>
        <w:t>.)</w:t>
      </w:r>
    </w:p>
    <w:p w14:paraId="4CDA5A18" w14:textId="77777777" w:rsidR="006E3AF9" w:rsidRPr="00334B96" w:rsidRDefault="006E3AF9" w:rsidP="006E3AF9">
      <w:pPr>
        <w:pStyle w:val="Annextitle"/>
        <w:rPr>
          <w:lang w:val="ru-RU"/>
        </w:rPr>
      </w:pPr>
      <w:bookmarkStart w:id="9" w:name="_Toc116554122"/>
      <w:r w:rsidRPr="00334B96">
        <w:rPr>
          <w:lang w:val="ru-RU"/>
        </w:rPr>
        <w:t>Вопросы, порученные Всемирной конференцией по развитию электросвязи исследовательским комиссиям МСЭ-D</w:t>
      </w:r>
      <w:bookmarkEnd w:id="9"/>
    </w:p>
    <w:p w14:paraId="6FBF3976" w14:textId="77777777" w:rsidR="006E3AF9" w:rsidRPr="00334B96" w:rsidRDefault="006E3AF9" w:rsidP="006E3AF9">
      <w:pPr>
        <w:pStyle w:val="Heading1"/>
        <w:rPr>
          <w:lang w:val="ru-RU"/>
        </w:rPr>
      </w:pPr>
      <w:bookmarkStart w:id="10" w:name="_Toc116554123"/>
      <w:r w:rsidRPr="00334B96">
        <w:rPr>
          <w:lang w:val="ru-RU"/>
        </w:rPr>
        <w:t>1-я Исследовательская комиссия</w:t>
      </w:r>
      <w:bookmarkEnd w:id="10"/>
    </w:p>
    <w:p w14:paraId="160C4F8B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bCs/>
          <w:lang w:val="ru-RU"/>
        </w:rPr>
        <w:t>Вопрос 1/1</w:t>
      </w:r>
      <w:r w:rsidRPr="00334B96">
        <w:rPr>
          <w:lang w:val="ru-RU"/>
        </w:rPr>
        <w:t>: Стимулирующая политика и стратегии для универсальной возможности установления соединений с уделением особого внимания обслуживаемым в недостаточной степени, отдаленным и сельским районам</w:t>
      </w:r>
    </w:p>
    <w:p w14:paraId="71543BB8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bCs/>
          <w:lang w:val="ru-RU"/>
        </w:rPr>
        <w:t>Вопрос 2/1</w:t>
      </w:r>
      <w:r w:rsidRPr="00334B96">
        <w:rPr>
          <w:lang w:val="ru-RU"/>
        </w:rPr>
        <w:t>: Стимулирующая политика и регуляторные нормы для внедрения цифровых услуг и технологий электросвязи/ИКТ для распространения контента и радиовещания</w:t>
      </w:r>
    </w:p>
    <w:p w14:paraId="4783F2D6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lang w:val="ru-RU"/>
        </w:rPr>
        <w:t>Вопрос 3/1</w:t>
      </w:r>
      <w:r w:rsidRPr="00334B96">
        <w:rPr>
          <w:bCs/>
          <w:lang w:val="ru-RU"/>
        </w:rPr>
        <w:t xml:space="preserve">: </w:t>
      </w:r>
      <w:r w:rsidRPr="00334B96">
        <w:rPr>
          <w:szCs w:val="24"/>
          <w:lang w:val="ru-RU"/>
        </w:rPr>
        <w:t>Использование электросвязи/ИКТ для снижения риска бедствий и управления операциями в случае бедствий</w:t>
      </w:r>
    </w:p>
    <w:p w14:paraId="2C07D249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bCs/>
          <w:lang w:val="ru-RU"/>
        </w:rPr>
        <w:t>Вопрос 4/1</w:t>
      </w:r>
      <w:r w:rsidRPr="00334B96">
        <w:rPr>
          <w:lang w:val="ru-RU"/>
        </w:rPr>
        <w:t>: Экономические аспекты электросвязи/ИКТ на национальном уровне</w:t>
      </w:r>
    </w:p>
    <w:p w14:paraId="431B0C7E" w14:textId="77777777" w:rsidR="006E3AF9" w:rsidRPr="00334B96" w:rsidRDefault="006E3AF9" w:rsidP="006E3AF9">
      <w:pPr>
        <w:pStyle w:val="enumlev1"/>
        <w:rPr>
          <w:b/>
          <w:bCs/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bCs/>
          <w:lang w:val="ru-RU"/>
        </w:rPr>
        <w:t>Вопрос 5/1</w:t>
      </w:r>
      <w:r w:rsidRPr="00334B96">
        <w:rPr>
          <w:lang w:val="ru-RU"/>
        </w:rPr>
        <w:t>: Защита и расширение прав и возможностей потребителей, а также реальная доступность для всех, особенно для лиц с ограниченными возможностями и лиц с особыми потребностями</w:t>
      </w:r>
    </w:p>
    <w:p w14:paraId="7FBB0CAB" w14:textId="77777777" w:rsidR="006E3AF9" w:rsidRPr="00334B96" w:rsidRDefault="006E3AF9" w:rsidP="006E3AF9">
      <w:pPr>
        <w:pStyle w:val="Heading1"/>
        <w:rPr>
          <w:lang w:val="ru-RU"/>
        </w:rPr>
      </w:pPr>
      <w:bookmarkStart w:id="11" w:name="_Toc116554124"/>
      <w:r w:rsidRPr="00334B96">
        <w:rPr>
          <w:lang w:val="ru-RU"/>
        </w:rPr>
        <w:t>2-я Исследовательская комиссия</w:t>
      </w:r>
      <w:bookmarkEnd w:id="11"/>
    </w:p>
    <w:p w14:paraId="45E20697" w14:textId="77777777" w:rsidR="006E3AF9" w:rsidRPr="00334B96" w:rsidRDefault="006E3AF9" w:rsidP="006E3AF9">
      <w:pPr>
        <w:pStyle w:val="enumlev1"/>
        <w:rPr>
          <w:b/>
          <w:bCs/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bCs/>
          <w:lang w:val="ru-RU"/>
        </w:rPr>
        <w:t>Вопрос 1/2</w:t>
      </w:r>
      <w:r w:rsidRPr="00334B96">
        <w:rPr>
          <w:lang w:val="ru-RU"/>
        </w:rPr>
        <w:t>: Благоприятная среда электросвязи/ИКТ для цифровой трансформации и "умных" устойчивых городов и сообществ</w:t>
      </w:r>
    </w:p>
    <w:p w14:paraId="0B239C1C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bCs/>
          <w:lang w:val="ru-RU"/>
        </w:rPr>
        <w:t>Вопрос 2/2</w:t>
      </w:r>
      <w:r w:rsidRPr="00334B96">
        <w:rPr>
          <w:lang w:val="ru-RU"/>
        </w:rPr>
        <w:t>: ИКТ для окружающей среды и оценка воздействия электромагнитных полей на человека</w:t>
      </w:r>
    </w:p>
    <w:p w14:paraId="70289C0F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bCs/>
          <w:lang w:val="ru-RU"/>
        </w:rPr>
        <w:t>Вопрос 3/2</w:t>
      </w:r>
      <w:r w:rsidRPr="00334B96">
        <w:rPr>
          <w:lang w:val="ru-RU"/>
        </w:rPr>
        <w:t>: Защищенность сетей информации и связи: передовой опыт по созданию культуры кибербезопасности</w:t>
      </w:r>
    </w:p>
    <w:p w14:paraId="60F7ED00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bCs/>
          <w:lang w:val="ru-RU"/>
        </w:rPr>
        <w:t>Вопрос 4/2</w:t>
      </w:r>
      <w:r w:rsidRPr="00334B96">
        <w:rPr>
          <w:lang w:val="ru-RU"/>
        </w:rPr>
        <w:t>: Наличие и приемлемость в ценовом отношении устройств пользователей и оборудования электросвязи/ИКТ, включая вопросы обеспечения соответствия и функциональной совместимости</w:t>
      </w:r>
    </w:p>
    <w:p w14:paraId="224BF517" w14:textId="77777777" w:rsidR="006E3AF9" w:rsidRPr="00334B96" w:rsidRDefault="006E3AF9" w:rsidP="006E3AF9">
      <w:pPr>
        <w:pStyle w:val="enumlev1"/>
        <w:rPr>
          <w:lang w:val="ru-RU"/>
        </w:rPr>
      </w:pPr>
      <w:r w:rsidRPr="00334B96">
        <w:rPr>
          <w:lang w:val="ru-RU"/>
        </w:rPr>
        <w:t>–</w:t>
      </w:r>
      <w:r w:rsidRPr="00334B96">
        <w:rPr>
          <w:lang w:val="ru-RU"/>
        </w:rPr>
        <w:tab/>
      </w:r>
      <w:r w:rsidRPr="00334B96">
        <w:rPr>
          <w:b/>
          <w:bCs/>
          <w:lang w:val="ru-RU"/>
        </w:rPr>
        <w:t>Вопрос 5/2</w:t>
      </w:r>
      <w:r w:rsidRPr="00334B96">
        <w:rPr>
          <w:lang w:val="ru-RU"/>
        </w:rPr>
        <w:t>: Внедрение и использование новых и появляющихся услуг и технологий электросвязи/ИКТ и развитие цифровых навыков</w:t>
      </w:r>
    </w:p>
    <w:p w14:paraId="57062FE5" w14:textId="77777777" w:rsidR="006E3AF9" w:rsidRPr="00334B96" w:rsidRDefault="006E3AF9" w:rsidP="006E3AF9">
      <w:pPr>
        <w:rPr>
          <w:lang w:val="ru-RU"/>
        </w:rPr>
      </w:pPr>
      <w:r w:rsidRPr="00334B96">
        <w:rPr>
          <w:lang w:val="ru-RU"/>
        </w:rPr>
        <w:br w:type="page"/>
      </w:r>
    </w:p>
    <w:p w14:paraId="23685B68" w14:textId="77777777" w:rsidR="006E3AF9" w:rsidRPr="00334B96" w:rsidRDefault="006E3AF9" w:rsidP="006E3AF9">
      <w:pPr>
        <w:pStyle w:val="AnnexNo"/>
        <w:rPr>
          <w:lang w:val="ru-RU"/>
        </w:rPr>
      </w:pPr>
      <w:r w:rsidRPr="00334B96">
        <w:rPr>
          <w:lang w:val="ru-RU"/>
        </w:rPr>
        <w:lastRenderedPageBreak/>
        <w:t xml:space="preserve">ПРИЛОЖЕНИЕ 3 </w:t>
      </w:r>
      <w:r w:rsidRPr="00334B96">
        <w:rPr>
          <w:caps w:val="0"/>
          <w:lang w:val="ru-RU"/>
        </w:rPr>
        <w:t>к</w:t>
      </w:r>
      <w:r w:rsidRPr="00334B96">
        <w:rPr>
          <w:lang w:val="ru-RU"/>
        </w:rPr>
        <w:t xml:space="preserve"> РЕЗОЛЮЦИИ 2 (</w:t>
      </w:r>
      <w:proofErr w:type="spellStart"/>
      <w:r w:rsidRPr="00334B96">
        <w:rPr>
          <w:caps w:val="0"/>
          <w:lang w:val="ru-RU"/>
        </w:rPr>
        <w:t>Пересм</w:t>
      </w:r>
      <w:proofErr w:type="spellEnd"/>
      <w:r w:rsidRPr="00334B96">
        <w:rPr>
          <w:lang w:val="ru-RU"/>
        </w:rPr>
        <w:t xml:space="preserve">. </w:t>
      </w:r>
      <w:r w:rsidRPr="00334B96">
        <w:rPr>
          <w:caps w:val="0"/>
          <w:lang w:val="ru-RU"/>
        </w:rPr>
        <w:t>Баку</w:t>
      </w:r>
      <w:r w:rsidRPr="00334B96">
        <w:rPr>
          <w:lang w:val="ru-RU"/>
        </w:rPr>
        <w:t>, 2025 </w:t>
      </w:r>
      <w:r w:rsidRPr="00334B96">
        <w:rPr>
          <w:caps w:val="0"/>
          <w:lang w:val="ru-RU"/>
        </w:rPr>
        <w:t>г</w:t>
      </w:r>
      <w:r w:rsidRPr="00334B96">
        <w:rPr>
          <w:lang w:val="ru-RU"/>
        </w:rPr>
        <w:t>.)</w:t>
      </w:r>
    </w:p>
    <w:p w14:paraId="758757E1" w14:textId="77777777" w:rsidR="006E3AF9" w:rsidRPr="00334B96" w:rsidRDefault="006E3AF9" w:rsidP="006E3AF9">
      <w:pPr>
        <w:pStyle w:val="Annextitle"/>
        <w:rPr>
          <w:lang w:val="ru-RU"/>
        </w:rPr>
      </w:pPr>
      <w:bookmarkStart w:id="12" w:name="_Toc116554125"/>
      <w:r w:rsidRPr="00334B96">
        <w:rPr>
          <w:lang w:val="ru-RU"/>
        </w:rPr>
        <w:t>Список председателей и заместителей председателей</w:t>
      </w:r>
      <w:bookmarkEnd w:id="12"/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258"/>
        <w:gridCol w:w="6381"/>
      </w:tblGrid>
      <w:tr w:rsidR="006E3AF9" w:rsidRPr="00334B96" w14:paraId="051F8152" w14:textId="77777777" w:rsidTr="00A80737">
        <w:trPr>
          <w:tblHeader/>
        </w:trPr>
        <w:tc>
          <w:tcPr>
            <w:tcW w:w="9639" w:type="dxa"/>
            <w:gridSpan w:val="2"/>
          </w:tcPr>
          <w:p w14:paraId="64434E4B" w14:textId="77777777" w:rsidR="006E3AF9" w:rsidRPr="00334B96" w:rsidRDefault="006E3AF9" w:rsidP="00A80737">
            <w:pPr>
              <w:pStyle w:val="Tabletext"/>
              <w:rPr>
                <w:b/>
                <w:bCs/>
                <w:lang w:val="ru-RU"/>
              </w:rPr>
            </w:pPr>
            <w:r w:rsidRPr="00334B96">
              <w:rPr>
                <w:b/>
                <w:bCs/>
                <w:lang w:val="ru-RU"/>
              </w:rPr>
              <w:t>1-я Исследовательская комиссия</w:t>
            </w:r>
          </w:p>
        </w:tc>
      </w:tr>
      <w:tr w:rsidR="006E3AF9" w:rsidRPr="00334B96" w14:paraId="68A223C6" w14:textId="77777777" w:rsidTr="00A80737">
        <w:trPr>
          <w:tblHeader/>
        </w:trPr>
        <w:tc>
          <w:tcPr>
            <w:tcW w:w="3258" w:type="dxa"/>
          </w:tcPr>
          <w:p w14:paraId="24B0D3BF" w14:textId="77777777" w:rsidR="006E3AF9" w:rsidRPr="00334B96" w:rsidRDefault="006E3AF9" w:rsidP="00A80737">
            <w:pPr>
              <w:pStyle w:val="Tabletextsmall"/>
              <w:rPr>
                <w:b/>
                <w:bCs/>
                <w:lang w:val="ru-RU"/>
              </w:rPr>
            </w:pPr>
            <w:r w:rsidRPr="00334B96">
              <w:rPr>
                <w:b/>
                <w:bCs/>
                <w:lang w:val="ru-RU"/>
              </w:rPr>
              <w:t>Председатель:</w:t>
            </w:r>
          </w:p>
        </w:tc>
        <w:tc>
          <w:tcPr>
            <w:tcW w:w="6381" w:type="dxa"/>
          </w:tcPr>
          <w:p w14:paraId="2EB81FA1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Роберту </w:t>
            </w:r>
            <w:proofErr w:type="spellStart"/>
            <w:r w:rsidRPr="00334B96">
              <w:rPr>
                <w:lang w:val="ru-RU"/>
              </w:rPr>
              <w:t>Мицуаке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Хираяма</w:t>
            </w:r>
            <w:proofErr w:type="spellEnd"/>
            <w:r w:rsidRPr="00334B96">
              <w:rPr>
                <w:lang w:val="ru-RU"/>
              </w:rPr>
              <w:t xml:space="preserve"> (Бразилия)</w:t>
            </w:r>
          </w:p>
        </w:tc>
      </w:tr>
      <w:tr w:rsidR="006E3AF9" w:rsidRPr="00334B96" w14:paraId="6719ED11" w14:textId="77777777" w:rsidTr="00A80737">
        <w:trPr>
          <w:tblHeader/>
        </w:trPr>
        <w:tc>
          <w:tcPr>
            <w:tcW w:w="3258" w:type="dxa"/>
          </w:tcPr>
          <w:p w14:paraId="2F435D4A" w14:textId="77777777" w:rsidR="006E3AF9" w:rsidRPr="00334B96" w:rsidRDefault="006E3AF9" w:rsidP="00A80737">
            <w:pPr>
              <w:pStyle w:val="Tabletextsmall"/>
              <w:rPr>
                <w:b/>
                <w:bCs/>
                <w:lang w:val="ru-RU"/>
              </w:rPr>
            </w:pPr>
            <w:r w:rsidRPr="00334B96">
              <w:rPr>
                <w:b/>
                <w:bCs/>
                <w:lang w:val="ru-RU"/>
              </w:rPr>
              <w:t xml:space="preserve">Заместители </w:t>
            </w:r>
            <w:r w:rsidRPr="00334B96">
              <w:rPr>
                <w:b/>
                <w:bCs/>
                <w:lang w:val="ru-RU"/>
              </w:rPr>
              <w:br/>
              <w:t>председателя:</w:t>
            </w:r>
          </w:p>
        </w:tc>
        <w:tc>
          <w:tcPr>
            <w:tcW w:w="6381" w:type="dxa"/>
          </w:tcPr>
          <w:p w14:paraId="465EAB1C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г-жа </w:t>
            </w:r>
            <w:proofErr w:type="spellStart"/>
            <w:r w:rsidRPr="00334B96">
              <w:rPr>
                <w:lang w:val="ru-RU"/>
              </w:rPr>
              <w:t>Хадиза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Качаллах</w:t>
            </w:r>
            <w:proofErr w:type="spellEnd"/>
            <w:r w:rsidRPr="00334B96">
              <w:rPr>
                <w:lang w:val="ru-RU"/>
              </w:rPr>
              <w:t xml:space="preserve"> (Нигерия)</w:t>
            </w:r>
          </w:p>
          <w:p w14:paraId="38D73919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Малик </w:t>
            </w:r>
            <w:proofErr w:type="spellStart"/>
            <w:r w:rsidRPr="00334B96">
              <w:rPr>
                <w:lang w:val="ru-RU"/>
              </w:rPr>
              <w:t>Ндиайе</w:t>
            </w:r>
            <w:proofErr w:type="spellEnd"/>
            <w:r w:rsidRPr="00334B96">
              <w:rPr>
                <w:lang w:val="ru-RU"/>
              </w:rPr>
              <w:t xml:space="preserve"> (Сенегал)</w:t>
            </w:r>
          </w:p>
          <w:p w14:paraId="33B64B73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Франсиско Антонио </w:t>
            </w:r>
            <w:proofErr w:type="spellStart"/>
            <w:r w:rsidRPr="00334B96">
              <w:rPr>
                <w:lang w:val="ru-RU"/>
              </w:rPr>
              <w:t>Касачча</w:t>
            </w:r>
            <w:proofErr w:type="spellEnd"/>
            <w:r w:rsidRPr="00334B96">
              <w:rPr>
                <w:lang w:val="ru-RU"/>
              </w:rPr>
              <w:t xml:space="preserve"> Торрес (Парагвай)</w:t>
            </w:r>
          </w:p>
          <w:p w14:paraId="73794CAC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</w:t>
            </w:r>
            <w:proofErr w:type="spellStart"/>
            <w:r w:rsidRPr="00334B96">
              <w:rPr>
                <w:lang w:val="ru-RU"/>
              </w:rPr>
              <w:t>Абдельвахеб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Гализра</w:t>
            </w:r>
            <w:proofErr w:type="spellEnd"/>
            <w:r w:rsidRPr="00334B96">
              <w:rPr>
                <w:lang w:val="ru-RU"/>
              </w:rPr>
              <w:t xml:space="preserve"> (Алжир)</w:t>
            </w:r>
          </w:p>
          <w:p w14:paraId="0F7F50C8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>г-н Али Рашид Хамад Аль-Хамад (Кувейт)</w:t>
            </w:r>
          </w:p>
          <w:p w14:paraId="224ACA85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Весам </w:t>
            </w:r>
            <w:proofErr w:type="spellStart"/>
            <w:r w:rsidRPr="00334B96">
              <w:rPr>
                <w:lang w:val="ru-RU"/>
              </w:rPr>
              <w:t>Седик</w:t>
            </w:r>
            <w:proofErr w:type="spellEnd"/>
            <w:r w:rsidRPr="00334B96">
              <w:rPr>
                <w:lang w:val="ru-RU"/>
              </w:rPr>
              <w:t xml:space="preserve"> (Египет)</w:t>
            </w:r>
          </w:p>
          <w:p w14:paraId="2A481D32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г-жа </w:t>
            </w:r>
            <w:proofErr w:type="spellStart"/>
            <w:r w:rsidRPr="00334B96">
              <w:rPr>
                <w:lang w:val="ru-RU"/>
              </w:rPr>
              <w:t>Мемико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Оцуки</w:t>
            </w:r>
            <w:proofErr w:type="spellEnd"/>
            <w:r w:rsidRPr="00334B96">
              <w:rPr>
                <w:lang w:val="ru-RU"/>
              </w:rPr>
              <w:t xml:space="preserve"> (Япония)</w:t>
            </w:r>
          </w:p>
          <w:p w14:paraId="2B94C894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Дао Нгок </w:t>
            </w:r>
            <w:proofErr w:type="spellStart"/>
            <w:r w:rsidRPr="00334B96">
              <w:rPr>
                <w:lang w:val="ru-RU"/>
              </w:rPr>
              <w:t>Туйен</w:t>
            </w:r>
            <w:proofErr w:type="spellEnd"/>
            <w:r w:rsidRPr="00334B96">
              <w:rPr>
                <w:lang w:val="ru-RU"/>
              </w:rPr>
              <w:t xml:space="preserve"> (Вьетнам)</w:t>
            </w:r>
          </w:p>
          <w:p w14:paraId="05DF9F33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г-жа </w:t>
            </w:r>
            <w:proofErr w:type="spellStart"/>
            <w:r w:rsidRPr="00334B96">
              <w:rPr>
                <w:lang w:val="ru-RU"/>
              </w:rPr>
              <w:t>Ша</w:t>
            </w:r>
            <w:proofErr w:type="spellEnd"/>
            <w:r w:rsidRPr="00334B96">
              <w:rPr>
                <w:lang w:val="ru-RU"/>
              </w:rPr>
              <w:t xml:space="preserve"> Вэй (Китай)</w:t>
            </w:r>
          </w:p>
          <w:p w14:paraId="6EEB1B4D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</w:t>
            </w:r>
            <w:proofErr w:type="spellStart"/>
            <w:r w:rsidRPr="00334B96">
              <w:rPr>
                <w:lang w:val="ru-RU"/>
              </w:rPr>
              <w:t>Сунил</w:t>
            </w:r>
            <w:proofErr w:type="spellEnd"/>
            <w:r w:rsidRPr="00334B96">
              <w:rPr>
                <w:lang w:val="ru-RU"/>
              </w:rPr>
              <w:t xml:space="preserve"> Кумар </w:t>
            </w:r>
            <w:proofErr w:type="spellStart"/>
            <w:r w:rsidRPr="00334B96">
              <w:rPr>
                <w:lang w:val="ru-RU"/>
              </w:rPr>
              <w:t>Сингхал</w:t>
            </w:r>
            <w:proofErr w:type="spellEnd"/>
            <w:r w:rsidRPr="00334B96">
              <w:rPr>
                <w:lang w:val="ru-RU"/>
              </w:rPr>
              <w:t xml:space="preserve"> (Индия)</w:t>
            </w:r>
          </w:p>
          <w:p w14:paraId="4C834684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>г-н Ильгар Абдуллаев (Азербайджан)</w:t>
            </w:r>
          </w:p>
          <w:p w14:paraId="6335255F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г-жа Анастасия </w:t>
            </w:r>
            <w:proofErr w:type="spellStart"/>
            <w:r w:rsidRPr="00334B96">
              <w:rPr>
                <w:lang w:val="ru-RU"/>
              </w:rPr>
              <w:t>Конухова</w:t>
            </w:r>
            <w:proofErr w:type="spellEnd"/>
            <w:r w:rsidRPr="00334B96">
              <w:rPr>
                <w:lang w:val="ru-RU"/>
              </w:rPr>
              <w:t xml:space="preserve"> (Российская Федерация)</w:t>
            </w:r>
          </w:p>
          <w:p w14:paraId="08E78B2D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>г-жа Умида Мусаева (Узбекистан)</w:t>
            </w:r>
          </w:p>
          <w:p w14:paraId="35D2F2C6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г-жа Кристина </w:t>
            </w:r>
            <w:proofErr w:type="spellStart"/>
            <w:r w:rsidRPr="00334B96">
              <w:rPr>
                <w:lang w:val="ru-RU"/>
              </w:rPr>
              <w:t>Агиар</w:t>
            </w:r>
            <w:proofErr w:type="spellEnd"/>
            <w:r w:rsidRPr="00334B96">
              <w:rPr>
                <w:lang w:val="ru-RU"/>
              </w:rPr>
              <w:t xml:space="preserve"> (Португалия)</w:t>
            </w:r>
          </w:p>
          <w:p w14:paraId="78B85CF5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Мехмет </w:t>
            </w:r>
            <w:proofErr w:type="spellStart"/>
            <w:r w:rsidRPr="00334B96">
              <w:rPr>
                <w:lang w:val="ru-RU"/>
              </w:rPr>
              <w:t>Альпер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Текин</w:t>
            </w:r>
            <w:proofErr w:type="spellEnd"/>
            <w:r w:rsidRPr="00334B96">
              <w:rPr>
                <w:lang w:val="ru-RU"/>
              </w:rPr>
              <w:t xml:space="preserve"> (Турция)</w:t>
            </w:r>
          </w:p>
          <w:p w14:paraId="53D32AB3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>г-н Тедди Вудхаус (Соединенное Королевство)</w:t>
            </w:r>
          </w:p>
        </w:tc>
      </w:tr>
    </w:tbl>
    <w:p w14:paraId="68A88F6C" w14:textId="77777777" w:rsidR="006E3AF9" w:rsidRPr="00334B96" w:rsidRDefault="006E3AF9" w:rsidP="006E3AF9">
      <w:pPr>
        <w:rPr>
          <w:lang w:val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258"/>
        <w:gridCol w:w="6381"/>
      </w:tblGrid>
      <w:tr w:rsidR="006E3AF9" w:rsidRPr="00334B96" w14:paraId="161ED113" w14:textId="77777777" w:rsidTr="00A80737">
        <w:trPr>
          <w:tblHeader/>
        </w:trPr>
        <w:tc>
          <w:tcPr>
            <w:tcW w:w="9639" w:type="dxa"/>
            <w:gridSpan w:val="2"/>
          </w:tcPr>
          <w:p w14:paraId="259311CE" w14:textId="77777777" w:rsidR="006E3AF9" w:rsidRPr="00334B96" w:rsidRDefault="006E3AF9" w:rsidP="00A80737">
            <w:pPr>
              <w:pStyle w:val="Tabletext"/>
              <w:keepNext/>
              <w:keepLines/>
              <w:rPr>
                <w:b/>
                <w:bCs/>
                <w:lang w:val="ru-RU"/>
              </w:rPr>
            </w:pPr>
            <w:r w:rsidRPr="00334B96">
              <w:rPr>
                <w:b/>
                <w:bCs/>
                <w:lang w:val="ru-RU"/>
              </w:rPr>
              <w:t>2-я Исследовательская комиссия</w:t>
            </w:r>
          </w:p>
        </w:tc>
      </w:tr>
      <w:tr w:rsidR="006E3AF9" w:rsidRPr="00334B96" w14:paraId="46D3B838" w14:textId="77777777" w:rsidTr="00A80737">
        <w:trPr>
          <w:tblHeader/>
        </w:trPr>
        <w:tc>
          <w:tcPr>
            <w:tcW w:w="3258" w:type="dxa"/>
          </w:tcPr>
          <w:p w14:paraId="37477316" w14:textId="77777777" w:rsidR="006E3AF9" w:rsidRPr="00334B96" w:rsidRDefault="006E3AF9" w:rsidP="00A80737">
            <w:pPr>
              <w:pStyle w:val="Tabletextsmall"/>
              <w:rPr>
                <w:b/>
                <w:bCs/>
                <w:lang w:val="ru-RU"/>
              </w:rPr>
            </w:pPr>
            <w:r w:rsidRPr="00334B96">
              <w:rPr>
                <w:b/>
                <w:bCs/>
                <w:lang w:val="ru-RU"/>
              </w:rPr>
              <w:t>Председатель:</w:t>
            </w:r>
          </w:p>
        </w:tc>
        <w:tc>
          <w:tcPr>
            <w:tcW w:w="6381" w:type="dxa"/>
          </w:tcPr>
          <w:p w14:paraId="4B16DAC6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</w:t>
            </w:r>
            <w:proofErr w:type="spellStart"/>
            <w:r w:rsidRPr="00334B96">
              <w:rPr>
                <w:lang w:val="ru-RU"/>
              </w:rPr>
              <w:t>Фадель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Дигхам</w:t>
            </w:r>
            <w:proofErr w:type="spellEnd"/>
            <w:r w:rsidRPr="00334B96">
              <w:rPr>
                <w:lang w:val="ru-RU"/>
              </w:rPr>
              <w:t xml:space="preserve"> (Египет)</w:t>
            </w:r>
          </w:p>
        </w:tc>
      </w:tr>
      <w:tr w:rsidR="006E3AF9" w:rsidRPr="00334B96" w14:paraId="206BD573" w14:textId="77777777" w:rsidTr="00A80737">
        <w:trPr>
          <w:tblHeader/>
        </w:trPr>
        <w:tc>
          <w:tcPr>
            <w:tcW w:w="3258" w:type="dxa"/>
          </w:tcPr>
          <w:p w14:paraId="434F1176" w14:textId="77777777" w:rsidR="006E3AF9" w:rsidRPr="00334B96" w:rsidRDefault="006E3AF9" w:rsidP="00A80737">
            <w:pPr>
              <w:pStyle w:val="Tabletextsmall"/>
              <w:rPr>
                <w:b/>
                <w:bCs/>
                <w:lang w:val="ru-RU"/>
              </w:rPr>
            </w:pPr>
            <w:r w:rsidRPr="00334B96">
              <w:rPr>
                <w:b/>
                <w:bCs/>
                <w:lang w:val="ru-RU"/>
              </w:rPr>
              <w:t xml:space="preserve">Заместители </w:t>
            </w:r>
            <w:r w:rsidRPr="00334B96">
              <w:rPr>
                <w:b/>
                <w:bCs/>
                <w:lang w:val="ru-RU"/>
              </w:rPr>
              <w:br/>
              <w:t>председателя:</w:t>
            </w:r>
          </w:p>
        </w:tc>
        <w:tc>
          <w:tcPr>
            <w:tcW w:w="6381" w:type="dxa"/>
          </w:tcPr>
          <w:p w14:paraId="4B5DC2E5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г-жа Имельда </w:t>
            </w:r>
            <w:proofErr w:type="spellStart"/>
            <w:r w:rsidRPr="00334B96">
              <w:rPr>
                <w:lang w:val="ru-RU"/>
              </w:rPr>
              <w:t>Салум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Банали</w:t>
            </w:r>
            <w:proofErr w:type="spellEnd"/>
            <w:r w:rsidRPr="00334B96">
              <w:rPr>
                <w:lang w:val="ru-RU"/>
              </w:rPr>
              <w:t xml:space="preserve"> (Танзания)</w:t>
            </w:r>
          </w:p>
          <w:p w14:paraId="670A9BAA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Мохамед Ламин </w:t>
            </w:r>
            <w:proofErr w:type="spellStart"/>
            <w:r w:rsidRPr="00334B96">
              <w:rPr>
                <w:lang w:val="ru-RU"/>
              </w:rPr>
              <w:t>Минте</w:t>
            </w:r>
            <w:proofErr w:type="spellEnd"/>
            <w:r w:rsidRPr="00334B96">
              <w:rPr>
                <w:lang w:val="ru-RU"/>
              </w:rPr>
              <w:t xml:space="preserve"> (Гвинея)</w:t>
            </w:r>
          </w:p>
          <w:p w14:paraId="1D02A5BF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г-жа </w:t>
            </w:r>
            <w:proofErr w:type="spellStart"/>
            <w:r w:rsidRPr="00334B96">
              <w:rPr>
                <w:lang w:val="ru-RU"/>
              </w:rPr>
              <w:t>Фифатин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Каррель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Лукресе</w:t>
            </w:r>
            <w:proofErr w:type="spellEnd"/>
            <w:r w:rsidRPr="00334B96">
              <w:rPr>
                <w:lang w:val="ru-RU"/>
              </w:rPr>
              <w:t xml:space="preserve"> Того (Бенин)</w:t>
            </w:r>
          </w:p>
          <w:p w14:paraId="099D53D3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>г-н Виктор Антонио Мартинес Санчес (Парагвай)</w:t>
            </w:r>
          </w:p>
          <w:p w14:paraId="73A58B68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>г-жа Аиша Аль-Марзуки (Объединенные Арабские Эмираты)</w:t>
            </w:r>
          </w:p>
          <w:p w14:paraId="30E2191B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г-жа Маха Зиад Юсеф </w:t>
            </w:r>
            <w:proofErr w:type="spellStart"/>
            <w:r w:rsidRPr="00334B96">
              <w:rPr>
                <w:lang w:val="ru-RU"/>
              </w:rPr>
              <w:t>Муашер</w:t>
            </w:r>
            <w:proofErr w:type="spellEnd"/>
            <w:r w:rsidRPr="00334B96">
              <w:rPr>
                <w:lang w:val="ru-RU"/>
              </w:rPr>
              <w:t xml:space="preserve"> (Иордания)</w:t>
            </w:r>
          </w:p>
          <w:p w14:paraId="6CE9F241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Хидео </w:t>
            </w:r>
            <w:proofErr w:type="spellStart"/>
            <w:r w:rsidRPr="00334B96">
              <w:rPr>
                <w:lang w:val="ru-RU"/>
              </w:rPr>
              <w:t>Иманака</w:t>
            </w:r>
            <w:proofErr w:type="spellEnd"/>
            <w:r w:rsidRPr="00334B96">
              <w:rPr>
                <w:lang w:val="ru-RU"/>
              </w:rPr>
              <w:t xml:space="preserve"> (Япония)</w:t>
            </w:r>
          </w:p>
          <w:p w14:paraId="65FF9276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</w:t>
            </w:r>
            <w:proofErr w:type="spellStart"/>
            <w:r w:rsidRPr="00334B96">
              <w:rPr>
                <w:lang w:val="ru-RU"/>
              </w:rPr>
              <w:t>Сандип</w:t>
            </w:r>
            <w:proofErr w:type="spellEnd"/>
            <w:r w:rsidRPr="00334B96">
              <w:rPr>
                <w:lang w:val="ru-RU"/>
              </w:rPr>
              <w:t xml:space="preserve"> Кумар Гупта (Индия)</w:t>
            </w:r>
          </w:p>
          <w:p w14:paraId="18A2939C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</w:t>
            </w:r>
            <w:proofErr w:type="spellStart"/>
            <w:r w:rsidRPr="00334B96">
              <w:rPr>
                <w:lang w:val="ru-RU"/>
              </w:rPr>
              <w:t>Туннин</w:t>
            </w:r>
            <w:proofErr w:type="spellEnd"/>
            <w:r w:rsidRPr="00334B96">
              <w:rPr>
                <w:lang w:val="ru-RU"/>
              </w:rPr>
              <w:t xml:space="preserve"> У (Китай)</w:t>
            </w:r>
          </w:p>
          <w:p w14:paraId="300579E0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г-н </w:t>
            </w:r>
            <w:proofErr w:type="spellStart"/>
            <w:r w:rsidRPr="00334B96">
              <w:rPr>
                <w:lang w:val="ru-RU"/>
              </w:rPr>
              <w:t>Жавохир</w:t>
            </w:r>
            <w:proofErr w:type="spellEnd"/>
            <w:r w:rsidRPr="00334B96">
              <w:rPr>
                <w:lang w:val="ru-RU"/>
              </w:rPr>
              <w:t xml:space="preserve"> Арипов (Узбекистан)</w:t>
            </w:r>
          </w:p>
          <w:p w14:paraId="5D2154AC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>г-жа Ульяна Столярова (Российская Федерация)</w:t>
            </w:r>
          </w:p>
          <w:p w14:paraId="62BA4391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 xml:space="preserve">г-жа Лидия </w:t>
            </w:r>
            <w:proofErr w:type="spellStart"/>
            <w:r w:rsidRPr="00334B96">
              <w:rPr>
                <w:lang w:val="ru-RU"/>
              </w:rPr>
              <w:t>Степинска-Устасяк</w:t>
            </w:r>
            <w:proofErr w:type="spellEnd"/>
            <w:r w:rsidRPr="00334B96">
              <w:rPr>
                <w:lang w:val="ru-RU"/>
              </w:rPr>
              <w:t xml:space="preserve"> (Польша)</w:t>
            </w:r>
          </w:p>
          <w:p w14:paraId="1EBEFFE6" w14:textId="77777777" w:rsidR="006E3AF9" w:rsidRPr="00334B96" w:rsidRDefault="006E3AF9" w:rsidP="00A80737">
            <w:pPr>
              <w:pStyle w:val="Tabletextsmall"/>
              <w:rPr>
                <w:lang w:val="ru-RU"/>
              </w:rPr>
            </w:pPr>
            <w:r w:rsidRPr="00334B96">
              <w:rPr>
                <w:lang w:val="ru-RU"/>
              </w:rPr>
              <w:t>г-жа Кармен-</w:t>
            </w:r>
            <w:proofErr w:type="spellStart"/>
            <w:r w:rsidRPr="00334B96">
              <w:rPr>
                <w:lang w:val="ru-RU"/>
              </w:rPr>
              <w:t>Мадалина</w:t>
            </w:r>
            <w:proofErr w:type="spellEnd"/>
            <w:r w:rsidRPr="00334B96">
              <w:rPr>
                <w:lang w:val="ru-RU"/>
              </w:rPr>
              <w:t xml:space="preserve"> </w:t>
            </w:r>
            <w:proofErr w:type="spellStart"/>
            <w:r w:rsidRPr="00334B96">
              <w:rPr>
                <w:lang w:val="ru-RU"/>
              </w:rPr>
              <w:t>Клапон</w:t>
            </w:r>
            <w:proofErr w:type="spellEnd"/>
            <w:r w:rsidRPr="00334B96">
              <w:rPr>
                <w:lang w:val="ru-RU"/>
              </w:rPr>
              <w:t xml:space="preserve"> (Румыния)</w:t>
            </w:r>
          </w:p>
        </w:tc>
      </w:tr>
    </w:tbl>
    <w:p w14:paraId="2234F2FF" w14:textId="77777777" w:rsidR="00976299" w:rsidRPr="006E3AF9" w:rsidRDefault="00976299" w:rsidP="006E3AF9"/>
    <w:sectPr w:rsidR="00976299" w:rsidRPr="006E3AF9" w:rsidSect="003E58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835B7" w14:textId="77777777" w:rsidR="00262E0C" w:rsidRDefault="00262E0C" w:rsidP="003E584B">
      <w:pPr>
        <w:spacing w:before="0"/>
      </w:pPr>
      <w:r>
        <w:separator/>
      </w:r>
    </w:p>
  </w:endnote>
  <w:endnote w:type="continuationSeparator" w:id="0">
    <w:p w14:paraId="13420444" w14:textId="77777777" w:rsidR="00262E0C" w:rsidRDefault="00262E0C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2D65" w14:textId="77777777" w:rsidR="003E584B" w:rsidRDefault="003E5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6E26" w14:textId="77777777" w:rsidR="003E584B" w:rsidRDefault="003E58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AAEB" w14:textId="77777777" w:rsidR="003E584B" w:rsidRDefault="003E5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153E0" w14:textId="77777777" w:rsidR="00262E0C" w:rsidRDefault="00262E0C" w:rsidP="003E584B">
      <w:pPr>
        <w:spacing w:before="0"/>
      </w:pPr>
      <w:r>
        <w:separator/>
      </w:r>
    </w:p>
  </w:footnote>
  <w:footnote w:type="continuationSeparator" w:id="0">
    <w:p w14:paraId="33B5DC80" w14:textId="77777777" w:rsidR="00262E0C" w:rsidRDefault="00262E0C" w:rsidP="003E584B">
      <w:pPr>
        <w:spacing w:before="0"/>
      </w:pPr>
      <w:r>
        <w:continuationSeparator/>
      </w:r>
    </w:p>
  </w:footnote>
  <w:footnote w:id="1">
    <w:p w14:paraId="63E86DC6" w14:textId="77777777" w:rsidR="006E3AF9" w:rsidRPr="007E090F" w:rsidRDefault="006E3AF9" w:rsidP="006E3AF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  <w:footnote w:id="2">
    <w:p w14:paraId="66C82C54" w14:textId="77777777" w:rsidR="006E3AF9" w:rsidRPr="007E090F" w:rsidRDefault="006E3AF9" w:rsidP="006E3AF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Реальная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возможность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установления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соединений</w:t>
      </w:r>
      <w:proofErr w:type="spellEnd"/>
      <w:r>
        <w:rPr>
          <w:lang w:val="en-US"/>
        </w:rPr>
        <w:t xml:space="preserve"> – </w:t>
      </w:r>
      <w:proofErr w:type="spellStart"/>
      <w:r>
        <w:rPr>
          <w:lang w:val="en-US"/>
        </w:rPr>
        <w:t>это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уровень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подключения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который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обеспечивает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для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каждого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пользователя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возможность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получить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безопасную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отвечающую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запросам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обогащающую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продуктивную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доступную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цене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сетевую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среду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12257C77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D44D06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3A07CC">
          <w:rPr>
            <w:noProof/>
            <w:szCs w:val="22"/>
          </w:rPr>
          <w:t>2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6F525F70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D44D06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3A07CC">
      <w:rPr>
        <w:noProof/>
        <w:szCs w:val="22"/>
      </w:rPr>
      <w:t>2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7C37" w14:textId="77777777" w:rsidR="003E584B" w:rsidRDefault="003E5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204E9F"/>
    <w:rsid w:val="00262E0C"/>
    <w:rsid w:val="003A07CC"/>
    <w:rsid w:val="003E584B"/>
    <w:rsid w:val="00490FCA"/>
    <w:rsid w:val="005E4F50"/>
    <w:rsid w:val="006E3AF9"/>
    <w:rsid w:val="00976299"/>
    <w:rsid w:val="00D44D06"/>
    <w:rsid w:val="00DD3985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04E9F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rsid w:val="00204E9F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qFormat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paragraph" w:customStyle="1" w:styleId="Tabletextsmall">
    <w:name w:val="Table text small"/>
    <w:basedOn w:val="Normal"/>
    <w:rsid w:val="006E3AF9"/>
    <w:pPr>
      <w:spacing w:before="40" w:after="40"/>
    </w:pPr>
    <w:rPr>
      <w:rFonts w:asciiTheme="minorHAnsi" w:eastAsia="SimSun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1062</Words>
  <Characters>7734</Characters>
  <Application>Microsoft Office Word</Application>
  <DocSecurity>0</DocSecurity>
  <Lines>188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2 (Пересм. Баку, 2025 г.) Создание исследовательских комиссий</vt:lpstr>
    </vt:vector>
  </TitlesOfParts>
  <Company/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2 (Пересм. Баку, 2025 г.) Создание исследовательских комиссий</dc:title>
  <dc:subject/>
  <dc:creator/>
  <cp:keywords/>
  <dc:description/>
  <cp:lastModifiedBy>Berdyeva, Elena</cp:lastModifiedBy>
  <cp:revision>6</cp:revision>
  <dcterms:created xsi:type="dcterms:W3CDTF">2023-10-16T12:49:00Z</dcterms:created>
  <dcterms:modified xsi:type="dcterms:W3CDTF">2026-09-23T17:21:00Z</dcterms:modified>
</cp:coreProperties>
</file>