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910A" w14:textId="77777777" w:rsidR="001770DA" w:rsidRPr="00E17456" w:rsidRDefault="001770DA" w:rsidP="001770DA">
      <w:pPr>
        <w:pStyle w:val="ResNo"/>
        <w:rPr>
          <w:lang w:val="es-ES_tradnl"/>
        </w:rPr>
      </w:pPr>
      <w:bookmarkStart w:id="0" w:name="_Toc116916926"/>
      <w:bookmarkStart w:id="1" w:name="_Toc116918495"/>
      <w:bookmarkStart w:id="2" w:name="_Toc116918986"/>
      <w:bookmarkStart w:id="3" w:name="_Toc116919473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2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18B0262B" w14:textId="77777777" w:rsidR="001770DA" w:rsidRPr="00E17456" w:rsidRDefault="001770DA" w:rsidP="001770DA">
      <w:pPr>
        <w:pStyle w:val="Restitle"/>
        <w:rPr>
          <w:lang w:val="es-ES_tradnl"/>
        </w:rPr>
      </w:pPr>
      <w:bookmarkStart w:id="4" w:name="_Toc116916927"/>
      <w:bookmarkStart w:id="5" w:name="_Toc116918496"/>
      <w:bookmarkStart w:id="6" w:name="_Toc116918987"/>
      <w:bookmarkStart w:id="7" w:name="_Toc116919474"/>
      <w:r w:rsidRPr="00E17456">
        <w:rPr>
          <w:lang w:val="es-ES_tradnl"/>
        </w:rPr>
        <w:t>Establecimiento de Comisiones de Estudio</w:t>
      </w:r>
      <w:bookmarkEnd w:id="4"/>
      <w:bookmarkEnd w:id="5"/>
      <w:bookmarkEnd w:id="6"/>
      <w:bookmarkEnd w:id="7"/>
    </w:p>
    <w:p w14:paraId="38B50AED" w14:textId="77777777" w:rsidR="001770DA" w:rsidRPr="00E17456" w:rsidRDefault="001770DA" w:rsidP="001770DA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1470EEA2" w14:textId="77777777" w:rsidR="001770DA" w:rsidRPr="00E17456" w:rsidRDefault="001770DA" w:rsidP="001770DA">
      <w:pPr>
        <w:pStyle w:val="Call"/>
        <w:rPr>
          <w:lang w:val="es-ES_tradnl"/>
        </w:rPr>
      </w:pPr>
      <w:r w:rsidRPr="00E17456">
        <w:rPr>
          <w:lang w:val="es-ES_tradnl"/>
        </w:rPr>
        <w:t>considerando</w:t>
      </w:r>
    </w:p>
    <w:p w14:paraId="4B7F69BC" w14:textId="77777777" w:rsidR="001770DA" w:rsidRPr="00E17456" w:rsidRDefault="001770DA" w:rsidP="001770DA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el mandato de cada Comisión de Estudio se ha de definir claramente a fin de evitar duplicaciones entre las Comisiones de Estudio y otros Grupos del Sector de Desarrollo de las Telecomunicaciones de la UIT (UIT-D) establecidos conforme al número 209A del Convenio de la UIT y de velar por la coherencia del programa de trabajo global del Sector, con arreglo a lo dispuesto en el Artículo 16 del Convenio;</w:t>
      </w:r>
    </w:p>
    <w:p w14:paraId="72082391" w14:textId="0AA0E712" w:rsidR="001770DA" w:rsidRPr="00E17456" w:rsidRDefault="001770DA" w:rsidP="001770DA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que, para llevar a cabo los estudios encargados al UIT</w:t>
      </w:r>
      <w:r w:rsidRPr="00E17456">
        <w:rPr>
          <w:lang w:val="es-ES_tradnl"/>
        </w:rPr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</w:t>
      </w:r>
      <w:r w:rsidR="006A5A03">
        <w:rPr>
          <w:rStyle w:val="FootnoteReference"/>
          <w:lang w:val="es-ES_tradnl"/>
        </w:rPr>
        <w:footnoteReference w:id="1"/>
      </w:r>
      <w:r w:rsidRPr="00E17456">
        <w:rPr>
          <w:lang w:val="es-ES_tradnl"/>
        </w:rPr>
        <w:t>, teniendo en cuenta el Plan Estratégico y los objetivos de la UIT, y prepararán documentos pertinentes en forma de Informes, Directrices y/o Recomendaciones para el desarrollo de las telecomunicaciones/tecnologías de la información y la comunicación (TIC);</w:t>
      </w:r>
    </w:p>
    <w:p w14:paraId="3D495C73" w14:textId="77777777" w:rsidR="001770DA" w:rsidRPr="00E17456" w:rsidRDefault="001770DA" w:rsidP="001770DA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se han de evitar en la medida de lo posible las duplicaciones entre los estudios emprendidos por el UIT</w:t>
      </w:r>
      <w:r w:rsidRPr="00E17456">
        <w:rPr>
          <w:lang w:val="es-ES_tradnl"/>
        </w:rPr>
        <w:noBreakHyphen/>
        <w:t>D y los realizados por los otros dos Sectores de la Unión;</w:t>
      </w:r>
    </w:p>
    <w:p w14:paraId="426C7B79" w14:textId="77777777" w:rsidR="001770DA" w:rsidRPr="00E17456" w:rsidRDefault="001770DA" w:rsidP="001770DA">
      <w:pPr>
        <w:rPr>
          <w:lang w:val="es-ES_tradnl"/>
        </w:rPr>
      </w:pPr>
      <w:r w:rsidRPr="00E17456">
        <w:rPr>
          <w:i/>
          <w:lang w:val="es-ES_tradnl"/>
        </w:rPr>
        <w:t>d)</w:t>
      </w:r>
      <w:r w:rsidRPr="00E17456">
        <w:rPr>
          <w:i/>
          <w:lang w:val="es-ES_tradnl"/>
        </w:rPr>
        <w:tab/>
      </w:r>
      <w:r w:rsidRPr="00E17456">
        <w:rPr>
          <w:lang w:val="es-ES_tradnl"/>
        </w:rPr>
        <w:t>los resultados de los estudios sobre las Cuestiones de estudio adoptadas por la Conferencia Mundial de Desarrollo de las Telecomunicaciones (Dubái, 2014) y la Conferencia Mundial de Desarrollo de las Telecomunicaciones (Buenos Aires, 2017) y asignadas a las dos Comisiones de Estudio,</w:t>
      </w:r>
    </w:p>
    <w:p w14:paraId="56C9A6AD" w14:textId="77777777" w:rsidR="001770DA" w:rsidRPr="00E17456" w:rsidRDefault="001770DA" w:rsidP="001770DA">
      <w:pPr>
        <w:pStyle w:val="Call"/>
        <w:rPr>
          <w:lang w:val="es-ES_tradnl"/>
        </w:rPr>
      </w:pPr>
      <w:r w:rsidRPr="00E17456">
        <w:rPr>
          <w:lang w:val="es-ES_tradnl"/>
        </w:rPr>
        <w:t>resuelve</w:t>
      </w:r>
    </w:p>
    <w:p w14:paraId="110C0CE6" w14:textId="77777777" w:rsidR="001770DA" w:rsidRDefault="001770DA" w:rsidP="001770DA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continuar los trabajos de las dos Comisiones de Estudio del Sector, con una responsabilidad clara y los mandatos indicados en los Anexos 1 y 3 a esta Resolución;</w:t>
      </w:r>
    </w:p>
    <w:p w14:paraId="16578310" w14:textId="77777777" w:rsidR="001770DA" w:rsidRPr="00E17456" w:rsidRDefault="001770DA" w:rsidP="001770DA">
      <w:pPr>
        <w:rPr>
          <w:lang w:val="es-ES_tradnl"/>
        </w:rPr>
      </w:pPr>
    </w:p>
    <w:p w14:paraId="364BB66F" w14:textId="77777777" w:rsidR="001770DA" w:rsidRDefault="001770DA" w:rsidP="001770DA">
      <w:pPr>
        <w:rPr>
          <w:lang w:val="es-ES_tradnl"/>
        </w:rPr>
      </w:pPr>
      <w:r>
        <w:rPr>
          <w:lang w:val="es-ES_tradnl"/>
        </w:rPr>
        <w:br w:type="page"/>
      </w:r>
    </w:p>
    <w:p w14:paraId="11A28DF4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lastRenderedPageBreak/>
        <w:t>2</w:t>
      </w:r>
      <w:r w:rsidRPr="00E17456">
        <w:rPr>
          <w:lang w:val="es-ES_tradnl"/>
        </w:rPr>
        <w:tab/>
        <w:t>que cada Comisión de Estudio y sus grupos correspondientes realicen estudios en el marco de las Cuestiones del UIT-D adoptadas por la presente Conferencia y que le hayan sido asignadas conforme a la estructura que se presenta del Anexo 2 a esta Resolución, así como las Cuestiones de estudio del UIT-D adoptadas o revisadas entre dos Conferencias Mundiales de Desarrollo de las Telecomunicaciones (CMDT) de conformidad con lo dispuesto en la Resolución 1 (Rev. Kigali, 2022) de la presente Conferencia;</w:t>
      </w:r>
    </w:p>
    <w:p w14:paraId="242C8403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la organización de las Comisiones de Estudio propicie un aumento de las sinergias, la transparencia y la eficacia con un solapamiento mínimo entre las Cuestiones de estudio del UIT</w:t>
      </w:r>
      <w:r w:rsidRPr="00E17456">
        <w:rPr>
          <w:lang w:val="es-ES_tradnl"/>
        </w:rPr>
        <w:noBreakHyphen/>
        <w:t>D;</w:t>
      </w:r>
    </w:p>
    <w:p w14:paraId="5AD12DAC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las Cuestiones de estudio del UIT-D deben estar relacionadas con la ejecución de las Resoluciones de la CMDT y de la Conferencia de Plenipotenciarios (PP), y también con los programas de la Oficina de Desarrollo de las Telecomunicaciones (BDT) establecidos en el Plan de Acción del UIT-D, a fin de que dichas Comisiones de Estudio y los programas de la BDT se beneficien mutuamente de las actividades, los recursos y los conocimientos de cada uno de ellos, y contribuyan conjuntamente al logro de los Objetivos del UIT-D;</w:t>
      </w:r>
    </w:p>
    <w:p w14:paraId="25D1FD5F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que las Comisiones de Estudio utilicen los resultados y materiales pertinentes de los otros dos Sectores y la Secretaría General relacionados con sus mandatos y colaboren estrechamente con las Comisiones de Estudio de los otros Sectores en asuntos de interés común;</w:t>
      </w:r>
    </w:p>
    <w:p w14:paraId="03F1EFD8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t>6</w:t>
      </w:r>
      <w:r w:rsidRPr="00E17456">
        <w:rPr>
          <w:lang w:val="es-ES_tradnl"/>
        </w:rPr>
        <w:tab/>
        <w:t xml:space="preserve">que las Comisiones de Estudio sean dirigidas por los </w:t>
      </w:r>
      <w:proofErr w:type="gramStart"/>
      <w:r w:rsidRPr="00E17456">
        <w:rPr>
          <w:lang w:val="es-ES_tradnl"/>
        </w:rPr>
        <w:t>Presidentes</w:t>
      </w:r>
      <w:proofErr w:type="gramEnd"/>
      <w:r w:rsidRPr="00E17456">
        <w:rPr>
          <w:lang w:val="es-ES_tradnl"/>
        </w:rPr>
        <w:t xml:space="preserve"> y Vicepresidentes indicados en el Anexo 3 a la presente Resolución.</w:t>
      </w:r>
    </w:p>
    <w:p w14:paraId="738AEC23" w14:textId="77777777" w:rsidR="001770DA" w:rsidRPr="00E17456" w:rsidRDefault="001770DA" w:rsidP="001770DA">
      <w:pPr>
        <w:rPr>
          <w:lang w:val="es-ES_tradnl"/>
        </w:rPr>
      </w:pPr>
    </w:p>
    <w:p w14:paraId="3391DD2C" w14:textId="77777777" w:rsidR="001770DA" w:rsidRPr="00E17456" w:rsidRDefault="001770DA" w:rsidP="001770DA">
      <w:pPr>
        <w:rPr>
          <w:lang w:val="es-ES_tradnl"/>
        </w:rPr>
      </w:pPr>
    </w:p>
    <w:p w14:paraId="7DDEAE88" w14:textId="77777777" w:rsidR="001770DA" w:rsidRPr="00E17456" w:rsidRDefault="001770DA" w:rsidP="001770DA">
      <w:pPr>
        <w:rPr>
          <w:lang w:val="es-ES_tradnl"/>
        </w:rPr>
      </w:pPr>
    </w:p>
    <w:p w14:paraId="62DA9788" w14:textId="77777777" w:rsidR="001770DA" w:rsidRPr="00E17456" w:rsidRDefault="001770DA" w:rsidP="001770DA">
      <w:pPr>
        <w:rPr>
          <w:lang w:val="es-ES_tradnl"/>
        </w:rPr>
      </w:pPr>
    </w:p>
    <w:p w14:paraId="76F42D9F" w14:textId="77777777" w:rsidR="001770DA" w:rsidRPr="00E17456" w:rsidRDefault="001770DA" w:rsidP="001770DA">
      <w:pPr>
        <w:rPr>
          <w:lang w:val="es-ES_tradnl"/>
        </w:rPr>
      </w:pPr>
    </w:p>
    <w:p w14:paraId="10871836" w14:textId="77777777" w:rsidR="001770DA" w:rsidRPr="00E17456" w:rsidRDefault="001770DA" w:rsidP="001770DA">
      <w:pPr>
        <w:rPr>
          <w:lang w:val="es-ES_tradnl"/>
        </w:rPr>
      </w:pPr>
    </w:p>
    <w:p w14:paraId="29B89561" w14:textId="77777777" w:rsidR="001770DA" w:rsidRPr="00E17456" w:rsidRDefault="001770DA" w:rsidP="001770DA">
      <w:pPr>
        <w:rPr>
          <w:lang w:val="es-ES_tradnl"/>
        </w:rPr>
      </w:pPr>
    </w:p>
    <w:p w14:paraId="294761D6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3281200A" w14:textId="77777777" w:rsidR="001770DA" w:rsidRPr="00E17456" w:rsidRDefault="001770DA" w:rsidP="001770DA">
      <w:pPr>
        <w:pStyle w:val="AnnexNo"/>
        <w:rPr>
          <w:lang w:val="es-ES_tradnl"/>
        </w:rPr>
      </w:pPr>
      <w:bookmarkStart w:id="8" w:name="_Toc116916928"/>
      <w:bookmarkStart w:id="9" w:name="_Toc116918497"/>
      <w:bookmarkStart w:id="10" w:name="_Toc116918988"/>
      <w:bookmarkStart w:id="11" w:name="_Toc116919475"/>
      <w:r w:rsidRPr="00E17456">
        <w:rPr>
          <w:lang w:val="es-ES_tradnl"/>
        </w:rPr>
        <w:lastRenderedPageBreak/>
        <w:t>ANEXO 1 A LA RESOLUCIÓN 2 (</w:t>
      </w:r>
      <w:r w:rsidRPr="00E17456">
        <w:rPr>
          <w:caps w:val="0"/>
          <w:lang w:val="es-ES_tradnl"/>
        </w:rPr>
        <w:t>Rev</w:t>
      </w:r>
      <w:r w:rsidRPr="00E17456">
        <w:rPr>
          <w:lang w:val="es-ES_tradnl"/>
        </w:rPr>
        <w:t xml:space="preserve">. </w:t>
      </w:r>
      <w:r w:rsidRPr="00E17456">
        <w:rPr>
          <w:caps w:val="0"/>
          <w:lang w:val="es-ES_tradnl"/>
        </w:rPr>
        <w:t>Kigali, 2022</w:t>
      </w:r>
      <w:r w:rsidRPr="00E17456">
        <w:rPr>
          <w:lang w:val="es-ES_tradnl"/>
        </w:rPr>
        <w:t>)</w:t>
      </w:r>
      <w:bookmarkEnd w:id="8"/>
      <w:bookmarkEnd w:id="9"/>
      <w:bookmarkEnd w:id="10"/>
      <w:bookmarkEnd w:id="11"/>
    </w:p>
    <w:p w14:paraId="1EB6FC8C" w14:textId="77777777" w:rsidR="001770DA" w:rsidRPr="00E17456" w:rsidRDefault="001770DA" w:rsidP="001770DA">
      <w:pPr>
        <w:pStyle w:val="Annextitle"/>
        <w:rPr>
          <w:lang w:val="es-ES_tradnl"/>
        </w:rPr>
      </w:pPr>
      <w:bookmarkStart w:id="12" w:name="_Toc116916929"/>
      <w:bookmarkStart w:id="13" w:name="_Toc116918498"/>
      <w:bookmarkStart w:id="14" w:name="_Toc116918989"/>
      <w:bookmarkStart w:id="15" w:name="_Toc116919476"/>
      <w:r w:rsidRPr="00E17456">
        <w:rPr>
          <w:lang w:val="es-ES_tradnl"/>
        </w:rPr>
        <w:t>Atribuciones de las Comisiones de Estudio del UIT-D</w:t>
      </w:r>
      <w:bookmarkEnd w:id="12"/>
      <w:bookmarkEnd w:id="13"/>
      <w:bookmarkEnd w:id="14"/>
      <w:bookmarkEnd w:id="15"/>
    </w:p>
    <w:p w14:paraId="6D034353" w14:textId="77777777" w:rsidR="001770DA" w:rsidRPr="00E17456" w:rsidRDefault="001770DA" w:rsidP="001770DA">
      <w:pPr>
        <w:pStyle w:val="Heading1"/>
        <w:rPr>
          <w:lang w:val="es-ES_tradnl"/>
        </w:rPr>
      </w:pPr>
      <w:bookmarkStart w:id="16" w:name="_Toc116916930"/>
      <w:bookmarkStart w:id="17" w:name="_Toc116918499"/>
      <w:bookmarkStart w:id="18" w:name="_Toc116918990"/>
      <w:bookmarkStart w:id="19" w:name="_Toc116919477"/>
      <w:r w:rsidRPr="00E17456">
        <w:rPr>
          <w:lang w:val="es-ES_tradnl"/>
        </w:rPr>
        <w:t>1</w:t>
      </w:r>
      <w:r w:rsidRPr="00E17456">
        <w:rPr>
          <w:lang w:val="es-ES_tradnl"/>
        </w:rPr>
        <w:tab/>
      </w:r>
      <w:proofErr w:type="gramStart"/>
      <w:r w:rsidRPr="00E17456">
        <w:rPr>
          <w:lang w:val="es-ES_tradnl"/>
        </w:rPr>
        <w:t>Comisión</w:t>
      </w:r>
      <w:proofErr w:type="gramEnd"/>
      <w:r w:rsidRPr="00E17456">
        <w:rPr>
          <w:lang w:val="es-ES_tradnl"/>
        </w:rPr>
        <w:t xml:space="preserve"> de Estudio 1</w:t>
      </w:r>
      <w:bookmarkEnd w:id="16"/>
      <w:bookmarkEnd w:id="17"/>
      <w:bookmarkEnd w:id="18"/>
      <w:bookmarkEnd w:id="19"/>
    </w:p>
    <w:p w14:paraId="313AB765" w14:textId="1F7D77C0" w:rsidR="001770DA" w:rsidRPr="00E17456" w:rsidRDefault="001770DA" w:rsidP="001770DA">
      <w:pPr>
        <w:pStyle w:val="Headingb"/>
        <w:rPr>
          <w:lang w:val="es-ES"/>
        </w:rPr>
      </w:pPr>
      <w:r w:rsidRPr="00E17456">
        <w:rPr>
          <w:lang w:val="es-ES"/>
        </w:rPr>
        <w:t>Entorno propicio para la conectividad efectiva</w:t>
      </w:r>
      <w:r w:rsidR="006A5A03">
        <w:rPr>
          <w:rStyle w:val="FootnoteReference"/>
          <w:lang w:val="es-ES"/>
        </w:rPr>
        <w:footnoteReference w:id="2"/>
      </w:r>
    </w:p>
    <w:p w14:paraId="349A7B6D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Aspectos políticos y reglamentarios nacionales del desarrollo de las telecomunicaciones/TIC de banda ancha;</w:t>
      </w:r>
    </w:p>
    <w:p w14:paraId="257DE75B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Aspectos económicos del ámbito de las redes nacionales de telecomunicaciones/TIC, incluida la facilitación del asentamiento de la economía digital y la prestación de servicios de telecomunicaciones/TIC, en particular para las zonas rurales y remotas.</w:t>
      </w:r>
    </w:p>
    <w:p w14:paraId="6A2150F8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Enfoques nacionales para la provisión de acceso a las telecomunicaciones/TIC en las zonas rurales y remotas, prestando una atención especial a los países en desarrollo, incluidos los países menos adelantados, los pequeños Estados insulares en desarrollo, los países en desarrollo sin litoral y los países con economías en transición.</w:t>
      </w:r>
    </w:p>
    <w:p w14:paraId="1B2C1BCE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Acceso a los servicios de telecomunicaciones/TIC para permitir las comunicaciones inclusivas, especialmente para las personas con discapacidad y las personas con necesidades especiales.</w:t>
      </w:r>
    </w:p>
    <w:p w14:paraId="06335BEC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Migración y adopción de tecnologías digitales para la radiodifusión en diferentes entornos.</w:t>
      </w:r>
    </w:p>
    <w:p w14:paraId="7B5A150B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Utilización de las telecomunicaciones/TIC para la reducción y gestión del riesgo de catástrofes, especialmente en los países en desarrollo.</w:t>
      </w:r>
    </w:p>
    <w:p w14:paraId="49E63C8F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Información, protección y derechos del consumidor respecto de los servicios de telecomunicaciones/TIC, en especial para los grupos vulnerables.</w:t>
      </w:r>
    </w:p>
    <w:p w14:paraId="20AE13A4" w14:textId="77777777" w:rsidR="001770DA" w:rsidRPr="00E17456" w:rsidRDefault="001770DA" w:rsidP="001770DA">
      <w:pPr>
        <w:pStyle w:val="Heading1"/>
        <w:rPr>
          <w:lang w:val="es-ES_tradnl"/>
        </w:rPr>
      </w:pPr>
      <w:bookmarkStart w:id="20" w:name="_Toc116916931"/>
      <w:bookmarkStart w:id="21" w:name="_Toc116918500"/>
      <w:bookmarkStart w:id="22" w:name="_Toc116918991"/>
      <w:bookmarkStart w:id="23" w:name="_Toc116919478"/>
      <w:r w:rsidRPr="00E17456">
        <w:rPr>
          <w:lang w:val="es-ES_tradnl"/>
        </w:rPr>
        <w:t>2</w:t>
      </w:r>
      <w:r w:rsidRPr="00E17456">
        <w:rPr>
          <w:lang w:val="es-ES_tradnl"/>
        </w:rPr>
        <w:tab/>
      </w:r>
      <w:proofErr w:type="gramStart"/>
      <w:r w:rsidRPr="00E17456">
        <w:rPr>
          <w:lang w:val="es-ES_tradnl"/>
        </w:rPr>
        <w:t>Comisión</w:t>
      </w:r>
      <w:proofErr w:type="gramEnd"/>
      <w:r w:rsidRPr="00E17456">
        <w:rPr>
          <w:lang w:val="es-ES_tradnl"/>
        </w:rPr>
        <w:t xml:space="preserve"> de Estudio 2</w:t>
      </w:r>
      <w:bookmarkEnd w:id="20"/>
      <w:bookmarkEnd w:id="21"/>
      <w:bookmarkEnd w:id="22"/>
      <w:bookmarkEnd w:id="23"/>
    </w:p>
    <w:p w14:paraId="51343E50" w14:textId="77777777" w:rsidR="001770DA" w:rsidRPr="00E17456" w:rsidRDefault="001770DA" w:rsidP="001770DA">
      <w:pPr>
        <w:pStyle w:val="Headingb"/>
        <w:rPr>
          <w:lang w:val="es-ES"/>
        </w:rPr>
      </w:pPr>
      <w:r w:rsidRPr="00E17456">
        <w:rPr>
          <w:lang w:val="es-ES"/>
        </w:rPr>
        <w:t>Transformación digital</w:t>
      </w:r>
    </w:p>
    <w:p w14:paraId="5C4764B1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Telecomunicaciones/TIC para servicios electrónicos, entre otros, la cibersalud y la ciberenseñanza.</w:t>
      </w:r>
    </w:p>
    <w:p w14:paraId="39EECE24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Creación de confianza y seguridad en la utilización de las TIC.</w:t>
      </w:r>
    </w:p>
    <w:p w14:paraId="19670DE0" w14:textId="77777777" w:rsidR="001770DA" w:rsidRPr="001770DA" w:rsidRDefault="001770DA" w:rsidP="001770DA">
      <w:pPr>
        <w:pStyle w:val="enumlev1"/>
        <w:rPr>
          <w:lang w:val="es-ES"/>
        </w:rPr>
      </w:pPr>
      <w:r w:rsidRPr="001770DA">
        <w:rPr>
          <w:lang w:val="es-ES"/>
        </w:rPr>
        <w:t>–</w:t>
      </w:r>
      <w:r w:rsidRPr="001770DA">
        <w:rPr>
          <w:lang w:val="es-ES"/>
        </w:rPr>
        <w:tab/>
        <w:t>Utilización de las telecomunicaciones/TIC para supervisar y mitigar los efectos del cambio climático, y consideración de la economía circular y la eliminación segura de los residuos electrónicos.</w:t>
      </w:r>
    </w:p>
    <w:p w14:paraId="218C1934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16AF96AB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lastRenderedPageBreak/>
        <w:t>–</w:t>
      </w:r>
      <w:r w:rsidRPr="00E17456">
        <w:rPr>
          <w:lang w:val="es-ES_tradnl"/>
        </w:rPr>
        <w:tab/>
        <w:t>Lucha contra la falsificación de dispositivos de telecomunicaciones/TIC y el robo de dispositivos móviles de telecomunicación.</w:t>
      </w:r>
    </w:p>
    <w:p w14:paraId="6933C921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Realización de pruebas de conformidad e interoperabilidad de dispositivos y equipos de telecomunicaciones/TIC.</w:t>
      </w:r>
    </w:p>
    <w:p w14:paraId="02B7DADF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Exposición de las personas a los campos electromagnéticos.</w:t>
      </w:r>
    </w:p>
    <w:p w14:paraId="6254555B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Desafíos y perspectivas de los países en desarrollo respecto del acceso a las tecnologías incipientes, las plataformas, las aplicaciones y los casos de uso.</w:t>
      </w:r>
    </w:p>
    <w:p w14:paraId="585B74AD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Utilización de las telecomunicaciones/TIC para crear ciudades inteligentes y la sociedad de la información.</w:t>
      </w:r>
    </w:p>
    <w:p w14:paraId="479801EA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Adopción de las telecomunicaciones/TIC y mejora de las competencias digitales.</w:t>
      </w:r>
    </w:p>
    <w:p w14:paraId="2D8E4B85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46F3FB2B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18F76FE6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678C84C6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14CE7EF1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50E8A350" w14:textId="77777777" w:rsidR="001770DA" w:rsidRPr="00E17456" w:rsidRDefault="001770DA" w:rsidP="001770DA">
      <w:pPr>
        <w:pStyle w:val="enumlev1"/>
        <w:rPr>
          <w:lang w:val="es-ES_tradnl"/>
        </w:rPr>
      </w:pPr>
    </w:p>
    <w:p w14:paraId="07CE2402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0A482271" w14:textId="77777777" w:rsidR="001770DA" w:rsidRPr="00E17456" w:rsidRDefault="001770DA" w:rsidP="001770DA">
      <w:pPr>
        <w:pStyle w:val="AnnexNo"/>
        <w:rPr>
          <w:lang w:val="es-ES_tradnl"/>
        </w:rPr>
      </w:pPr>
      <w:bookmarkStart w:id="24" w:name="_Toc116916932"/>
      <w:bookmarkStart w:id="25" w:name="_Toc116918501"/>
      <w:bookmarkStart w:id="26" w:name="_Toc116918992"/>
      <w:bookmarkStart w:id="27" w:name="_Toc116919479"/>
      <w:r w:rsidRPr="00E17456">
        <w:rPr>
          <w:lang w:val="es-ES_tradnl"/>
        </w:rPr>
        <w:lastRenderedPageBreak/>
        <w:t>ANEXO 2 A LA RESOLUCIÓN 2 (</w:t>
      </w:r>
      <w:r w:rsidRPr="00E17456">
        <w:rPr>
          <w:caps w:val="0"/>
          <w:lang w:val="es-ES_tradnl"/>
        </w:rPr>
        <w:t>Rev</w:t>
      </w:r>
      <w:r w:rsidRPr="00E17456">
        <w:rPr>
          <w:lang w:val="es-ES_tradnl"/>
        </w:rPr>
        <w:t xml:space="preserve">. </w:t>
      </w:r>
      <w:r w:rsidRPr="00E17456">
        <w:rPr>
          <w:caps w:val="0"/>
          <w:lang w:val="es-ES_tradnl"/>
        </w:rPr>
        <w:t>Kigali, 2022</w:t>
      </w:r>
      <w:r w:rsidRPr="00E17456">
        <w:rPr>
          <w:lang w:val="es-ES_tradnl"/>
        </w:rPr>
        <w:t>)</w:t>
      </w:r>
      <w:bookmarkEnd w:id="24"/>
      <w:bookmarkEnd w:id="25"/>
      <w:bookmarkEnd w:id="26"/>
      <w:bookmarkEnd w:id="27"/>
    </w:p>
    <w:p w14:paraId="0C5E07FE" w14:textId="77777777" w:rsidR="001770DA" w:rsidRPr="00E17456" w:rsidRDefault="001770DA" w:rsidP="001770DA">
      <w:pPr>
        <w:pStyle w:val="Annextitle"/>
        <w:rPr>
          <w:lang w:val="es-ES_tradnl"/>
        </w:rPr>
      </w:pPr>
      <w:bookmarkStart w:id="28" w:name="_Toc116916933"/>
      <w:bookmarkStart w:id="29" w:name="_Toc116918502"/>
      <w:bookmarkStart w:id="30" w:name="_Toc116918993"/>
      <w:bookmarkStart w:id="31" w:name="_Toc116919480"/>
      <w:r w:rsidRPr="00E17456">
        <w:rPr>
          <w:lang w:val="es-ES_tradnl"/>
        </w:rPr>
        <w:t>Cuestiones asignadas a las Comisiones de Estudio del UIT-D por la Conferencia Mundial de Desarrollo de las Telecomunicaciones</w:t>
      </w:r>
      <w:bookmarkEnd w:id="28"/>
      <w:bookmarkEnd w:id="29"/>
      <w:bookmarkEnd w:id="30"/>
      <w:bookmarkEnd w:id="31"/>
    </w:p>
    <w:p w14:paraId="0E6564EE" w14:textId="77777777" w:rsidR="001770DA" w:rsidRPr="00E17456" w:rsidRDefault="001770DA" w:rsidP="001770DA">
      <w:pPr>
        <w:pStyle w:val="Heading1"/>
        <w:rPr>
          <w:lang w:val="es-ES_tradnl"/>
        </w:rPr>
      </w:pPr>
      <w:bookmarkStart w:id="32" w:name="_Toc116916934"/>
      <w:bookmarkStart w:id="33" w:name="_Toc116918503"/>
      <w:bookmarkStart w:id="34" w:name="_Toc116918994"/>
      <w:bookmarkStart w:id="35" w:name="_Toc116919481"/>
      <w:r w:rsidRPr="00E17456">
        <w:rPr>
          <w:lang w:val="es-ES_tradnl"/>
        </w:rPr>
        <w:t>Comisión de Estudio 1</w:t>
      </w:r>
      <w:bookmarkEnd w:id="32"/>
      <w:bookmarkEnd w:id="33"/>
      <w:bookmarkEnd w:id="34"/>
      <w:bookmarkEnd w:id="35"/>
    </w:p>
    <w:p w14:paraId="62DDC724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1/1</w:t>
      </w:r>
      <w:r w:rsidRPr="00E17456">
        <w:rPr>
          <w:lang w:val="es-ES_tradnl"/>
        </w:rPr>
        <w:t>: Estrategias y políticas para el despliegue de la banda ancha en los países en desarrollo.</w:t>
      </w:r>
    </w:p>
    <w:p w14:paraId="712D9142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2/1</w:t>
      </w:r>
      <w:r w:rsidRPr="00E17456">
        <w:rPr>
          <w:lang w:val="es-ES_tradnl"/>
        </w:rPr>
        <w:t>: Estrategias, políticas, reglamentación y métodos para la transición a las tecnologías digitales para radiodifusión y su adopción, incluida</w:t>
      </w:r>
      <w:r w:rsidRPr="00E17456">
        <w:rPr>
          <w:color w:val="000000"/>
          <w:lang w:val="es-ES_tradnl"/>
        </w:rPr>
        <w:t xml:space="preserve"> la prestación de nuevos servicios en diferentes entornos.</w:t>
      </w:r>
    </w:p>
    <w:p w14:paraId="7C2A815E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3/1</w:t>
      </w:r>
      <w:r w:rsidRPr="00E17456">
        <w:rPr>
          <w:lang w:val="es-ES_tradnl"/>
        </w:rPr>
        <w:t>:</w:t>
      </w:r>
      <w:r w:rsidRPr="00E17456">
        <w:rPr>
          <w:color w:val="000000"/>
          <w:lang w:val="es-ES_tradnl"/>
        </w:rPr>
        <w:t xml:space="preserve"> Utilización de las telecomunicaciones/TIC para la reducción y gestión del riesgo de catástrofes</w:t>
      </w:r>
      <w:r w:rsidRPr="00E17456">
        <w:rPr>
          <w:lang w:val="es-ES_tradnl"/>
        </w:rPr>
        <w:t>.</w:t>
      </w:r>
    </w:p>
    <w:p w14:paraId="05B1DEAD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 4/1</w:t>
      </w:r>
      <w:r w:rsidRPr="00E17456">
        <w:rPr>
          <w:lang w:val="es-ES_tradnl"/>
        </w:rPr>
        <w:t xml:space="preserve">: </w:t>
      </w:r>
      <w:r w:rsidRPr="00E17456">
        <w:rPr>
          <w:color w:val="000000"/>
          <w:lang w:val="es-ES_tradnl"/>
        </w:rPr>
        <w:t>Aspectos económicos de las telecomunicaciones/TIC</w:t>
      </w:r>
      <w:r w:rsidRPr="00E17456">
        <w:rPr>
          <w:lang w:val="es-ES_tradnl"/>
        </w:rPr>
        <w:t>.</w:t>
      </w:r>
    </w:p>
    <w:p w14:paraId="13B83924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5/1</w:t>
      </w:r>
      <w:r w:rsidRPr="00E17456">
        <w:rPr>
          <w:lang w:val="es-ES_tradnl"/>
        </w:rPr>
        <w:t>: Telecomunicaciones/TIC para las zonas rurales y remotas.</w:t>
      </w:r>
    </w:p>
    <w:p w14:paraId="1D74C697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6/1</w:t>
      </w:r>
      <w:r w:rsidRPr="00E17456">
        <w:rPr>
          <w:lang w:val="es-ES_tradnl"/>
        </w:rPr>
        <w:t>: Información, protección y derechos del consumidor.</w:t>
      </w:r>
    </w:p>
    <w:p w14:paraId="23F33E4A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7/1</w:t>
      </w:r>
      <w:r w:rsidRPr="00E17456">
        <w:rPr>
          <w:lang w:val="es-ES_tradnl"/>
        </w:rPr>
        <w:t>: Accesibilidad de las telecomunicaciones/TIC para permitir la comunicación inclusiva, en especial para las personas con discapacidad.</w:t>
      </w:r>
    </w:p>
    <w:p w14:paraId="45A94F89" w14:textId="77777777" w:rsidR="001770DA" w:rsidRPr="00E17456" w:rsidRDefault="001770DA" w:rsidP="001770DA">
      <w:pPr>
        <w:pStyle w:val="Heading1"/>
        <w:rPr>
          <w:lang w:val="es-ES_tradnl"/>
        </w:rPr>
      </w:pPr>
      <w:bookmarkStart w:id="36" w:name="_Toc116916935"/>
      <w:bookmarkStart w:id="37" w:name="_Toc116918504"/>
      <w:bookmarkStart w:id="38" w:name="_Toc116918995"/>
      <w:bookmarkStart w:id="39" w:name="_Toc116919482"/>
      <w:r w:rsidRPr="00E17456">
        <w:rPr>
          <w:lang w:val="es-ES_tradnl"/>
        </w:rPr>
        <w:t>Comisión de Estudio 2</w:t>
      </w:r>
      <w:bookmarkEnd w:id="36"/>
      <w:bookmarkEnd w:id="37"/>
      <w:bookmarkEnd w:id="38"/>
      <w:bookmarkEnd w:id="39"/>
    </w:p>
    <w:p w14:paraId="0B5D0C85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1/2</w:t>
      </w:r>
      <w:r w:rsidRPr="00E17456">
        <w:rPr>
          <w:lang w:val="es-ES_tradnl"/>
        </w:rPr>
        <w:t>: Ciudades y comunidades inteligentes y sostenibles.</w:t>
      </w:r>
    </w:p>
    <w:p w14:paraId="0BB60450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2/2</w:t>
      </w:r>
      <w:r w:rsidRPr="00E17456">
        <w:rPr>
          <w:lang w:val="es-ES_tradnl"/>
        </w:rPr>
        <w:t>: Tecnologías propicias para los servicios y las aplicaciones electrónicos, entre otros, la cibersalud y la ciberenseñanza.</w:t>
      </w:r>
    </w:p>
    <w:p w14:paraId="60D03B2A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3/2</w:t>
      </w:r>
      <w:r w:rsidRPr="00E17456">
        <w:rPr>
          <w:lang w:val="es-ES_tradnl"/>
        </w:rPr>
        <w:t>: Seguridad en las redes de información y comunicación: prácticas idóneas para el desarrollo de una cultura de ciberseguridad.</w:t>
      </w:r>
    </w:p>
    <w:p w14:paraId="2F7AACC0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4/2</w:t>
      </w:r>
      <w:r w:rsidRPr="00E17456">
        <w:rPr>
          <w:lang w:val="es-ES_tradnl"/>
        </w:rPr>
        <w:t>: Equipos de telecomunicaciones/TIC: conformidad e interoperabilidad y lucha contra la falsificación y el robo de dispositivos móviles.</w:t>
      </w:r>
    </w:p>
    <w:p w14:paraId="10420A35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5/2</w:t>
      </w:r>
      <w:r w:rsidRPr="00E17456">
        <w:rPr>
          <w:lang w:val="es-ES_tradnl"/>
        </w:rPr>
        <w:t xml:space="preserve">: </w:t>
      </w:r>
      <w:r w:rsidRPr="00E17456">
        <w:rPr>
          <w:color w:val="000000"/>
          <w:lang w:val="es-ES_tradnl"/>
        </w:rPr>
        <w:t>Adopción de las telecomunicaciones/TIC y mejora de las competencias digitales</w:t>
      </w:r>
      <w:r w:rsidRPr="00E17456">
        <w:rPr>
          <w:lang w:val="es-ES_tradnl"/>
        </w:rPr>
        <w:t>.</w:t>
      </w:r>
    </w:p>
    <w:p w14:paraId="508E5F88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6/2</w:t>
      </w:r>
      <w:r w:rsidRPr="00E17456">
        <w:rPr>
          <w:lang w:val="es-ES_tradnl"/>
        </w:rPr>
        <w:t>: Las TIC y el medio ambiente.</w:t>
      </w:r>
    </w:p>
    <w:p w14:paraId="00F3BACE" w14:textId="77777777" w:rsidR="001770DA" w:rsidRPr="00E17456" w:rsidRDefault="001770DA" w:rsidP="001770DA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</w:r>
      <w:r w:rsidRPr="00E17456">
        <w:rPr>
          <w:b/>
          <w:bCs/>
          <w:lang w:val="es-ES_tradnl"/>
        </w:rPr>
        <w:t>Cuestión 7/2</w:t>
      </w:r>
      <w:r w:rsidRPr="00E17456">
        <w:rPr>
          <w:lang w:val="es-ES_tradnl"/>
        </w:rPr>
        <w:t xml:space="preserve">: </w:t>
      </w:r>
      <w:r w:rsidRPr="00E17456">
        <w:rPr>
          <w:color w:val="000000"/>
          <w:lang w:val="es-ES_tradnl"/>
        </w:rPr>
        <w:t>Estrategias y políticas relativas a la exposición de las personas a los campos electromagnéticos</w:t>
      </w:r>
      <w:r w:rsidRPr="00E17456">
        <w:rPr>
          <w:lang w:val="es-ES_tradnl"/>
        </w:rPr>
        <w:t>.</w:t>
      </w:r>
    </w:p>
    <w:p w14:paraId="21520E82" w14:textId="77777777" w:rsidR="001770DA" w:rsidRPr="00E17456" w:rsidRDefault="001770DA" w:rsidP="001770DA">
      <w:pPr>
        <w:rPr>
          <w:lang w:val="es-ES_tradnl"/>
        </w:rPr>
      </w:pPr>
    </w:p>
    <w:p w14:paraId="6403685E" w14:textId="77777777" w:rsidR="001770DA" w:rsidRPr="00E17456" w:rsidRDefault="001770DA" w:rsidP="001770D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71C7CD01" w14:textId="77777777" w:rsidR="001770DA" w:rsidRPr="00E17456" w:rsidRDefault="001770DA" w:rsidP="001770DA">
      <w:pPr>
        <w:pStyle w:val="AnnexNo"/>
        <w:rPr>
          <w:lang w:val="es-ES_tradnl"/>
        </w:rPr>
      </w:pPr>
      <w:bookmarkStart w:id="40" w:name="_Toc116916936"/>
      <w:bookmarkStart w:id="41" w:name="_Toc116918505"/>
      <w:bookmarkStart w:id="42" w:name="_Toc116918996"/>
      <w:bookmarkStart w:id="43" w:name="_Toc116919483"/>
      <w:r w:rsidRPr="00E17456">
        <w:rPr>
          <w:lang w:val="es-ES_tradnl"/>
        </w:rPr>
        <w:lastRenderedPageBreak/>
        <w:t>ANEXO 3 A LA RESOLUCIÓN 2 (</w:t>
      </w:r>
      <w:r w:rsidRPr="00E17456">
        <w:rPr>
          <w:caps w:val="0"/>
          <w:lang w:val="es-ES_tradnl"/>
        </w:rPr>
        <w:t>Rev</w:t>
      </w:r>
      <w:r w:rsidRPr="00E17456">
        <w:rPr>
          <w:lang w:val="es-ES_tradnl"/>
        </w:rPr>
        <w:t xml:space="preserve">. </w:t>
      </w:r>
      <w:r w:rsidRPr="00E17456">
        <w:rPr>
          <w:caps w:val="0"/>
          <w:lang w:val="es-ES_tradnl"/>
        </w:rPr>
        <w:t>Kigali, 2022</w:t>
      </w:r>
      <w:r w:rsidRPr="00E17456">
        <w:rPr>
          <w:lang w:val="es-ES_tradnl"/>
        </w:rPr>
        <w:t>)</w:t>
      </w:r>
      <w:bookmarkEnd w:id="40"/>
      <w:bookmarkEnd w:id="41"/>
      <w:bookmarkEnd w:id="42"/>
      <w:bookmarkEnd w:id="43"/>
    </w:p>
    <w:p w14:paraId="19108245" w14:textId="77777777" w:rsidR="001770DA" w:rsidRPr="00E17456" w:rsidRDefault="001770DA" w:rsidP="001770DA">
      <w:pPr>
        <w:pStyle w:val="Annextitle"/>
        <w:rPr>
          <w:lang w:val="es-ES_tradnl"/>
        </w:rPr>
      </w:pPr>
      <w:bookmarkStart w:id="44" w:name="_Toc116916937"/>
      <w:bookmarkStart w:id="45" w:name="_Toc116918506"/>
      <w:bookmarkStart w:id="46" w:name="_Toc116918997"/>
      <w:bookmarkStart w:id="47" w:name="_Toc116919484"/>
      <w:r w:rsidRPr="00E17456">
        <w:rPr>
          <w:lang w:val="es-ES_tradnl"/>
        </w:rPr>
        <w:t xml:space="preserve">Lista de </w:t>
      </w:r>
      <w:proofErr w:type="gramStart"/>
      <w:r w:rsidRPr="00E17456">
        <w:rPr>
          <w:lang w:val="es-ES_tradnl"/>
        </w:rPr>
        <w:t>Presidentes</w:t>
      </w:r>
      <w:proofErr w:type="gramEnd"/>
      <w:r w:rsidRPr="00E17456">
        <w:rPr>
          <w:lang w:val="es-ES_tradnl"/>
        </w:rPr>
        <w:t xml:space="preserve"> y Vicepresidentes</w:t>
      </w:r>
      <w:bookmarkEnd w:id="44"/>
      <w:bookmarkEnd w:id="45"/>
      <w:bookmarkEnd w:id="46"/>
      <w:bookmarkEnd w:id="47"/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7084"/>
      </w:tblGrid>
      <w:tr w:rsidR="001770DA" w:rsidRPr="00CA7009" w14:paraId="3E532779" w14:textId="77777777" w:rsidTr="00407538">
        <w:tc>
          <w:tcPr>
            <w:tcW w:w="9629" w:type="dxa"/>
            <w:gridSpan w:val="2"/>
          </w:tcPr>
          <w:p w14:paraId="296261EA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CA70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</w:t>
            </w:r>
            <w:r w:rsidRPr="00CA7009">
              <w:rPr>
                <w:rFonts w:asciiTheme="minorHAnsi" w:hAnsiTheme="minorHAnsi" w:cstheme="minorHAnsi"/>
                <w:b/>
                <w:sz w:val="24"/>
                <w:szCs w:val="24"/>
              </w:rPr>
              <w:t>misión de Estudio 1</w:t>
            </w:r>
          </w:p>
        </w:tc>
      </w:tr>
      <w:tr w:rsidR="001770DA" w:rsidRPr="00CA7009" w14:paraId="784BF9D2" w14:textId="77777777" w:rsidTr="00407538">
        <w:tc>
          <w:tcPr>
            <w:tcW w:w="2552" w:type="dxa"/>
          </w:tcPr>
          <w:p w14:paraId="171E2227" w14:textId="77777777" w:rsidR="001770DA" w:rsidRPr="00CA7009" w:rsidRDefault="001770DA" w:rsidP="00407538">
            <w:pPr>
              <w:pStyle w:val="Tablehead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 xml:space="preserve">Presidenta: </w:t>
            </w:r>
          </w:p>
        </w:tc>
        <w:tc>
          <w:tcPr>
            <w:tcW w:w="7077" w:type="dxa"/>
          </w:tcPr>
          <w:p w14:paraId="7A10F9CC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Sra. Regina Fleur Assoumou Bessou (Côte d'Ivoire)</w:t>
            </w:r>
          </w:p>
        </w:tc>
      </w:tr>
      <w:tr w:rsidR="001770DA" w:rsidRPr="00CA7009" w14:paraId="2A19EDC8" w14:textId="77777777" w:rsidTr="00407538">
        <w:trPr>
          <w:trHeight w:val="3118"/>
        </w:trPr>
        <w:tc>
          <w:tcPr>
            <w:tcW w:w="2552" w:type="dxa"/>
          </w:tcPr>
          <w:p w14:paraId="15BBF117" w14:textId="77777777" w:rsidR="001770DA" w:rsidRPr="00CA7009" w:rsidRDefault="001770DA" w:rsidP="00407538">
            <w:pPr>
              <w:pStyle w:val="Tablehead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>Vicepresidentes:</w:t>
            </w:r>
          </w:p>
        </w:tc>
        <w:tc>
          <w:tcPr>
            <w:tcW w:w="7077" w:type="dxa"/>
          </w:tcPr>
          <w:p w14:paraId="661CC650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Sangwon Ko (República de Corea)</w:t>
            </w:r>
          </w:p>
          <w:p w14:paraId="78F0C56C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Memiko Otsuki (Japón) </w:t>
            </w:r>
          </w:p>
          <w:p w14:paraId="47D2C2AF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Sunil Singhal (India) </w:t>
            </w:r>
          </w:p>
          <w:p w14:paraId="7B83968D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Caecilia Nyamutswa (Zimbabwe) </w:t>
            </w:r>
          </w:p>
          <w:p w14:paraId="02339D68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Amah Vinyo Capo (Togo) </w:t>
            </w:r>
          </w:p>
          <w:p w14:paraId="112A4DC4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Roberto Mitsuake Hirayama (Brasil)</w:t>
            </w:r>
          </w:p>
          <w:p w14:paraId="1EF6076A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>Sr. Mehmet Alper Tekin (Türkiye) </w:t>
            </w:r>
          </w:p>
          <w:p w14:paraId="5F872241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Anthony Giannoumis (Noruega) </w:t>
            </w:r>
          </w:p>
          <w:p w14:paraId="5E3A1305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Umida Musaeva (Uzbekistán) </w:t>
            </w:r>
          </w:p>
          <w:p w14:paraId="74F886DF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Khayala Pashazade (Azerbaiyán) </w:t>
            </w:r>
          </w:p>
          <w:p w14:paraId="7D5B13F7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Sameera Belal Momen Mohammad (Kuwait) </w:t>
            </w:r>
          </w:p>
        </w:tc>
      </w:tr>
      <w:tr w:rsidR="001770DA" w:rsidRPr="00CA7009" w14:paraId="58680D3E" w14:textId="77777777" w:rsidTr="00407538">
        <w:tc>
          <w:tcPr>
            <w:tcW w:w="9629" w:type="dxa"/>
            <w:gridSpan w:val="2"/>
          </w:tcPr>
          <w:p w14:paraId="3FC3DFA8" w14:textId="77777777" w:rsidR="001770DA" w:rsidRPr="00CA7009" w:rsidRDefault="001770DA" w:rsidP="00407538">
            <w:pPr>
              <w:pStyle w:val="Tablehead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A7009">
              <w:rPr>
                <w:rFonts w:asciiTheme="minorHAnsi" w:hAnsiTheme="minorHAnsi" w:cstheme="minorHAnsi"/>
                <w:sz w:val="24"/>
                <w:szCs w:val="24"/>
              </w:rPr>
              <w:t>Comisión de Estudio 2</w:t>
            </w:r>
          </w:p>
        </w:tc>
      </w:tr>
      <w:tr w:rsidR="001770DA" w:rsidRPr="00CA7009" w14:paraId="0322BE16" w14:textId="77777777" w:rsidTr="00407538">
        <w:tc>
          <w:tcPr>
            <w:tcW w:w="2552" w:type="dxa"/>
          </w:tcPr>
          <w:p w14:paraId="2AD0DBDE" w14:textId="77777777" w:rsidR="001770DA" w:rsidRPr="00CA7009" w:rsidRDefault="001770DA" w:rsidP="00407538">
            <w:pPr>
              <w:pStyle w:val="Tablehead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 xml:space="preserve">Presidente: </w:t>
            </w:r>
          </w:p>
        </w:tc>
        <w:tc>
          <w:tcPr>
            <w:tcW w:w="7077" w:type="dxa"/>
          </w:tcPr>
          <w:p w14:paraId="298F8D0C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>Sr. Fadel Digham (Egipto)</w:t>
            </w:r>
          </w:p>
        </w:tc>
      </w:tr>
      <w:tr w:rsidR="001770DA" w:rsidRPr="00CA7009" w14:paraId="0AFDD3D9" w14:textId="77777777" w:rsidTr="00407538">
        <w:trPr>
          <w:trHeight w:val="3175"/>
        </w:trPr>
        <w:tc>
          <w:tcPr>
            <w:tcW w:w="2552" w:type="dxa"/>
          </w:tcPr>
          <w:p w14:paraId="66E2F25C" w14:textId="77777777" w:rsidR="001770DA" w:rsidRPr="00CA7009" w:rsidRDefault="001770DA" w:rsidP="00407538">
            <w:pPr>
              <w:pStyle w:val="Tablehead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>Vicepresidentes:</w:t>
            </w:r>
          </w:p>
        </w:tc>
        <w:tc>
          <w:tcPr>
            <w:tcW w:w="7077" w:type="dxa"/>
          </w:tcPr>
          <w:p w14:paraId="2B789F3F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Hideo Imanaka (Japón)</w:t>
            </w:r>
          </w:p>
          <w:p w14:paraId="4D820CFA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Mina Seonmin Jun (República de Corea) </w:t>
            </w:r>
          </w:p>
          <w:p w14:paraId="1138AB8A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Tongning Wu (China) </w:t>
            </w:r>
          </w:p>
          <w:p w14:paraId="46198302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Zainab Ardo (Nigeria) </w:t>
            </w:r>
          </w:p>
          <w:p w14:paraId="5BC3AE34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</w:rPr>
              <w:t>Sr. Mohamed Lamine Minthe (Guinea) </w:t>
            </w:r>
          </w:p>
          <w:p w14:paraId="7CFEEFDB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Víctor Antonio Martínez Sánchez (Paraguay) </w:t>
            </w:r>
          </w:p>
          <w:p w14:paraId="5B44A522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Dominique Würges (Francia) </w:t>
            </w:r>
          </w:p>
          <w:p w14:paraId="737FFDDD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Sra. Alina Modan (Rumania) </w:t>
            </w:r>
          </w:p>
          <w:p w14:paraId="103AF270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Diyor Rajabov (Uzbekistán) </w:t>
            </w:r>
          </w:p>
          <w:p w14:paraId="40735C93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Mushfig Guluyev (Azerbaiyán) </w:t>
            </w:r>
          </w:p>
          <w:p w14:paraId="24B33B7C" w14:textId="77777777" w:rsidR="001770DA" w:rsidRPr="00CA7009" w:rsidRDefault="001770DA" w:rsidP="00407538">
            <w:pPr>
              <w:pStyle w:val="Tabletext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A70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Sr. Abdelaziz Alzarooni (Emiratos Árabes Unidos) </w:t>
            </w:r>
          </w:p>
        </w:tc>
      </w:tr>
    </w:tbl>
    <w:p w14:paraId="46B4F077" w14:textId="77777777" w:rsidR="001770DA" w:rsidRDefault="001770DA" w:rsidP="001770DA">
      <w:pPr>
        <w:rPr>
          <w:lang w:val="es-ES"/>
        </w:rPr>
      </w:pPr>
    </w:p>
    <w:p w14:paraId="2679EDC2" w14:textId="77777777" w:rsidR="001770DA" w:rsidRDefault="001770DA" w:rsidP="001770DA">
      <w:pPr>
        <w:rPr>
          <w:lang w:val="es-ES"/>
        </w:rPr>
      </w:pPr>
    </w:p>
    <w:p w14:paraId="2EA2EDDD" w14:textId="77777777" w:rsidR="001770DA" w:rsidRDefault="001770DA" w:rsidP="001770DA">
      <w:pPr>
        <w:rPr>
          <w:lang w:val="es-ES"/>
        </w:rPr>
      </w:pPr>
    </w:p>
    <w:p w14:paraId="3B8C0E94" w14:textId="77777777" w:rsidR="001770DA" w:rsidRDefault="001770DA" w:rsidP="001770DA">
      <w:pPr>
        <w:rPr>
          <w:lang w:val="es-ES"/>
        </w:rPr>
      </w:pPr>
    </w:p>
    <w:p w14:paraId="07180EB3" w14:textId="77777777" w:rsidR="001770DA" w:rsidRDefault="001770DA" w:rsidP="001770DA">
      <w:pPr>
        <w:rPr>
          <w:lang w:val="es-ES"/>
        </w:rPr>
      </w:pPr>
    </w:p>
    <w:p w14:paraId="40F88EB7" w14:textId="77777777" w:rsidR="001770DA" w:rsidRDefault="001770DA" w:rsidP="001770DA">
      <w:pPr>
        <w:rPr>
          <w:lang w:val="es-ES"/>
        </w:rPr>
      </w:pPr>
    </w:p>
    <w:p w14:paraId="1A87EA55" w14:textId="77777777" w:rsidR="001770DA" w:rsidRPr="00B4208D" w:rsidRDefault="001770DA" w:rsidP="001770DA">
      <w:pPr>
        <w:rPr>
          <w:lang w:val="es-ES"/>
        </w:rPr>
      </w:pPr>
    </w:p>
    <w:p w14:paraId="508EE2E3" w14:textId="77777777" w:rsidR="00201FFB" w:rsidRPr="001770DA" w:rsidRDefault="00201FFB">
      <w:pPr>
        <w:rPr>
          <w:lang w:val="es-ES"/>
        </w:rPr>
      </w:pPr>
    </w:p>
    <w:sectPr w:rsidR="00201FFB" w:rsidRPr="001770DA" w:rsidSect="001770DA">
      <w:headerReference w:type="even" r:id="rId7"/>
      <w:headerReference w:type="default" r:id="rId8"/>
      <w:headerReference w:type="first" r:id="rId9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79DC" w14:textId="77777777" w:rsidR="001770DA" w:rsidRDefault="001770DA" w:rsidP="001770DA">
      <w:pPr>
        <w:spacing w:before="0"/>
      </w:pPr>
      <w:r>
        <w:separator/>
      </w:r>
    </w:p>
  </w:endnote>
  <w:endnote w:type="continuationSeparator" w:id="0">
    <w:p w14:paraId="6F5532F0" w14:textId="77777777" w:rsidR="001770DA" w:rsidRDefault="001770DA" w:rsidP="001770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C46E" w14:textId="77777777" w:rsidR="001770DA" w:rsidRDefault="001770DA" w:rsidP="001770DA">
      <w:pPr>
        <w:spacing w:before="0"/>
      </w:pPr>
      <w:r>
        <w:separator/>
      </w:r>
    </w:p>
  </w:footnote>
  <w:footnote w:type="continuationSeparator" w:id="0">
    <w:p w14:paraId="54AFADB1" w14:textId="77777777" w:rsidR="001770DA" w:rsidRDefault="001770DA" w:rsidP="001770DA">
      <w:pPr>
        <w:spacing w:before="0"/>
      </w:pPr>
      <w:r>
        <w:continuationSeparator/>
      </w:r>
    </w:p>
  </w:footnote>
  <w:footnote w:id="1">
    <w:p w14:paraId="59CD59EE" w14:textId="23D02BE0" w:rsidR="006A5A03" w:rsidRPr="006A5A03" w:rsidRDefault="006A5A0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A5A03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>Este término comprende los países menos adelantados, los pequeños Estados insulares en desarrollo, los países en desarrollo sin litoral y, los países con economías en transición.</w:t>
      </w:r>
    </w:p>
  </w:footnote>
  <w:footnote w:id="2">
    <w:p w14:paraId="2B67C59C" w14:textId="407243C2" w:rsidR="006A5A03" w:rsidRPr="006A5A03" w:rsidRDefault="006A5A0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>
        <w:rPr>
          <w:lang w:val="es-ES"/>
        </w:rPr>
        <w:t xml:space="preserve">Por </w:t>
      </w:r>
      <w:hyperlink r:id="rId1" w:history="1">
        <w:r w:rsidRPr="000C5E7C">
          <w:rPr>
            <w:rStyle w:val="Hyperlink"/>
            <w:lang w:val="es-ES"/>
          </w:rPr>
          <w:t>conectividad efectiva</w:t>
        </w:r>
      </w:hyperlink>
      <w:r>
        <w:rPr>
          <w:lang w:val="es-ES"/>
        </w:rPr>
        <w:t xml:space="preserve"> se entiende un nivel de conectividad que permite al usuario disfrutar de una experiencia en línea segura, satisfactoria, enriquecedora y productiva a un coste asequible.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88892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492F1E" w14:textId="77777777" w:rsidR="004E4C32" w:rsidRPr="00B4208D" w:rsidRDefault="00021441" w:rsidP="00B4208D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spacing w:before="0"/>
          <w:jc w:val="left"/>
          <w:rPr>
            <w:sz w:val="16"/>
            <w:szCs w:val="16"/>
            <w:lang w:val="es-ES"/>
          </w:rPr>
        </w:pPr>
        <w:r w:rsidRPr="00C9093A">
          <w:rPr>
            <w:sz w:val="16"/>
            <w:szCs w:val="16"/>
          </w:rPr>
          <w:fldChar w:fldCharType="begin"/>
        </w:r>
        <w:r w:rsidRPr="00B4208D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B4208D">
          <w:rPr>
            <w:sz w:val="16"/>
            <w:szCs w:val="16"/>
            <w:lang w:val="es-ES"/>
          </w:rPr>
          <w:t>4</w:t>
        </w:r>
        <w:r w:rsidRPr="00C9093A">
          <w:rPr>
            <w:noProof/>
            <w:sz w:val="16"/>
            <w:szCs w:val="16"/>
          </w:rPr>
          <w:fldChar w:fldCharType="end"/>
        </w:r>
        <w:r w:rsidRPr="00B4208D">
          <w:rPr>
            <w:sz w:val="16"/>
            <w:szCs w:val="16"/>
            <w:lang w:val="es-ES"/>
          </w:rPr>
          <w:tab/>
        </w:r>
        <w:r w:rsidRPr="00B4208D">
          <w:rPr>
            <w:sz w:val="16"/>
            <w:szCs w:val="16"/>
            <w:lang w:val="es-ES"/>
          </w:rPr>
          <w:t xml:space="preserve">Informe final de la CMDT-22 – Parte IV – Resolución </w:t>
        </w:r>
        <w:r w:rsidRPr="00B4208D">
          <w:rPr>
            <w:sz w:val="16"/>
            <w:szCs w:val="16"/>
            <w:lang w:val="es-ES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7734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5E0FE4" w14:textId="244E8314" w:rsidR="004E4C32" w:rsidRPr="00B4208D" w:rsidRDefault="001770DA" w:rsidP="009B3902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  <w:lang w:val="es-ES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021441" w:rsidRPr="00B4208D">
          <w:rPr>
            <w:sz w:val="16"/>
            <w:szCs w:val="16"/>
            <w:lang w:val="es-ES"/>
          </w:rPr>
          <w:t xml:space="preserve">Informe final de la CMDT-22 – Parte IV – Resolución </w:t>
        </w:r>
        <w:r w:rsidR="00021441" w:rsidRPr="00B4208D">
          <w:rPr>
            <w:sz w:val="16"/>
            <w:szCs w:val="16"/>
            <w:lang w:val="es-ES"/>
          </w:rPr>
          <w:t>2</w:t>
        </w:r>
        <w:r w:rsidR="00021441" w:rsidRPr="00B4208D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B4208D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1770DA">
          <w:rPr>
            <w:sz w:val="16"/>
            <w:szCs w:val="16"/>
            <w:lang w:val="es-ES"/>
          </w:rPr>
          <w:t>3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62284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9B2805" w14:textId="77777777" w:rsidR="004E4C32" w:rsidRPr="00B4208D" w:rsidRDefault="00021441" w:rsidP="00B4208D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  <w:lang w:val="es-ES"/>
          </w:rPr>
        </w:pPr>
        <w:r w:rsidRPr="00B4208D">
          <w:rPr>
            <w:sz w:val="16"/>
            <w:szCs w:val="16"/>
            <w:lang w:val="es-ES"/>
          </w:rPr>
          <w:tab/>
        </w:r>
        <w:r w:rsidRPr="00B4208D">
          <w:rPr>
            <w:sz w:val="16"/>
            <w:szCs w:val="16"/>
            <w:lang w:val="es-ES"/>
          </w:rPr>
          <w:tab/>
        </w:r>
        <w:r w:rsidRPr="00B4208D">
          <w:rPr>
            <w:sz w:val="16"/>
            <w:szCs w:val="16"/>
            <w:lang w:val="es-ES"/>
          </w:rPr>
          <w:t xml:space="preserve">Informe final de la CMDT-22 – Parte IV – Resolución </w:t>
        </w:r>
        <w:r w:rsidRPr="00B4208D">
          <w:rPr>
            <w:sz w:val="16"/>
            <w:szCs w:val="16"/>
            <w:lang w:val="es-ES"/>
          </w:rPr>
          <w:t>2</w:t>
        </w:r>
        <w:r w:rsidRPr="00B4208D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B4208D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B4208D">
          <w:rPr>
            <w:sz w:val="16"/>
            <w:szCs w:val="16"/>
            <w:lang w:val="es-ES"/>
          </w:rPr>
          <w:t>1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DA"/>
    <w:rsid w:val="001770DA"/>
    <w:rsid w:val="00201FFB"/>
    <w:rsid w:val="003C321F"/>
    <w:rsid w:val="003F366A"/>
    <w:rsid w:val="005809C6"/>
    <w:rsid w:val="00623374"/>
    <w:rsid w:val="006A5A03"/>
    <w:rsid w:val="008A4CA6"/>
    <w:rsid w:val="009B03C5"/>
    <w:rsid w:val="00A74923"/>
    <w:rsid w:val="00A96FB2"/>
    <w:rsid w:val="00AC35D4"/>
    <w:rsid w:val="00B0107E"/>
    <w:rsid w:val="00BF353A"/>
    <w:rsid w:val="00CA7009"/>
    <w:rsid w:val="00D27EFC"/>
    <w:rsid w:val="00DC6ABD"/>
    <w:rsid w:val="00E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5399"/>
  <w15:chartTrackingRefBased/>
  <w15:docId w15:val="{EB23185E-1332-422D-B29B-A2E7F232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DA"/>
    <w:pPr>
      <w:spacing w:before="120" w:after="0" w:line="240" w:lineRule="auto"/>
      <w:jc w:val="both"/>
    </w:pPr>
    <w:rPr>
      <w:rFonts w:eastAsiaTheme="minorEastAsia"/>
      <w:sz w:val="24"/>
      <w:lang w:val="en-US" w:eastAsia="zh-CN"/>
    </w:rPr>
  </w:style>
  <w:style w:type="paragraph" w:styleId="Heading1">
    <w:name w:val="heading 1"/>
    <w:basedOn w:val="ListParagraph"/>
    <w:next w:val="Normal"/>
    <w:link w:val="Heading1Char"/>
    <w:qFormat/>
    <w:rsid w:val="001770DA"/>
    <w:pPr>
      <w:spacing w:after="120"/>
      <w:ind w:left="0"/>
      <w:contextualSpacing w:val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spacing w:before="240" w:after="60"/>
      <w:outlineLvl w:val="1"/>
    </w:pPr>
    <w:rPr>
      <w:rFonts w:eastAsia="Times New Roman"/>
      <w:bCs/>
      <w:iCs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  <w:outlineLvl w:val="2"/>
    </w:pPr>
    <w:rPr>
      <w:rFonts w:eastAsiaTheme="minorHAnsi"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spacing w:before="360" w:after="240"/>
    </w:pPr>
    <w:rPr>
      <w:rFonts w:cs="Calibri"/>
      <w:color w:val="0070C0"/>
      <w:sz w:val="28"/>
      <w:lang w:eastAsia="es-ES"/>
    </w:rPr>
  </w:style>
  <w:style w:type="character" w:customStyle="1" w:styleId="Heading1Char">
    <w:name w:val="Heading 1 Char"/>
    <w:basedOn w:val="DefaultParagraphFont"/>
    <w:link w:val="Heading1"/>
    <w:rsid w:val="001770DA"/>
    <w:rPr>
      <w:rFonts w:eastAsiaTheme="minorEastAsia"/>
      <w:b/>
      <w:bCs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B010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spacing w:after="120"/>
      <w:contextualSpacing/>
    </w:pPr>
    <w:rPr>
      <w:color w:val="365F91"/>
      <w:szCs w:val="56"/>
    </w:rPr>
  </w:style>
  <w:style w:type="paragraph" w:customStyle="1" w:styleId="Alternativetext">
    <w:name w:val="Alternative text"/>
    <w:basedOn w:val="Normal"/>
    <w:autoRedefine/>
    <w:rsid w:val="00EA2213"/>
    <w:pPr>
      <w:spacing w:after="120"/>
      <w:jc w:val="center"/>
    </w:pPr>
    <w:rPr>
      <w:rFonts w:cstheme="minorHAnsi"/>
      <w:i/>
      <w:color w:val="FFC000"/>
      <w:sz w:val="18"/>
      <w:szCs w:val="24"/>
    </w:rPr>
  </w:style>
  <w:style w:type="paragraph" w:customStyle="1" w:styleId="Tabletitle">
    <w:name w:val="Table title"/>
    <w:basedOn w:val="Normal"/>
    <w:next w:val="Normal"/>
    <w:rsid w:val="00B0107E"/>
    <w:pPr>
      <w:contextualSpacing/>
    </w:pPr>
    <w:rPr>
      <w:color w:val="2F5496" w:themeColor="accent1" w:themeShade="BF"/>
      <w:szCs w:val="56"/>
    </w:rPr>
  </w:style>
  <w:style w:type="paragraph" w:customStyle="1" w:styleId="Tabletext">
    <w:name w:val="Table text"/>
    <w:basedOn w:val="Normal"/>
    <w:rsid w:val="00B0107E"/>
    <w:pPr>
      <w:spacing w:before="40"/>
      <w:ind w:left="57"/>
      <w:contextualSpacing/>
    </w:pPr>
    <w:rPr>
      <w:szCs w:val="56"/>
    </w:rPr>
  </w:style>
  <w:style w:type="paragraph" w:customStyle="1" w:styleId="Tablehead">
    <w:name w:val="Table head"/>
    <w:basedOn w:val="Normal"/>
    <w:rsid w:val="00B0107E"/>
    <w:pPr>
      <w:contextualSpacing/>
      <w:jc w:val="center"/>
    </w:pPr>
    <w:rPr>
      <w:b/>
      <w:szCs w:val="56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spacing w:before="40"/>
      <w:contextualSpacing/>
    </w:pPr>
    <w:rPr>
      <w:szCs w:val="56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contextualSpacing/>
      <w:jc w:val="center"/>
    </w:pPr>
    <w:rPr>
      <w:b/>
      <w:szCs w:val="56"/>
    </w:rPr>
  </w:style>
  <w:style w:type="paragraph" w:customStyle="1" w:styleId="Tabletextcentred">
    <w:name w:val="Table text centred"/>
    <w:basedOn w:val="Normal"/>
    <w:rsid w:val="00B0107E"/>
    <w:pPr>
      <w:contextualSpacing/>
      <w:jc w:val="center"/>
    </w:pPr>
    <w:rPr>
      <w:szCs w:val="56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contextualSpacing/>
    </w:pPr>
    <w:rPr>
      <w:szCs w:val="56"/>
    </w:rPr>
  </w:style>
  <w:style w:type="paragraph" w:customStyle="1" w:styleId="Bulletlist3">
    <w:name w:val="Bullet list 3"/>
    <w:basedOn w:val="Normal"/>
    <w:rsid w:val="008A4CA6"/>
    <w:pPr>
      <w:contextualSpacing/>
      <w:jc w:val="right"/>
    </w:pPr>
    <w:rPr>
      <w:szCs w:val="56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/>
      <w:textAlignment w:val="baseline"/>
    </w:pPr>
    <w:rPr>
      <w:rFonts w:ascii="Times New Roman" w:eastAsia="Times New Roman" w:hAnsi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left" w:pos="794"/>
        <w:tab w:val="left" w:pos="1191"/>
        <w:tab w:val="left" w:pos="1588"/>
        <w:tab w:val="left" w:pos="1985"/>
      </w:tabs>
      <w:overflowPunct w:val="0"/>
      <w:spacing w:after="480"/>
      <w:textAlignment w:val="baseline"/>
    </w:pPr>
    <w:rPr>
      <w:rFonts w:ascii="Times New Roman" w:eastAsia="Times New Roman" w:hAnsi="Times New Roman"/>
      <w:szCs w:val="20"/>
      <w:lang w:val="es-ES_tradnl"/>
    </w:rPr>
  </w:style>
  <w:style w:type="paragraph" w:customStyle="1" w:styleId="Bulletlist1">
    <w:name w:val="Bullet list 1"/>
    <w:basedOn w:val="Normal"/>
    <w:autoRedefine/>
    <w:rsid w:val="00EA2213"/>
    <w:rPr>
      <w:rFonts w:cstheme="minorHAnsi"/>
      <w:szCs w:val="24"/>
    </w:rPr>
  </w:style>
  <w:style w:type="paragraph" w:customStyle="1" w:styleId="AnnexNo">
    <w:name w:val="Annex_No"/>
    <w:basedOn w:val="Normal"/>
    <w:next w:val="Normal"/>
    <w:link w:val="AnnexNoChar"/>
    <w:rsid w:val="001770D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1770D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1770D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 w:cs="Times New Roman"/>
      <w:i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1770DA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 w:cs="Times New Roman"/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1770DA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770DA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770DA"/>
    <w:rPr>
      <w:rFonts w:eastAsia="Times New Roman" w:cs="Times New Roman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1770D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head0">
    <w:name w:val="Table_head"/>
    <w:basedOn w:val="Normal"/>
    <w:rsid w:val="001770D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 w:cs="Times New Roman Bold"/>
      <w:b/>
      <w:sz w:val="20"/>
      <w:szCs w:val="20"/>
      <w:lang w:val="en-GB" w:eastAsia="en-US"/>
    </w:rPr>
  </w:style>
  <w:style w:type="paragraph" w:customStyle="1" w:styleId="Tabletext0">
    <w:name w:val="Table_text"/>
    <w:basedOn w:val="Normal"/>
    <w:link w:val="TabletextChar"/>
    <w:rsid w:val="001770DA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1770D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 Bold"/>
      <w:b/>
      <w:szCs w:val="20"/>
      <w:lang w:val="fr-CH" w:eastAsia="en-US"/>
    </w:rPr>
  </w:style>
  <w:style w:type="paragraph" w:customStyle="1" w:styleId="ResNo">
    <w:name w:val="Res_No"/>
    <w:basedOn w:val="Heading2"/>
    <w:next w:val="Normal"/>
    <w:link w:val="ResNoChar"/>
    <w:rsid w:val="001770DA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/>
      <w:ind w:left="1134" w:hanging="1134"/>
      <w:jc w:val="center"/>
      <w:textAlignment w:val="baseline"/>
      <w:outlineLvl w:val="0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1770D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styleId="Hyperlink">
    <w:name w:val="Hyperlink"/>
    <w:aliases w:val="CEO_Hyperlink,超级链接,Style 58,超?级链,超????,하이퍼링크2,하이퍼링크21,超链接1,超?级链?,Style?,S,ECC Hyperlink"/>
    <w:qFormat/>
    <w:rsid w:val="001770DA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770DA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1770DA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1770DA"/>
    <w:rPr>
      <w:rFonts w:eastAsia="Times New Roman" w:cs="Times New Roman"/>
      <w:sz w:val="24"/>
      <w:szCs w:val="20"/>
    </w:rPr>
  </w:style>
  <w:style w:type="character" w:customStyle="1" w:styleId="TabletextChar">
    <w:name w:val="Table_text Char"/>
    <w:basedOn w:val="DefaultParagraphFont"/>
    <w:link w:val="Tabletext0"/>
    <w:locked/>
    <w:rsid w:val="001770DA"/>
    <w:rPr>
      <w:rFonts w:eastAsia="Times New Roman" w:cs="Times New Roman"/>
      <w:sz w:val="20"/>
      <w:szCs w:val="20"/>
    </w:rPr>
  </w:style>
  <w:style w:type="character" w:customStyle="1" w:styleId="AnnexNoChar">
    <w:name w:val="Annex_No Char"/>
    <w:basedOn w:val="DefaultParagraphFont"/>
    <w:link w:val="AnnexNo"/>
    <w:rsid w:val="001770DA"/>
    <w:rPr>
      <w:rFonts w:eastAsia="Times New Roman" w:cs="Times New Roman"/>
      <w:caps/>
      <w:sz w:val="28"/>
      <w:szCs w:val="20"/>
    </w:rPr>
  </w:style>
  <w:style w:type="character" w:customStyle="1" w:styleId="CallChar">
    <w:name w:val="Call Char"/>
    <w:basedOn w:val="DefaultParagraphFont"/>
    <w:link w:val="Call"/>
    <w:locked/>
    <w:rsid w:val="001770DA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1770DA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1770DA"/>
    <w:rPr>
      <w:rFonts w:eastAsia="Times New Roman" w:cs="Times New Roman"/>
      <w:sz w:val="28"/>
      <w:szCs w:val="20"/>
    </w:rPr>
  </w:style>
  <w:style w:type="character" w:customStyle="1" w:styleId="HeadingbChar">
    <w:name w:val="Heading_b Char"/>
    <w:basedOn w:val="DefaultParagraphFont"/>
    <w:link w:val="Headingb"/>
    <w:locked/>
    <w:rsid w:val="001770DA"/>
    <w:rPr>
      <w:rFonts w:eastAsia="Times New Roman" w:cs="Times New Roman Bold"/>
      <w:b/>
      <w:sz w:val="24"/>
      <w:szCs w:val="20"/>
      <w:lang w:val="fr-CH"/>
    </w:rPr>
  </w:style>
  <w:style w:type="table" w:styleId="TableGrid">
    <w:name w:val="Table Grid"/>
    <w:basedOn w:val="TableNormal"/>
    <w:uiPriority w:val="39"/>
    <w:rsid w:val="001770DA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nextitleChar1">
    <w:name w:val="Annex_title Char1"/>
    <w:basedOn w:val="DefaultParagraphFont"/>
    <w:link w:val="Annextitle"/>
    <w:locked/>
    <w:rsid w:val="001770DA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1770DA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1"/>
    <w:rsid w:val="001770DA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0D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70DA"/>
    <w:rPr>
      <w:rFonts w:eastAsiaTheme="minorEastAsia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statistics/wp-content/uploads/sites/8/2022/04/UniversalMeaningfulDigitalConnectivityTargets2030_Background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64E-298D-4582-AE28-EDB5494F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2 (Rev. Kigali, 2022) – Establecimiento de Comisiones de Estudio</dc:title>
  <dc:subject/>
  <dc:creator>Catalano Moreira, Rossana</dc:creator>
  <cp:keywords/>
  <dc:description/>
  <cp:lastModifiedBy>Catalano Moreira, Rossana</cp:lastModifiedBy>
  <cp:revision>3</cp:revision>
  <dcterms:created xsi:type="dcterms:W3CDTF">2023-10-16T12:42:00Z</dcterms:created>
  <dcterms:modified xsi:type="dcterms:W3CDTF">2023-10-16T13:03:00Z</dcterms:modified>
</cp:coreProperties>
</file>