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55A6" w14:textId="77777777" w:rsidR="0005127D" w:rsidRDefault="0005127D" w:rsidP="0005127D">
      <w:pPr>
        <w:pStyle w:val="ResNo"/>
      </w:pPr>
      <w:bookmarkStart w:id="0" w:name="_Toc116556641"/>
      <w:bookmarkStart w:id="1" w:name="_Toc116557194"/>
      <w:bookmarkStart w:id="2" w:name="_Toc116636433"/>
      <w:r>
        <w:t xml:space="preserve">RESOLUTION </w:t>
      </w:r>
      <w:r>
        <w:rPr>
          <w:rStyle w:val="href"/>
        </w:rPr>
        <w:t>2</w:t>
      </w:r>
      <w:r>
        <w:t xml:space="preserve"> (Rev. Kigali, 2022)</w:t>
      </w:r>
      <w:bookmarkEnd w:id="0"/>
      <w:bookmarkEnd w:id="1"/>
      <w:bookmarkEnd w:id="2"/>
    </w:p>
    <w:p w14:paraId="662077C7" w14:textId="77777777" w:rsidR="0005127D" w:rsidRDefault="0005127D" w:rsidP="0005127D">
      <w:pPr>
        <w:pStyle w:val="Restitle"/>
      </w:pPr>
      <w:bookmarkStart w:id="3" w:name="_Toc116556642"/>
      <w:bookmarkStart w:id="4" w:name="_Toc116557195"/>
      <w:bookmarkStart w:id="5" w:name="_Toc116636434"/>
      <w:r>
        <w:t>Establishment of study groups</w:t>
      </w:r>
      <w:bookmarkEnd w:id="3"/>
      <w:bookmarkEnd w:id="4"/>
      <w:bookmarkEnd w:id="5"/>
    </w:p>
    <w:p w14:paraId="069FE929" w14:textId="77777777" w:rsidR="0005127D" w:rsidRDefault="0005127D" w:rsidP="0005127D">
      <w:pPr>
        <w:pStyle w:val="Normalaftertitle"/>
        <w:keepNext/>
        <w:keepLines/>
      </w:pPr>
      <w:r>
        <w:t>The World Telecommunication Development Conference (Kigali, 2022),</w:t>
      </w:r>
    </w:p>
    <w:p w14:paraId="3FC07188" w14:textId="77777777" w:rsidR="0005127D" w:rsidRDefault="0005127D" w:rsidP="0005127D">
      <w:pPr>
        <w:pStyle w:val="Call"/>
      </w:pPr>
      <w:r>
        <w:t>considering</w:t>
      </w:r>
    </w:p>
    <w:p w14:paraId="54D04B9E" w14:textId="77777777" w:rsidR="0005127D" w:rsidRDefault="0005127D" w:rsidP="0005127D">
      <w:r>
        <w:rPr>
          <w:i/>
        </w:rPr>
        <w:t>a)</w:t>
      </w:r>
      <w:r>
        <w:tab/>
        <w:t>that the mandate for each study group needs to be clearly defined, in order to avoid duplication between study groups and other groups of the ITU Telecommunication Development Sector (ITU</w:t>
      </w:r>
      <w:r>
        <w:noBreakHyphen/>
        <w:t>D) established pursuant to No. 209A of the ITU Convention and to ensure the coherence of the overall work programme of the Sector as provided for in Article 16 of the Convention;</w:t>
      </w:r>
    </w:p>
    <w:p w14:paraId="55F1C4BD" w14:textId="77777777" w:rsidR="0005127D" w:rsidRDefault="0005127D" w:rsidP="0005127D">
      <w:r>
        <w:rPr>
          <w:i/>
        </w:rPr>
        <w:t>b)</w:t>
      </w:r>
      <w:r>
        <w:tab/>
        <w:t>that, for carrying out the studies entrusted to ITU</w:t>
      </w:r>
      <w:r>
        <w:noBreakHyphen/>
        <w:t>D, it is appropriate to set up study groups, as provided for in Article 17 of the Convention, to deal with specific task-oriented telecommunication questions of priority to developing countries</w:t>
      </w:r>
      <w:r>
        <w:rPr>
          <w:rStyle w:val="FootnoteReference"/>
          <w:rFonts w:eastAsiaTheme="majorEastAsia" w:cs="Times New Roman"/>
        </w:rPr>
        <w:footnoteReference w:id="1"/>
      </w:r>
      <w:r>
        <w:t>, taking into consideration the ITU strategic plan and goals, and prepare relevant outputs in the form of reports, guidelines and/or Recommendations for the development of telecommunications/information and communication technologies (ICTs);</w:t>
      </w:r>
    </w:p>
    <w:p w14:paraId="3715666B" w14:textId="77777777" w:rsidR="0005127D" w:rsidRDefault="0005127D" w:rsidP="0005127D">
      <w:r>
        <w:rPr>
          <w:i/>
        </w:rPr>
        <w:t>c)</w:t>
      </w:r>
      <w:r>
        <w:tab/>
        <w:t>the need as far as possible to avoid duplication between studies undertaken by ITU</w:t>
      </w:r>
      <w:r>
        <w:noBreakHyphen/>
        <w:t>D and those carried out by the other two Sectors of the Union;</w:t>
      </w:r>
    </w:p>
    <w:p w14:paraId="4B06F5F4" w14:textId="77777777" w:rsidR="0005127D" w:rsidRDefault="0005127D" w:rsidP="0005127D">
      <w:r>
        <w:rPr>
          <w:i/>
        </w:rPr>
        <w:t>d)</w:t>
      </w:r>
      <w:r>
        <w:tab/>
        <w:t>the results of the studies under the study Questions adopted by the World Telecommunication Development Conference (Dubai, 2014) and the World Telecommunication Development Conference (Buenos Aires, 2017) and assigned to the two study groups,</w:t>
      </w:r>
    </w:p>
    <w:p w14:paraId="65167EBC" w14:textId="77777777" w:rsidR="0005127D" w:rsidRDefault="0005127D" w:rsidP="0005127D">
      <w:pPr>
        <w:pStyle w:val="Call"/>
      </w:pPr>
      <w:r>
        <w:t>resolves</w:t>
      </w:r>
    </w:p>
    <w:p w14:paraId="2B08DE1F" w14:textId="77777777" w:rsidR="0005127D" w:rsidRDefault="0005127D" w:rsidP="0005127D">
      <w:pPr>
        <w:rPr>
          <w:strike/>
        </w:rPr>
      </w:pPr>
      <w:r>
        <w:t>1</w:t>
      </w:r>
      <w:r>
        <w:tab/>
        <w:t>to continue the work within the Sector of two study groups, with a clear responsibility and terms of reference, as set out in Annex 1 and Annex 3 to this resolution;</w:t>
      </w:r>
    </w:p>
    <w:p w14:paraId="0E3E0D5A" w14:textId="77777777" w:rsidR="0005127D" w:rsidRDefault="0005127D" w:rsidP="0005127D">
      <w:pPr>
        <w:tabs>
          <w:tab w:val="left" w:pos="720"/>
        </w:tabs>
        <w:overflowPunct/>
        <w:autoSpaceDE/>
        <w:adjustRightInd/>
        <w:spacing w:before="0"/>
      </w:pPr>
      <w:r>
        <w:br w:type="page"/>
      </w:r>
    </w:p>
    <w:p w14:paraId="7D92F11C" w14:textId="77777777" w:rsidR="0005127D" w:rsidRDefault="0005127D" w:rsidP="0005127D">
      <w:pPr>
        <w:rPr>
          <w:strike/>
        </w:rPr>
      </w:pPr>
      <w:r>
        <w:lastRenderedPageBreak/>
        <w:t>2</w:t>
      </w:r>
      <w:r>
        <w:tab/>
        <w:t>that each study group and its relevant groups will conduct studies within the framework of the ITU-D study Questions adopted by this conference and assigned to it in accordance with the structure shown in Annex 2 to this resolution, and the ITU</w:t>
      </w:r>
      <w:r>
        <w:noBreakHyphen/>
        <w:t>D study Questions adopted or revised between two world telecommunication development conferences (WTDCs) in accordance with the provisions of Resolution 1 (Rev. Kigali, 2022) of this conference;</w:t>
      </w:r>
    </w:p>
    <w:p w14:paraId="0938C0F4" w14:textId="77777777" w:rsidR="0005127D" w:rsidRDefault="0005127D" w:rsidP="0005127D">
      <w:pPr>
        <w:rPr>
          <w:strike/>
        </w:rPr>
      </w:pPr>
      <w:r>
        <w:t>3</w:t>
      </w:r>
      <w:r>
        <w:tab/>
        <w:t>that the organization of the study groups should lead to increased synergy, transparency and efficiency with minimal overlap between ITU</w:t>
      </w:r>
      <w:r>
        <w:noBreakHyphen/>
        <w:t>D study Questions;</w:t>
      </w:r>
    </w:p>
    <w:p w14:paraId="614EF4D4" w14:textId="77777777" w:rsidR="0005127D" w:rsidRDefault="0005127D" w:rsidP="0005127D">
      <w:pPr>
        <w:rPr>
          <w:strike/>
        </w:rPr>
      </w:pPr>
      <w:r>
        <w:t>4</w:t>
      </w:r>
      <w:r>
        <w:tab/>
        <w:t>that ITU</w:t>
      </w:r>
      <w:r>
        <w:noBreakHyphen/>
        <w:t>D study Questions should be linked with the implementation of WTDC and Plenipotentiary Conference resolutions, and also with the Telecommunication Development Bureau (BDT) programmes set out in the ITU</w:t>
      </w:r>
      <w:r>
        <w:noBreakHyphen/>
        <w:t>D action plan, so that the study groups and the BDT programmes benefit from each other's activities, resources and expertise</w:t>
      </w:r>
      <w:r>
        <w:rPr>
          <w:rFonts w:ascii="Calibri" w:hAnsi="Calibri"/>
          <w:szCs w:val="24"/>
        </w:rPr>
        <w:t>, and jointly contribute to the achievement of ITU-D objectives</w:t>
      </w:r>
      <w:r>
        <w:t>;</w:t>
      </w:r>
    </w:p>
    <w:p w14:paraId="2D135EF4" w14:textId="77777777" w:rsidR="0005127D" w:rsidRDefault="0005127D" w:rsidP="0005127D">
      <w:pPr>
        <w:rPr>
          <w:strike/>
        </w:rPr>
      </w:pPr>
      <w:r>
        <w:t>5</w:t>
      </w:r>
      <w:r>
        <w:tab/>
        <w:t>that the study groups should make use of the relevant outputs and materials of the other two Sectors and the General Secretariat</w:t>
      </w:r>
      <w:r>
        <w:rPr>
          <w:rFonts w:cstheme="minorHAnsi"/>
          <w:szCs w:val="24"/>
        </w:rPr>
        <w:t xml:space="preserve"> relevant to their terms of reference and collaborate closely with study groups in the other Sectors on issues of mutual interest</w:t>
      </w:r>
      <w:r>
        <w:t>;</w:t>
      </w:r>
    </w:p>
    <w:p w14:paraId="5B2E8CBB" w14:textId="77777777" w:rsidR="0005127D" w:rsidRDefault="0005127D" w:rsidP="0005127D">
      <w:r>
        <w:t>6</w:t>
      </w:r>
      <w:r>
        <w:tab/>
        <w:t>that the study groups will be managed by the chairmen and vice-chairmen as shown in Annex 3 to this resolution.</w:t>
      </w:r>
    </w:p>
    <w:p w14:paraId="23D9D6D3" w14:textId="77777777" w:rsidR="0005127D" w:rsidRDefault="0005127D" w:rsidP="0005127D">
      <w:pPr>
        <w:pStyle w:val="Reasons"/>
      </w:pPr>
    </w:p>
    <w:p w14:paraId="77131DE9" w14:textId="77777777" w:rsidR="0005127D" w:rsidRDefault="0005127D" w:rsidP="0005127D">
      <w:pPr>
        <w:pStyle w:val="Reasons"/>
      </w:pPr>
    </w:p>
    <w:p w14:paraId="336F7BDE" w14:textId="77777777" w:rsidR="0005127D" w:rsidRDefault="0005127D" w:rsidP="0005127D">
      <w:pPr>
        <w:pStyle w:val="Reasons"/>
      </w:pPr>
    </w:p>
    <w:p w14:paraId="56EFAFD1" w14:textId="77777777" w:rsidR="0005127D" w:rsidRDefault="0005127D" w:rsidP="0005127D">
      <w:pPr>
        <w:pStyle w:val="Reasons"/>
      </w:pPr>
    </w:p>
    <w:p w14:paraId="4438B94C" w14:textId="77777777" w:rsidR="0005127D" w:rsidRDefault="0005127D" w:rsidP="0005127D">
      <w:pPr>
        <w:pStyle w:val="Reasons"/>
      </w:pPr>
    </w:p>
    <w:p w14:paraId="4F296051" w14:textId="77777777" w:rsidR="0005127D" w:rsidRDefault="0005127D" w:rsidP="0005127D">
      <w:pPr>
        <w:pStyle w:val="Reasons"/>
      </w:pPr>
    </w:p>
    <w:p w14:paraId="0160D6C0" w14:textId="77777777" w:rsidR="0005127D" w:rsidRDefault="0005127D" w:rsidP="0005127D">
      <w:pPr>
        <w:pStyle w:val="Reasons"/>
      </w:pPr>
    </w:p>
    <w:p w14:paraId="7B1B369F" w14:textId="77777777" w:rsidR="0005127D" w:rsidRDefault="0005127D" w:rsidP="0005127D">
      <w:pPr>
        <w:pStyle w:val="Reasons"/>
      </w:pPr>
    </w:p>
    <w:p w14:paraId="5E0B7EC7" w14:textId="77777777" w:rsidR="0005127D" w:rsidRDefault="0005127D" w:rsidP="0005127D">
      <w:pPr>
        <w:pStyle w:val="Reasons"/>
      </w:pPr>
    </w:p>
    <w:p w14:paraId="7A0B77D3" w14:textId="77777777" w:rsidR="0005127D" w:rsidRDefault="0005127D" w:rsidP="0005127D">
      <w:pPr>
        <w:tabs>
          <w:tab w:val="left" w:pos="720"/>
        </w:tabs>
        <w:overflowPunct/>
        <w:autoSpaceDE/>
        <w:adjustRightInd/>
        <w:spacing w:before="0"/>
        <w:rPr>
          <w:caps/>
          <w:sz w:val="28"/>
        </w:rPr>
      </w:pPr>
      <w:r>
        <w:rPr>
          <w:rFonts w:ascii="Times New Roman" w:hAnsi="Times New Roman"/>
          <w:szCs w:val="24"/>
          <w:lang w:eastAsia="en-GB"/>
        </w:rPr>
        <w:br w:type="page"/>
      </w:r>
    </w:p>
    <w:p w14:paraId="2500CA32" w14:textId="77777777" w:rsidR="0005127D" w:rsidRDefault="0005127D" w:rsidP="0005127D">
      <w:pPr>
        <w:pStyle w:val="AnnexNo"/>
      </w:pPr>
      <w:r>
        <w:lastRenderedPageBreak/>
        <w:t>Annex 1 to Resolution 2 (</w:t>
      </w:r>
      <w:r>
        <w:rPr>
          <w:caps w:val="0"/>
        </w:rPr>
        <w:t>Rev</w:t>
      </w:r>
      <w:r>
        <w:t xml:space="preserve">. </w:t>
      </w:r>
      <w:r>
        <w:rPr>
          <w:caps w:val="0"/>
        </w:rPr>
        <w:t>Kigali</w:t>
      </w:r>
      <w:r>
        <w:t>, 2022)</w:t>
      </w:r>
    </w:p>
    <w:p w14:paraId="2A59B369" w14:textId="77777777" w:rsidR="0005127D" w:rsidRDefault="0005127D" w:rsidP="0005127D">
      <w:pPr>
        <w:pStyle w:val="Annextitle"/>
      </w:pPr>
      <w:bookmarkStart w:id="6" w:name="_Toc116636435"/>
      <w:r>
        <w:t>Scope of ITU</w:t>
      </w:r>
      <w:r>
        <w:noBreakHyphen/>
        <w:t>D study groups</w:t>
      </w:r>
      <w:bookmarkEnd w:id="6"/>
    </w:p>
    <w:p w14:paraId="4E44956A" w14:textId="77777777" w:rsidR="0005127D" w:rsidRDefault="0005127D" w:rsidP="0005127D">
      <w:pPr>
        <w:pStyle w:val="Heading1"/>
      </w:pPr>
      <w:bookmarkStart w:id="7" w:name="_Toc116556643"/>
      <w:bookmarkStart w:id="8" w:name="_Toc116557196"/>
      <w:bookmarkStart w:id="9" w:name="_Toc116636436"/>
      <w:r>
        <w:t>1</w:t>
      </w:r>
      <w:r>
        <w:tab/>
        <w:t>Study Group 1</w:t>
      </w:r>
      <w:bookmarkEnd w:id="7"/>
      <w:bookmarkEnd w:id="8"/>
      <w:bookmarkEnd w:id="9"/>
    </w:p>
    <w:p w14:paraId="3824EE48" w14:textId="77777777" w:rsidR="0005127D" w:rsidRDefault="0005127D" w:rsidP="0005127D">
      <w:pPr>
        <w:rPr>
          <w:b/>
        </w:rPr>
      </w:pPr>
      <w:r w:rsidRPr="0005127D">
        <w:rPr>
          <w:rStyle w:val="HeadingbChar"/>
          <w:lang w:val="en-GB"/>
        </w:rPr>
        <w:t>Enabling environment for meaningful connectivity</w:t>
      </w:r>
      <w:r>
        <w:rPr>
          <w:rStyle w:val="FootnoteReference"/>
          <w:rFonts w:eastAsiaTheme="majorEastAsia" w:cs="Times New Roman"/>
          <w:b/>
        </w:rPr>
        <w:footnoteReference w:id="2"/>
      </w:r>
    </w:p>
    <w:p w14:paraId="7BD613C6" w14:textId="77777777" w:rsidR="0005127D" w:rsidRDefault="0005127D" w:rsidP="0005127D">
      <w:pPr>
        <w:pStyle w:val="enumlev1"/>
        <w:rPr>
          <w:rFonts w:cstheme="minorHAnsi"/>
        </w:rPr>
      </w:pPr>
      <w:r>
        <w:t>–</w:t>
      </w:r>
      <w:r>
        <w:tab/>
      </w:r>
      <w:r>
        <w:rPr>
          <w:rFonts w:cstheme="minorHAnsi"/>
        </w:rPr>
        <w:t>National policy and regulatory aspects of broadband telecommunication/ICT development</w:t>
      </w:r>
    </w:p>
    <w:p w14:paraId="5EC1880B" w14:textId="77777777" w:rsidR="0005127D" w:rsidRDefault="0005127D" w:rsidP="0005127D">
      <w:pPr>
        <w:pStyle w:val="enumlev1"/>
        <w:rPr>
          <w:rFonts w:cs="Times New Roman"/>
        </w:rPr>
      </w:pPr>
      <w:r>
        <w:t>–</w:t>
      </w:r>
      <w:r>
        <w:tab/>
        <w:t>Economic aspects in the field of national telecommunications/ICTs, including facilitating the implementation of the digital economy and the provision of telecommunication/ICT services,</w:t>
      </w:r>
      <w:r>
        <w:rPr>
          <w:rFonts w:cstheme="minorHAnsi"/>
        </w:rPr>
        <w:t xml:space="preserve"> including for rural and remote areas</w:t>
      </w:r>
    </w:p>
    <w:p w14:paraId="418CE43D" w14:textId="77777777" w:rsidR="0005127D" w:rsidRDefault="0005127D" w:rsidP="0005127D">
      <w:pPr>
        <w:pStyle w:val="enumlev1"/>
      </w:pPr>
      <w:r>
        <w:t>–</w:t>
      </w:r>
      <w:r>
        <w:tab/>
        <w:t xml:space="preserve">National approaches for providing access to telecommunications/ICTs in rural and remote areas, </w:t>
      </w:r>
      <w:r>
        <w:rPr>
          <w:szCs w:val="24"/>
        </w:rPr>
        <w:t>with special focus on developing countries, including least developed countries, small island developing states, landlocked developing countries and countries with economies in transition</w:t>
      </w:r>
    </w:p>
    <w:p w14:paraId="551CD49F" w14:textId="77777777" w:rsidR="0005127D" w:rsidRDefault="0005127D" w:rsidP="0005127D">
      <w:pPr>
        <w:pStyle w:val="enumlev1"/>
      </w:pPr>
      <w:r>
        <w:t>–</w:t>
      </w:r>
      <w:r>
        <w:tab/>
        <w:t>Access to telecommunication/ICT services to enable inclusive communications, especially for persons with disabilities and persons with specific needs</w:t>
      </w:r>
    </w:p>
    <w:p w14:paraId="4E15B725" w14:textId="77777777" w:rsidR="0005127D" w:rsidRDefault="0005127D" w:rsidP="0005127D">
      <w:pPr>
        <w:pStyle w:val="enumlev1"/>
      </w:pPr>
      <w:r>
        <w:rPr>
          <w:sz w:val="22"/>
          <w:szCs w:val="18"/>
        </w:rPr>
        <w:t>–</w:t>
      </w:r>
      <w:r>
        <w:rPr>
          <w:sz w:val="22"/>
          <w:szCs w:val="18"/>
        </w:rPr>
        <w:tab/>
      </w:r>
      <w:r>
        <w:t>Migration and adoption of digital technologies for broadcasting for different environments</w:t>
      </w:r>
    </w:p>
    <w:p w14:paraId="321FE90C" w14:textId="77777777" w:rsidR="0005127D" w:rsidRDefault="0005127D" w:rsidP="0005127D">
      <w:pPr>
        <w:pStyle w:val="enumlev1"/>
      </w:pPr>
      <w:r>
        <w:rPr>
          <w:sz w:val="22"/>
          <w:szCs w:val="18"/>
        </w:rPr>
        <w:t>–</w:t>
      </w:r>
      <w:r>
        <w:rPr>
          <w:rFonts w:cstheme="minorHAnsi"/>
        </w:rPr>
        <w:tab/>
        <w:t>Use of telecommunications/ICTs for disaster risk reduction and management, particularly in developing countries</w:t>
      </w:r>
    </w:p>
    <w:p w14:paraId="0D3C4CB3" w14:textId="77777777" w:rsidR="0005127D" w:rsidRDefault="0005127D" w:rsidP="0005127D">
      <w:pPr>
        <w:pStyle w:val="enumlev1"/>
      </w:pPr>
      <w:r>
        <w:rPr>
          <w:sz w:val="22"/>
          <w:szCs w:val="18"/>
        </w:rPr>
        <w:t>–</w:t>
      </w:r>
      <w:r>
        <w:tab/>
        <w:t>Consumer information, protection and rights for telecommunication/ICT services, especially for vulnerable groups.</w:t>
      </w:r>
    </w:p>
    <w:p w14:paraId="5D57329C" w14:textId="77777777" w:rsidR="0005127D" w:rsidRDefault="0005127D" w:rsidP="0005127D">
      <w:pPr>
        <w:pStyle w:val="Heading1"/>
      </w:pPr>
      <w:bookmarkStart w:id="10" w:name="_Toc116556644"/>
      <w:bookmarkStart w:id="11" w:name="_Toc116557197"/>
      <w:bookmarkStart w:id="12" w:name="_Toc116636437"/>
      <w:r>
        <w:t>2</w:t>
      </w:r>
      <w:r>
        <w:tab/>
        <w:t>Study Group 2</w:t>
      </w:r>
      <w:bookmarkEnd w:id="10"/>
      <w:bookmarkEnd w:id="11"/>
      <w:bookmarkEnd w:id="12"/>
    </w:p>
    <w:p w14:paraId="753D84BA" w14:textId="77777777" w:rsidR="0005127D" w:rsidRDefault="0005127D" w:rsidP="0005127D">
      <w:pPr>
        <w:pStyle w:val="Headingb"/>
        <w:rPr>
          <w:strike/>
          <w:sz w:val="28"/>
          <w:lang w:val="en-GB"/>
        </w:rPr>
      </w:pPr>
      <w:r>
        <w:rPr>
          <w:lang w:val="en-GB"/>
        </w:rPr>
        <w:t>Digital transformation</w:t>
      </w:r>
    </w:p>
    <w:p w14:paraId="5419CFA7" w14:textId="77777777" w:rsidR="0005127D" w:rsidRDefault="0005127D" w:rsidP="0005127D">
      <w:pPr>
        <w:pStyle w:val="enumlev1"/>
      </w:pPr>
      <w:r>
        <w:t>–</w:t>
      </w:r>
      <w:r>
        <w:tab/>
        <w:t xml:space="preserve">Telecommunications/ICTs for e-services, including e-health and e-education </w:t>
      </w:r>
    </w:p>
    <w:p w14:paraId="7D400BB6" w14:textId="77777777" w:rsidR="0005127D" w:rsidRDefault="0005127D" w:rsidP="0005127D">
      <w:pPr>
        <w:pStyle w:val="enumlev1"/>
      </w:pPr>
      <w:r>
        <w:t>–</w:t>
      </w:r>
      <w:r>
        <w:tab/>
        <w:t>Building confidence and security in the use of ICTs</w:t>
      </w:r>
    </w:p>
    <w:p w14:paraId="1D0E415A" w14:textId="77777777" w:rsidR="0005127D" w:rsidRDefault="0005127D" w:rsidP="0005127D">
      <w:pPr>
        <w:pStyle w:val="enumlev1"/>
      </w:pPr>
      <w:r>
        <w:t>–</w:t>
      </w:r>
      <w:r>
        <w:tab/>
        <w:t>Using telecommunications/ICTs for monitoring and mitigating the impact of climate change, and consideration of circular economy and safe disposal of electronic waste</w:t>
      </w:r>
    </w:p>
    <w:p w14:paraId="46EDD377" w14:textId="77777777" w:rsidR="0005127D" w:rsidRDefault="0005127D" w:rsidP="0005127D">
      <w:pPr>
        <w:tabs>
          <w:tab w:val="left" w:pos="720"/>
        </w:tabs>
        <w:overflowPunct/>
        <w:autoSpaceDE/>
        <w:adjustRightInd/>
        <w:spacing w:before="0"/>
      </w:pPr>
      <w:r>
        <w:rPr>
          <w:rFonts w:ascii="Times New Roman" w:hAnsi="Times New Roman"/>
          <w:szCs w:val="24"/>
          <w:lang w:eastAsia="en-GB"/>
        </w:rPr>
        <w:br w:type="page"/>
      </w:r>
    </w:p>
    <w:p w14:paraId="2CD657CB" w14:textId="77777777" w:rsidR="0005127D" w:rsidRDefault="0005127D" w:rsidP="0005127D">
      <w:pPr>
        <w:pStyle w:val="enumlev1"/>
      </w:pPr>
      <w:r>
        <w:lastRenderedPageBreak/>
        <w:t>−</w:t>
      </w:r>
      <w:r>
        <w:tab/>
        <w:t>Combating counterfeit telecommunication/ICT devices and theft of mobile telecommunication devices</w:t>
      </w:r>
    </w:p>
    <w:p w14:paraId="35F2DF3D" w14:textId="77777777" w:rsidR="0005127D" w:rsidRDefault="0005127D" w:rsidP="0005127D">
      <w:pPr>
        <w:pStyle w:val="enumlev1"/>
      </w:pPr>
      <w:r>
        <w:t>−</w:t>
      </w:r>
      <w:r>
        <w:tab/>
        <w:t>Implementation of conformance and interoperability testing for telecommunication/ICT devices and equipment</w:t>
      </w:r>
    </w:p>
    <w:p w14:paraId="416AEE7E" w14:textId="77777777" w:rsidR="0005127D" w:rsidRDefault="0005127D" w:rsidP="0005127D">
      <w:pPr>
        <w:pStyle w:val="enumlev1"/>
      </w:pPr>
      <w:r>
        <w:t>–</w:t>
      </w:r>
      <w:r>
        <w:tab/>
        <w:t>Human exposure to electromagnetic fields</w:t>
      </w:r>
    </w:p>
    <w:p w14:paraId="3E4C2E9E" w14:textId="77777777" w:rsidR="0005127D" w:rsidRDefault="0005127D" w:rsidP="0005127D">
      <w:pPr>
        <w:pStyle w:val="enumlev1"/>
      </w:pPr>
      <w:r>
        <w:t>–</w:t>
      </w:r>
      <w:r>
        <w:tab/>
        <w:t>Challenges</w:t>
      </w:r>
      <w:r>
        <w:rPr>
          <w:rFonts w:cstheme="minorHAnsi"/>
        </w:rPr>
        <w:t xml:space="preserve"> and prospects for developing countries in access to emerging technologies, platforms, applications and use cases </w:t>
      </w:r>
    </w:p>
    <w:p w14:paraId="0BA52AE2" w14:textId="77777777" w:rsidR="0005127D" w:rsidRDefault="0005127D" w:rsidP="0005127D">
      <w:pPr>
        <w:pStyle w:val="enumlev1"/>
      </w:pPr>
      <w:r>
        <w:t>–</w:t>
      </w:r>
      <w:r>
        <w:tab/>
        <w:t>Using telecommunications/ICTs to create smart cities and the information society</w:t>
      </w:r>
    </w:p>
    <w:p w14:paraId="5A6ADE84" w14:textId="77777777" w:rsidR="0005127D" w:rsidRDefault="0005127D" w:rsidP="0005127D">
      <w:pPr>
        <w:pStyle w:val="enumlev1"/>
      </w:pPr>
      <w:r>
        <w:t>–</w:t>
      </w:r>
      <w:r>
        <w:tab/>
        <w:t>Adoption of telecommunications/ICTs and improving digital skills.</w:t>
      </w:r>
    </w:p>
    <w:p w14:paraId="50E7538E" w14:textId="77777777" w:rsidR="0005127D" w:rsidRDefault="0005127D" w:rsidP="0005127D">
      <w:pPr>
        <w:tabs>
          <w:tab w:val="left" w:pos="720"/>
        </w:tabs>
        <w:overflowPunct/>
        <w:autoSpaceDE/>
        <w:adjustRightInd/>
        <w:spacing w:before="0"/>
      </w:pPr>
    </w:p>
    <w:p w14:paraId="557D541D" w14:textId="77777777" w:rsidR="0005127D" w:rsidRDefault="0005127D" w:rsidP="0005127D">
      <w:pPr>
        <w:tabs>
          <w:tab w:val="left" w:pos="720"/>
        </w:tabs>
        <w:overflowPunct/>
        <w:autoSpaceDE/>
        <w:adjustRightInd/>
        <w:spacing w:before="0"/>
      </w:pPr>
    </w:p>
    <w:p w14:paraId="4410BB18" w14:textId="77777777" w:rsidR="0005127D" w:rsidRDefault="0005127D" w:rsidP="0005127D">
      <w:pPr>
        <w:tabs>
          <w:tab w:val="left" w:pos="720"/>
        </w:tabs>
        <w:overflowPunct/>
        <w:autoSpaceDE/>
        <w:adjustRightInd/>
        <w:spacing w:before="0"/>
      </w:pPr>
    </w:p>
    <w:p w14:paraId="50E66A66" w14:textId="77777777" w:rsidR="0005127D" w:rsidRDefault="0005127D" w:rsidP="0005127D">
      <w:pPr>
        <w:tabs>
          <w:tab w:val="left" w:pos="720"/>
        </w:tabs>
        <w:overflowPunct/>
        <w:autoSpaceDE/>
        <w:adjustRightInd/>
        <w:spacing w:before="0"/>
      </w:pPr>
    </w:p>
    <w:p w14:paraId="328CAD5D" w14:textId="77777777" w:rsidR="0005127D" w:rsidRDefault="0005127D" w:rsidP="0005127D">
      <w:pPr>
        <w:tabs>
          <w:tab w:val="left" w:pos="720"/>
        </w:tabs>
        <w:overflowPunct/>
        <w:autoSpaceDE/>
        <w:adjustRightInd/>
        <w:spacing w:before="0"/>
      </w:pPr>
    </w:p>
    <w:p w14:paraId="59E38840" w14:textId="77777777" w:rsidR="0005127D" w:rsidRDefault="0005127D" w:rsidP="0005127D">
      <w:pPr>
        <w:tabs>
          <w:tab w:val="left" w:pos="720"/>
        </w:tabs>
        <w:overflowPunct/>
        <w:autoSpaceDE/>
        <w:adjustRightInd/>
        <w:spacing w:before="0"/>
      </w:pPr>
    </w:p>
    <w:p w14:paraId="08EED353" w14:textId="77777777" w:rsidR="0005127D" w:rsidRDefault="0005127D" w:rsidP="0005127D">
      <w:pPr>
        <w:tabs>
          <w:tab w:val="left" w:pos="720"/>
        </w:tabs>
        <w:overflowPunct/>
        <w:autoSpaceDE/>
        <w:adjustRightInd/>
        <w:spacing w:before="0"/>
      </w:pPr>
    </w:p>
    <w:p w14:paraId="4D2DC2FC" w14:textId="77777777" w:rsidR="0005127D" w:rsidRDefault="0005127D" w:rsidP="0005127D">
      <w:pPr>
        <w:tabs>
          <w:tab w:val="left" w:pos="720"/>
        </w:tabs>
        <w:overflowPunct/>
        <w:autoSpaceDE/>
        <w:adjustRightInd/>
        <w:spacing w:before="0"/>
      </w:pPr>
    </w:p>
    <w:p w14:paraId="6F9E2159" w14:textId="77777777" w:rsidR="0005127D" w:rsidRDefault="0005127D" w:rsidP="0005127D">
      <w:pPr>
        <w:tabs>
          <w:tab w:val="left" w:pos="720"/>
        </w:tabs>
        <w:overflowPunct/>
        <w:autoSpaceDE/>
        <w:adjustRightInd/>
        <w:spacing w:before="0"/>
      </w:pPr>
    </w:p>
    <w:p w14:paraId="20725170" w14:textId="77777777" w:rsidR="0005127D" w:rsidRDefault="0005127D" w:rsidP="0005127D">
      <w:pPr>
        <w:tabs>
          <w:tab w:val="left" w:pos="720"/>
        </w:tabs>
        <w:overflowPunct/>
        <w:autoSpaceDE/>
        <w:adjustRightInd/>
        <w:spacing w:before="0"/>
      </w:pPr>
    </w:p>
    <w:p w14:paraId="5CAB0423" w14:textId="77777777" w:rsidR="0005127D" w:rsidRDefault="0005127D" w:rsidP="0005127D">
      <w:pPr>
        <w:tabs>
          <w:tab w:val="left" w:pos="720"/>
        </w:tabs>
        <w:overflowPunct/>
        <w:autoSpaceDE/>
        <w:adjustRightInd/>
        <w:spacing w:before="0"/>
      </w:pPr>
    </w:p>
    <w:p w14:paraId="27CA9360" w14:textId="77777777" w:rsidR="0005127D" w:rsidRDefault="0005127D" w:rsidP="0005127D">
      <w:pPr>
        <w:tabs>
          <w:tab w:val="left" w:pos="720"/>
        </w:tabs>
        <w:overflowPunct/>
        <w:autoSpaceDE/>
        <w:adjustRightInd/>
        <w:spacing w:before="0"/>
      </w:pPr>
    </w:p>
    <w:p w14:paraId="2184897E" w14:textId="77777777" w:rsidR="0005127D" w:rsidRDefault="0005127D" w:rsidP="0005127D">
      <w:pPr>
        <w:tabs>
          <w:tab w:val="left" w:pos="720"/>
        </w:tabs>
        <w:overflowPunct/>
        <w:autoSpaceDE/>
        <w:adjustRightInd/>
        <w:spacing w:before="0"/>
      </w:pPr>
    </w:p>
    <w:p w14:paraId="749B626A" w14:textId="77777777" w:rsidR="0005127D" w:rsidRDefault="0005127D" w:rsidP="0005127D">
      <w:pPr>
        <w:tabs>
          <w:tab w:val="left" w:pos="720"/>
        </w:tabs>
        <w:overflowPunct/>
        <w:autoSpaceDE/>
        <w:adjustRightInd/>
        <w:spacing w:before="0"/>
      </w:pPr>
    </w:p>
    <w:p w14:paraId="081B6CD4" w14:textId="77777777" w:rsidR="0005127D" w:rsidRDefault="0005127D" w:rsidP="0005127D">
      <w:pPr>
        <w:tabs>
          <w:tab w:val="left" w:pos="720"/>
        </w:tabs>
        <w:overflowPunct/>
        <w:autoSpaceDE/>
        <w:adjustRightInd/>
        <w:spacing w:before="0"/>
      </w:pPr>
    </w:p>
    <w:p w14:paraId="1F2ABF49" w14:textId="77777777" w:rsidR="0005127D" w:rsidRDefault="0005127D" w:rsidP="0005127D">
      <w:pPr>
        <w:tabs>
          <w:tab w:val="left" w:pos="720"/>
        </w:tabs>
        <w:overflowPunct/>
        <w:autoSpaceDE/>
        <w:adjustRightInd/>
        <w:spacing w:before="0"/>
        <w:rPr>
          <w:caps/>
          <w:sz w:val="28"/>
        </w:rPr>
      </w:pPr>
      <w:r>
        <w:rPr>
          <w:rFonts w:ascii="Times New Roman" w:hAnsi="Times New Roman"/>
          <w:szCs w:val="24"/>
          <w:lang w:eastAsia="en-GB"/>
        </w:rPr>
        <w:br w:type="page"/>
      </w:r>
    </w:p>
    <w:p w14:paraId="45F904D3" w14:textId="77777777" w:rsidR="0005127D" w:rsidRDefault="0005127D" w:rsidP="0005127D">
      <w:pPr>
        <w:pStyle w:val="AnnexNo"/>
      </w:pPr>
      <w:r>
        <w:lastRenderedPageBreak/>
        <w:t>Annex 2 to Resolution 2 (R</w:t>
      </w:r>
      <w:r>
        <w:rPr>
          <w:caps w:val="0"/>
        </w:rPr>
        <w:t>ev</w:t>
      </w:r>
      <w:r>
        <w:t xml:space="preserve">. </w:t>
      </w:r>
      <w:r>
        <w:rPr>
          <w:caps w:val="0"/>
        </w:rPr>
        <w:t>Kigali</w:t>
      </w:r>
      <w:r>
        <w:t>, 2022)</w:t>
      </w:r>
    </w:p>
    <w:p w14:paraId="7D3ADA0E" w14:textId="77777777" w:rsidR="0005127D" w:rsidRDefault="0005127D" w:rsidP="0005127D">
      <w:pPr>
        <w:pStyle w:val="Annextitle"/>
      </w:pPr>
      <w:bookmarkStart w:id="13" w:name="_Toc116636438"/>
      <w:r>
        <w:t xml:space="preserve">Questions assigned by the World Telecommunication </w:t>
      </w:r>
      <w:r>
        <w:br/>
        <w:t>Development Conference to the ITU</w:t>
      </w:r>
      <w:r>
        <w:noBreakHyphen/>
        <w:t>D study groups</w:t>
      </w:r>
      <w:bookmarkEnd w:id="13"/>
      <w:r>
        <w:t xml:space="preserve"> </w:t>
      </w:r>
    </w:p>
    <w:p w14:paraId="55CC4F42" w14:textId="77777777" w:rsidR="0005127D" w:rsidRDefault="0005127D" w:rsidP="0005127D">
      <w:pPr>
        <w:pStyle w:val="Heading1"/>
      </w:pPr>
      <w:bookmarkStart w:id="14" w:name="_Toc116556645"/>
      <w:bookmarkStart w:id="15" w:name="_Toc116557198"/>
      <w:bookmarkStart w:id="16" w:name="_Toc116636439"/>
      <w:r>
        <w:t>Study Group 1</w:t>
      </w:r>
      <w:bookmarkEnd w:id="14"/>
      <w:bookmarkEnd w:id="15"/>
      <w:bookmarkEnd w:id="16"/>
    </w:p>
    <w:p w14:paraId="1A0980B4" w14:textId="77777777" w:rsidR="0005127D" w:rsidRDefault="0005127D" w:rsidP="0005127D">
      <w:pPr>
        <w:pStyle w:val="enumlev1"/>
        <w:ind w:left="2608" w:hanging="2608"/>
      </w:pPr>
      <w:r>
        <w:rPr>
          <w:bCs/>
        </w:rPr>
        <w:t>–</w:t>
      </w:r>
      <w:r>
        <w:rPr>
          <w:b/>
        </w:rPr>
        <w:tab/>
        <w:t>Question 1/1</w:t>
      </w:r>
      <w:r>
        <w:t>: Strategies and policies for the deployment of broadband in developing countries</w:t>
      </w:r>
    </w:p>
    <w:p w14:paraId="799B382D" w14:textId="77777777" w:rsidR="0005127D" w:rsidRDefault="0005127D" w:rsidP="0005127D">
      <w:pPr>
        <w:pStyle w:val="enumlev1"/>
        <w:ind w:left="2608" w:hanging="2608"/>
      </w:pPr>
      <w:r>
        <w:rPr>
          <w:bCs/>
        </w:rPr>
        <w:t>–</w:t>
      </w:r>
      <w:r>
        <w:rPr>
          <w:b/>
        </w:rPr>
        <w:tab/>
        <w:t>Question 2/1</w:t>
      </w:r>
      <w:r>
        <w:t xml:space="preserve">: Strategies, policies, regulations and methods of migration to and adoption of digital technologies for broadcasting, </w:t>
      </w:r>
      <w:r>
        <w:rPr>
          <w:bCs/>
          <w:szCs w:val="24"/>
        </w:rPr>
        <w:t>including to provide new services for various environments</w:t>
      </w:r>
      <w:r>
        <w:t xml:space="preserve"> </w:t>
      </w:r>
    </w:p>
    <w:p w14:paraId="52C71ECB" w14:textId="77777777" w:rsidR="0005127D" w:rsidRDefault="0005127D" w:rsidP="0005127D">
      <w:pPr>
        <w:pStyle w:val="enumlev1"/>
        <w:ind w:left="2608" w:hanging="2608"/>
      </w:pPr>
      <w:r>
        <w:rPr>
          <w:bCs/>
        </w:rPr>
        <w:t>–</w:t>
      </w:r>
      <w:r>
        <w:rPr>
          <w:b/>
        </w:rPr>
        <w:tab/>
        <w:t>Question 3/1:</w:t>
      </w:r>
      <w:r>
        <w:rPr>
          <w:bCs/>
        </w:rPr>
        <w:t xml:space="preserve"> </w:t>
      </w:r>
      <w:r>
        <w:t>The use of telecommunications/ICTs for disaster risk reduction and management</w:t>
      </w:r>
    </w:p>
    <w:p w14:paraId="3BF522BF" w14:textId="77777777" w:rsidR="0005127D" w:rsidRDefault="0005127D" w:rsidP="0005127D">
      <w:pPr>
        <w:pStyle w:val="enumlev1"/>
        <w:ind w:left="0" w:firstLine="0"/>
      </w:pPr>
      <w:r>
        <w:t>–</w:t>
      </w:r>
      <w:r>
        <w:rPr>
          <w:b/>
          <w:bCs/>
        </w:rPr>
        <w:tab/>
        <w:t>Question 4/1</w:t>
      </w:r>
      <w:r>
        <w:t>: Economic aspects of national telecommunications/ICTs</w:t>
      </w:r>
    </w:p>
    <w:p w14:paraId="4642BA6D" w14:textId="77777777" w:rsidR="0005127D" w:rsidRDefault="0005127D" w:rsidP="0005127D">
      <w:pPr>
        <w:pStyle w:val="enumlev1"/>
        <w:ind w:left="0" w:firstLine="0"/>
      </w:pPr>
      <w:r>
        <w:rPr>
          <w:bCs/>
        </w:rPr>
        <w:t>–</w:t>
      </w:r>
      <w:r>
        <w:rPr>
          <w:b/>
        </w:rPr>
        <w:tab/>
        <w:t>Question 5/1</w:t>
      </w:r>
      <w:r>
        <w:t xml:space="preserve">: Telecommunications/ICTs for rural and remote areas </w:t>
      </w:r>
    </w:p>
    <w:p w14:paraId="08F6B48D" w14:textId="77777777" w:rsidR="0005127D" w:rsidRDefault="0005127D" w:rsidP="0005127D">
      <w:pPr>
        <w:pStyle w:val="enumlev1"/>
        <w:ind w:left="2608" w:hanging="2608"/>
      </w:pPr>
      <w:r>
        <w:rPr>
          <w:bCs/>
        </w:rPr>
        <w:t>–</w:t>
      </w:r>
      <w:r>
        <w:rPr>
          <w:b/>
        </w:rPr>
        <w:tab/>
        <w:t>Question 6/1</w:t>
      </w:r>
      <w:r>
        <w:t>: Consumer information, protection and rights</w:t>
      </w:r>
    </w:p>
    <w:p w14:paraId="7B794D9A" w14:textId="77777777" w:rsidR="0005127D" w:rsidRDefault="0005127D" w:rsidP="0005127D">
      <w:pPr>
        <w:pStyle w:val="enumlev1"/>
        <w:ind w:left="2608" w:hanging="2608"/>
      </w:pPr>
      <w:r>
        <w:rPr>
          <w:bCs/>
        </w:rPr>
        <w:t>–</w:t>
      </w:r>
      <w:r>
        <w:rPr>
          <w:b/>
        </w:rPr>
        <w:tab/>
        <w:t>Question 7/1</w:t>
      </w:r>
      <w:r>
        <w:t xml:space="preserve">: Telecommunication/ICT </w:t>
      </w:r>
      <w:r>
        <w:rPr>
          <w:bCs/>
          <w:szCs w:val="24"/>
        </w:rPr>
        <w:t>accessibility to enable</w:t>
      </w:r>
      <w:r>
        <w:rPr>
          <w:szCs w:val="24"/>
        </w:rPr>
        <w:t xml:space="preserve"> inclusive</w:t>
      </w:r>
      <w:r>
        <w:rPr>
          <w:b/>
        </w:rPr>
        <w:t xml:space="preserve"> </w:t>
      </w:r>
      <w:r>
        <w:rPr>
          <w:bCs/>
          <w:szCs w:val="24"/>
        </w:rPr>
        <w:t>communication,</w:t>
      </w:r>
      <w:r>
        <w:rPr>
          <w:b/>
          <w:bCs/>
          <w:szCs w:val="24"/>
        </w:rPr>
        <w:t xml:space="preserve"> </w:t>
      </w:r>
      <w:r>
        <w:rPr>
          <w:szCs w:val="24"/>
        </w:rPr>
        <w:t xml:space="preserve">especially for persons with disabilities. </w:t>
      </w:r>
    </w:p>
    <w:p w14:paraId="77A2F89D" w14:textId="77777777" w:rsidR="0005127D" w:rsidRDefault="0005127D" w:rsidP="0005127D">
      <w:pPr>
        <w:pStyle w:val="Heading1"/>
      </w:pPr>
      <w:bookmarkStart w:id="17" w:name="_Toc116556646"/>
      <w:bookmarkStart w:id="18" w:name="_Toc116557199"/>
      <w:bookmarkStart w:id="19" w:name="_Toc116636440"/>
      <w:r>
        <w:t>Study Group 2</w:t>
      </w:r>
      <w:bookmarkEnd w:id="17"/>
      <w:bookmarkEnd w:id="18"/>
      <w:bookmarkEnd w:id="19"/>
    </w:p>
    <w:p w14:paraId="42289FFD" w14:textId="77777777" w:rsidR="0005127D" w:rsidRDefault="0005127D" w:rsidP="0005127D">
      <w:pPr>
        <w:pStyle w:val="enumlev1"/>
        <w:ind w:left="0" w:firstLine="0"/>
      </w:pPr>
      <w:r>
        <w:t>–</w:t>
      </w:r>
      <w:r>
        <w:rPr>
          <w:b/>
          <w:bCs/>
        </w:rPr>
        <w:tab/>
        <w:t>Question 1/2:</w:t>
      </w:r>
      <w:r>
        <w:t xml:space="preserve"> Smart sustainable cities and communities</w:t>
      </w:r>
    </w:p>
    <w:p w14:paraId="2B8E779E" w14:textId="77777777" w:rsidR="0005127D" w:rsidRDefault="0005127D" w:rsidP="0005127D">
      <w:pPr>
        <w:pStyle w:val="enumlev1"/>
        <w:ind w:left="2608" w:hanging="2608"/>
      </w:pPr>
      <w:r>
        <w:rPr>
          <w:bCs/>
        </w:rPr>
        <w:t>–</w:t>
      </w:r>
      <w:r>
        <w:rPr>
          <w:b/>
        </w:rPr>
        <w:tab/>
        <w:t>Question 2/2</w:t>
      </w:r>
      <w:r>
        <w:t xml:space="preserve">: Enabling technologies for e-services and applications, including e-health and e-education </w:t>
      </w:r>
    </w:p>
    <w:p w14:paraId="138F9F8C" w14:textId="77777777" w:rsidR="0005127D" w:rsidRDefault="0005127D" w:rsidP="0005127D">
      <w:pPr>
        <w:pStyle w:val="enumlev1"/>
        <w:ind w:left="2608" w:hanging="2608"/>
      </w:pPr>
      <w:r>
        <w:rPr>
          <w:bCs/>
        </w:rPr>
        <w:t>–</w:t>
      </w:r>
      <w:r>
        <w:rPr>
          <w:b/>
        </w:rPr>
        <w:tab/>
      </w:r>
      <w:r>
        <w:rPr>
          <w:b/>
          <w:bCs/>
        </w:rPr>
        <w:t>Question 3/2</w:t>
      </w:r>
      <w:r>
        <w:t xml:space="preserve">: Securing information and communication networks: Best practices for developing a culture of cybersecurity </w:t>
      </w:r>
    </w:p>
    <w:p w14:paraId="07E88BB7" w14:textId="77777777" w:rsidR="0005127D" w:rsidRDefault="0005127D" w:rsidP="0005127D">
      <w:pPr>
        <w:pStyle w:val="enumlev1"/>
        <w:ind w:left="2608" w:hanging="2608"/>
        <w:rPr>
          <w:b/>
        </w:rPr>
      </w:pPr>
      <w:r>
        <w:rPr>
          <w:bCs/>
        </w:rPr>
        <w:t>–</w:t>
      </w:r>
      <w:r>
        <w:rPr>
          <w:b/>
        </w:rPr>
        <w:tab/>
      </w:r>
      <w:r>
        <w:rPr>
          <w:b/>
          <w:bCs/>
        </w:rPr>
        <w:t>Question 4/2</w:t>
      </w:r>
      <w:r>
        <w:t>: Telecommunication/ICT equipment: Conformance and interoperability, combating counterfeiting and theft of mobile device</w:t>
      </w:r>
      <w:r>
        <w:rPr>
          <w:bCs/>
        </w:rPr>
        <w:t>s</w:t>
      </w:r>
    </w:p>
    <w:p w14:paraId="7F449463" w14:textId="77777777" w:rsidR="0005127D" w:rsidRDefault="0005127D" w:rsidP="0005127D">
      <w:pPr>
        <w:pStyle w:val="enumlev1"/>
        <w:ind w:left="0" w:firstLine="0"/>
      </w:pPr>
      <w:r>
        <w:rPr>
          <w:bCs/>
        </w:rPr>
        <w:t>–</w:t>
      </w:r>
      <w:r>
        <w:rPr>
          <w:b/>
        </w:rPr>
        <w:tab/>
        <w:t>Question 5/2</w:t>
      </w:r>
      <w:r>
        <w:rPr>
          <w:bCs/>
        </w:rPr>
        <w:t xml:space="preserve">: </w:t>
      </w:r>
      <w:r>
        <w:t>Adoption of telecommunications/ICTs and improving digital skills</w:t>
      </w:r>
    </w:p>
    <w:p w14:paraId="04FDA0EA" w14:textId="77777777" w:rsidR="0005127D" w:rsidRDefault="0005127D" w:rsidP="0005127D">
      <w:pPr>
        <w:pStyle w:val="enumlev1"/>
        <w:ind w:left="2608" w:hanging="2608"/>
      </w:pPr>
      <w:r>
        <w:rPr>
          <w:bCs/>
        </w:rPr>
        <w:t>–</w:t>
      </w:r>
      <w:r>
        <w:rPr>
          <w:b/>
        </w:rPr>
        <w:tab/>
        <w:t>Question 6/2</w:t>
      </w:r>
      <w:r>
        <w:t>: ICTs for the environment</w:t>
      </w:r>
    </w:p>
    <w:p w14:paraId="1112E9BB" w14:textId="77777777" w:rsidR="0005127D" w:rsidRDefault="0005127D" w:rsidP="0005127D">
      <w:pPr>
        <w:pStyle w:val="enumlev1"/>
        <w:ind w:left="2608" w:hanging="2608"/>
      </w:pPr>
      <w:r>
        <w:rPr>
          <w:bCs/>
        </w:rPr>
        <w:t>–</w:t>
      </w:r>
      <w:r>
        <w:rPr>
          <w:b/>
        </w:rPr>
        <w:tab/>
        <w:t>Question 7/2</w:t>
      </w:r>
      <w:r>
        <w:t>: Strategies and policies concerning human exposure to electromagnetic fields.</w:t>
      </w:r>
    </w:p>
    <w:p w14:paraId="1D9D71AB" w14:textId="77777777" w:rsidR="0005127D" w:rsidRDefault="0005127D" w:rsidP="0005127D">
      <w:pPr>
        <w:tabs>
          <w:tab w:val="left" w:pos="720"/>
        </w:tabs>
        <w:overflowPunct/>
        <w:autoSpaceDE/>
        <w:adjustRightInd/>
        <w:spacing w:before="0"/>
        <w:rPr>
          <w:caps/>
          <w:sz w:val="28"/>
        </w:rPr>
      </w:pPr>
      <w:r>
        <w:rPr>
          <w:rFonts w:ascii="Times New Roman" w:hAnsi="Times New Roman"/>
          <w:szCs w:val="24"/>
          <w:lang w:eastAsia="en-GB"/>
        </w:rPr>
        <w:br w:type="page"/>
      </w:r>
    </w:p>
    <w:p w14:paraId="3C1E7295" w14:textId="77777777" w:rsidR="0005127D" w:rsidRDefault="0005127D" w:rsidP="0005127D">
      <w:pPr>
        <w:pStyle w:val="AnnexNo"/>
      </w:pPr>
      <w:r>
        <w:lastRenderedPageBreak/>
        <w:t>Annex 3 to Resolution 2 (R</w:t>
      </w:r>
      <w:r>
        <w:rPr>
          <w:caps w:val="0"/>
        </w:rPr>
        <w:t>ev</w:t>
      </w:r>
      <w:r>
        <w:t xml:space="preserve">. </w:t>
      </w:r>
      <w:r>
        <w:rPr>
          <w:caps w:val="0"/>
        </w:rPr>
        <w:t>Kigali</w:t>
      </w:r>
      <w:r>
        <w:t>, 2022)</w:t>
      </w:r>
    </w:p>
    <w:p w14:paraId="771E8036" w14:textId="77777777" w:rsidR="0005127D" w:rsidRDefault="0005127D" w:rsidP="0005127D">
      <w:pPr>
        <w:pStyle w:val="Annextitle"/>
      </w:pPr>
      <w:bookmarkStart w:id="20" w:name="_Toc116636441"/>
      <w:r>
        <w:t>List of chairmen and vice-chairmen</w:t>
      </w:r>
      <w:bookmarkEnd w:id="20"/>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7212"/>
      </w:tblGrid>
      <w:tr w:rsidR="0005127D" w14:paraId="5C6B8309" w14:textId="77777777" w:rsidTr="0005127D">
        <w:tc>
          <w:tcPr>
            <w:tcW w:w="2467" w:type="dxa"/>
            <w:hideMark/>
          </w:tcPr>
          <w:p w14:paraId="68299FC3" w14:textId="77777777" w:rsidR="0005127D" w:rsidRDefault="0005127D">
            <w:pPr>
              <w:pStyle w:val="Headingb"/>
              <w:framePr w:hSpace="180" w:wrap="around" w:vAnchor="text" w:hAnchor="text" w:x="-5" w:y="1"/>
            </w:pPr>
            <w:r>
              <w:t>Study Group 1</w:t>
            </w:r>
          </w:p>
        </w:tc>
        <w:tc>
          <w:tcPr>
            <w:tcW w:w="7388" w:type="dxa"/>
          </w:tcPr>
          <w:p w14:paraId="1FE2D754" w14:textId="77777777" w:rsidR="0005127D" w:rsidRDefault="0005127D">
            <w:pPr>
              <w:pStyle w:val="Tabletext"/>
              <w:framePr w:hSpace="180" w:wrap="around" w:vAnchor="text" w:hAnchor="text" w:x="-5" w:y="1"/>
              <w:rPr>
                <w:rFonts w:cstheme="minorBidi"/>
              </w:rPr>
            </w:pPr>
          </w:p>
        </w:tc>
      </w:tr>
      <w:tr w:rsidR="0005127D" w:rsidRPr="00146425" w14:paraId="5B1045DE" w14:textId="77777777" w:rsidTr="0005127D">
        <w:tc>
          <w:tcPr>
            <w:tcW w:w="2467" w:type="dxa"/>
            <w:hideMark/>
          </w:tcPr>
          <w:p w14:paraId="238EE216" w14:textId="77777777" w:rsidR="0005127D" w:rsidRDefault="0005127D">
            <w:pPr>
              <w:pStyle w:val="Tablehead"/>
              <w:framePr w:hSpace="180" w:wrap="around" w:vAnchor="text" w:hAnchor="text" w:x="-5" w:y="1"/>
            </w:pPr>
            <w:r>
              <w:t xml:space="preserve">Chairman: </w:t>
            </w:r>
          </w:p>
        </w:tc>
        <w:tc>
          <w:tcPr>
            <w:tcW w:w="7388" w:type="dxa"/>
            <w:hideMark/>
          </w:tcPr>
          <w:p w14:paraId="3B843C76" w14:textId="77777777" w:rsidR="0005127D" w:rsidRDefault="0005127D">
            <w:pPr>
              <w:pStyle w:val="Tabletext"/>
              <w:framePr w:hSpace="180" w:wrap="around" w:vAnchor="text" w:hAnchor="text" w:x="-5" w:y="1"/>
              <w:rPr>
                <w:rFonts w:cstheme="minorBidi"/>
                <w:lang w:val="fr-FR"/>
              </w:rPr>
            </w:pPr>
            <w:r>
              <w:rPr>
                <w:rFonts w:cstheme="minorBidi"/>
                <w:lang w:val="fr-FR"/>
              </w:rPr>
              <w:t>Ms Regina Fleur Assoumou Bessou (Côte d'Ivoire)</w:t>
            </w:r>
          </w:p>
        </w:tc>
      </w:tr>
      <w:tr w:rsidR="0005127D" w14:paraId="2494330E" w14:textId="77777777" w:rsidTr="0005127D">
        <w:trPr>
          <w:trHeight w:val="3689"/>
        </w:trPr>
        <w:tc>
          <w:tcPr>
            <w:tcW w:w="2467" w:type="dxa"/>
            <w:hideMark/>
          </w:tcPr>
          <w:p w14:paraId="1A554F09" w14:textId="77777777" w:rsidR="0005127D" w:rsidRDefault="0005127D">
            <w:pPr>
              <w:pStyle w:val="Tablehead"/>
              <w:framePr w:hSpace="180" w:wrap="around" w:vAnchor="text" w:hAnchor="text" w:x="-5" w:y="1"/>
              <w:rPr>
                <w:lang w:val="en-GB"/>
              </w:rPr>
            </w:pPr>
            <w:r>
              <w:t>Vice-chairmen:</w:t>
            </w:r>
          </w:p>
        </w:tc>
        <w:tc>
          <w:tcPr>
            <w:tcW w:w="7388" w:type="dxa"/>
            <w:hideMark/>
          </w:tcPr>
          <w:p w14:paraId="55C5C9A3" w14:textId="77777777" w:rsidR="0005127D" w:rsidRDefault="0005127D">
            <w:pPr>
              <w:pStyle w:val="Tabletext"/>
              <w:framePr w:hSpace="180" w:wrap="around" w:vAnchor="text" w:hAnchor="text" w:x="-5" w:y="1"/>
              <w:rPr>
                <w:rFonts w:cstheme="minorBidi"/>
              </w:rPr>
            </w:pPr>
            <w:r>
              <w:rPr>
                <w:rFonts w:cstheme="minorBidi"/>
              </w:rPr>
              <w:t>Mr Sangwon Ko (Republic of Korea)</w:t>
            </w:r>
          </w:p>
          <w:p w14:paraId="1FD542FD" w14:textId="77777777" w:rsidR="0005127D" w:rsidRDefault="0005127D">
            <w:pPr>
              <w:pStyle w:val="Tabletext"/>
              <w:framePr w:hSpace="180" w:wrap="around" w:vAnchor="text" w:hAnchor="text" w:x="-5" w:y="1"/>
              <w:rPr>
                <w:rFonts w:cstheme="minorBidi"/>
              </w:rPr>
            </w:pPr>
            <w:r>
              <w:rPr>
                <w:rFonts w:cstheme="minorBidi"/>
              </w:rPr>
              <w:t>Ms Memiko Otsuki (Japan) </w:t>
            </w:r>
          </w:p>
          <w:p w14:paraId="5377B668" w14:textId="77777777" w:rsidR="0005127D" w:rsidRDefault="0005127D">
            <w:pPr>
              <w:pStyle w:val="Tabletext"/>
              <w:framePr w:hSpace="180" w:wrap="around" w:vAnchor="text" w:hAnchor="text" w:x="-5" w:y="1"/>
              <w:rPr>
                <w:rFonts w:cstheme="minorBidi"/>
              </w:rPr>
            </w:pPr>
            <w:r>
              <w:rPr>
                <w:rFonts w:cstheme="minorBidi"/>
              </w:rPr>
              <w:t>Mr Sunil Singhal (India) </w:t>
            </w:r>
          </w:p>
          <w:p w14:paraId="329D8D19" w14:textId="77777777" w:rsidR="0005127D" w:rsidRDefault="0005127D">
            <w:pPr>
              <w:pStyle w:val="Tabletext"/>
              <w:framePr w:hSpace="180" w:wrap="around" w:vAnchor="text" w:hAnchor="text" w:x="-5" w:y="1"/>
              <w:rPr>
                <w:rFonts w:cstheme="minorBidi"/>
              </w:rPr>
            </w:pPr>
            <w:r>
              <w:rPr>
                <w:rFonts w:cstheme="minorBidi"/>
              </w:rPr>
              <w:t>Ms Caecilia Nyamutswa (Zimbabwe) </w:t>
            </w:r>
          </w:p>
          <w:p w14:paraId="613ABF56" w14:textId="77777777" w:rsidR="0005127D" w:rsidRDefault="0005127D">
            <w:pPr>
              <w:pStyle w:val="Tabletext"/>
              <w:framePr w:hSpace="180" w:wrap="around" w:vAnchor="text" w:hAnchor="text" w:x="-5" w:y="1"/>
              <w:rPr>
                <w:rFonts w:cstheme="minorBidi"/>
              </w:rPr>
            </w:pPr>
            <w:r>
              <w:rPr>
                <w:rFonts w:cstheme="minorBidi"/>
              </w:rPr>
              <w:t>Mr Amah Vinyo Capo (Togo) </w:t>
            </w:r>
          </w:p>
          <w:p w14:paraId="25CB3C7B" w14:textId="77777777" w:rsidR="0005127D" w:rsidRDefault="0005127D">
            <w:pPr>
              <w:pStyle w:val="Tabletext"/>
              <w:framePr w:hSpace="180" w:wrap="around" w:vAnchor="text" w:hAnchor="text" w:x="-5" w:y="1"/>
              <w:rPr>
                <w:rFonts w:cstheme="minorBidi"/>
              </w:rPr>
            </w:pPr>
            <w:r>
              <w:rPr>
                <w:rFonts w:cstheme="minorBidi"/>
              </w:rPr>
              <w:t>Mr Roberto Mitsuake Hirayama (Brazil)</w:t>
            </w:r>
          </w:p>
          <w:p w14:paraId="00DC064A" w14:textId="77777777" w:rsidR="0005127D" w:rsidRDefault="0005127D">
            <w:pPr>
              <w:pStyle w:val="Tabletext"/>
              <w:framePr w:hSpace="180" w:wrap="around" w:vAnchor="text" w:hAnchor="text" w:x="-5" w:y="1"/>
              <w:rPr>
                <w:rFonts w:cstheme="minorBidi"/>
              </w:rPr>
            </w:pPr>
            <w:r>
              <w:rPr>
                <w:rFonts w:cstheme="minorBidi"/>
              </w:rPr>
              <w:t>Mr Mehmet Alper Tekin (Türkiye) </w:t>
            </w:r>
          </w:p>
          <w:p w14:paraId="13EA02ED" w14:textId="77777777" w:rsidR="0005127D" w:rsidRDefault="0005127D">
            <w:pPr>
              <w:pStyle w:val="Tabletext"/>
              <w:framePr w:hSpace="180" w:wrap="around" w:vAnchor="text" w:hAnchor="text" w:x="-5" w:y="1"/>
              <w:rPr>
                <w:rFonts w:cstheme="minorBidi"/>
              </w:rPr>
            </w:pPr>
            <w:r>
              <w:rPr>
                <w:rFonts w:cstheme="minorBidi"/>
              </w:rPr>
              <w:t>Mr Anthony Giannoumis (Norway) </w:t>
            </w:r>
          </w:p>
          <w:p w14:paraId="137F00DD" w14:textId="77777777" w:rsidR="0005127D" w:rsidRDefault="0005127D">
            <w:pPr>
              <w:pStyle w:val="Tabletext"/>
              <w:framePr w:hSpace="180" w:wrap="around" w:vAnchor="text" w:hAnchor="text" w:x="-5" w:y="1"/>
              <w:rPr>
                <w:rFonts w:cstheme="minorBidi"/>
              </w:rPr>
            </w:pPr>
            <w:r>
              <w:rPr>
                <w:rFonts w:cstheme="minorBidi"/>
              </w:rPr>
              <w:t>Ms Umida Musaeva (Uzbekistan) </w:t>
            </w:r>
          </w:p>
          <w:p w14:paraId="0A50D732" w14:textId="77777777" w:rsidR="0005127D" w:rsidRDefault="0005127D">
            <w:pPr>
              <w:pStyle w:val="Tabletext"/>
              <w:framePr w:hSpace="180" w:wrap="around" w:vAnchor="text" w:hAnchor="text" w:x="-5" w:y="1"/>
              <w:rPr>
                <w:rFonts w:cstheme="minorBidi"/>
              </w:rPr>
            </w:pPr>
            <w:r>
              <w:rPr>
                <w:rFonts w:cstheme="minorBidi"/>
              </w:rPr>
              <w:t>Mr Khayala Pashazade (Azerbaijan) </w:t>
            </w:r>
          </w:p>
          <w:p w14:paraId="5A5C5E22" w14:textId="77777777" w:rsidR="0005127D" w:rsidRDefault="0005127D">
            <w:pPr>
              <w:pStyle w:val="Tabletext"/>
              <w:framePr w:hSpace="180" w:wrap="around" w:vAnchor="text" w:hAnchor="text" w:x="-5" w:y="1"/>
              <w:rPr>
                <w:rFonts w:cstheme="minorBidi"/>
              </w:rPr>
            </w:pPr>
            <w:r>
              <w:rPr>
                <w:rFonts w:cstheme="minorBidi"/>
              </w:rPr>
              <w:t>Ms Sameera Belal Momen Mohammad (Kuwait) </w:t>
            </w:r>
          </w:p>
        </w:tc>
      </w:tr>
      <w:tr w:rsidR="0005127D" w14:paraId="2396184E" w14:textId="77777777" w:rsidTr="0005127D">
        <w:tc>
          <w:tcPr>
            <w:tcW w:w="2467" w:type="dxa"/>
            <w:hideMark/>
          </w:tcPr>
          <w:p w14:paraId="64776312" w14:textId="77777777" w:rsidR="0005127D" w:rsidRDefault="0005127D">
            <w:pPr>
              <w:pStyle w:val="Headingb"/>
              <w:framePr w:hSpace="180" w:wrap="around" w:vAnchor="text" w:hAnchor="text" w:x="-5" w:y="1"/>
            </w:pPr>
            <w:r>
              <w:t>Study Group 2</w:t>
            </w:r>
          </w:p>
        </w:tc>
        <w:tc>
          <w:tcPr>
            <w:tcW w:w="7388" w:type="dxa"/>
          </w:tcPr>
          <w:p w14:paraId="53209237" w14:textId="77777777" w:rsidR="0005127D" w:rsidRDefault="0005127D">
            <w:pPr>
              <w:pStyle w:val="Tabletext"/>
              <w:framePr w:hSpace="180" w:wrap="around" w:vAnchor="text" w:hAnchor="text" w:x="-5" w:y="1"/>
              <w:rPr>
                <w:rFonts w:cstheme="minorBidi"/>
              </w:rPr>
            </w:pPr>
          </w:p>
        </w:tc>
      </w:tr>
      <w:tr w:rsidR="0005127D" w14:paraId="67C22AF3" w14:textId="77777777" w:rsidTr="0005127D">
        <w:tc>
          <w:tcPr>
            <w:tcW w:w="2467" w:type="dxa"/>
            <w:hideMark/>
          </w:tcPr>
          <w:p w14:paraId="502F3762" w14:textId="77777777" w:rsidR="0005127D" w:rsidRDefault="0005127D">
            <w:pPr>
              <w:pStyle w:val="Tablehead"/>
              <w:framePr w:hSpace="180" w:wrap="around" w:vAnchor="text" w:hAnchor="text" w:x="-5" w:y="1"/>
            </w:pPr>
            <w:r>
              <w:t xml:space="preserve">Chairman: </w:t>
            </w:r>
          </w:p>
        </w:tc>
        <w:tc>
          <w:tcPr>
            <w:tcW w:w="7388" w:type="dxa"/>
            <w:hideMark/>
          </w:tcPr>
          <w:p w14:paraId="3E6C9CA5" w14:textId="77777777" w:rsidR="0005127D" w:rsidRDefault="0005127D">
            <w:pPr>
              <w:pStyle w:val="Tabletext"/>
              <w:framePr w:hSpace="180" w:wrap="around" w:vAnchor="text" w:hAnchor="text" w:x="-5" w:y="1"/>
              <w:rPr>
                <w:rFonts w:cstheme="minorBidi"/>
              </w:rPr>
            </w:pPr>
            <w:r>
              <w:rPr>
                <w:rFonts w:cstheme="minorBidi"/>
              </w:rPr>
              <w:t>Mr Fadel Digham (Egypt)</w:t>
            </w:r>
          </w:p>
        </w:tc>
      </w:tr>
      <w:tr w:rsidR="0005127D" w14:paraId="7191B39F" w14:textId="77777777" w:rsidTr="0005127D">
        <w:trPr>
          <w:trHeight w:val="3768"/>
        </w:trPr>
        <w:tc>
          <w:tcPr>
            <w:tcW w:w="2467" w:type="dxa"/>
            <w:hideMark/>
          </w:tcPr>
          <w:p w14:paraId="1EF69148" w14:textId="77777777" w:rsidR="0005127D" w:rsidRDefault="0005127D">
            <w:pPr>
              <w:pStyle w:val="Tablehead"/>
              <w:framePr w:hSpace="180" w:wrap="around" w:vAnchor="text" w:hAnchor="text" w:x="-5" w:y="1"/>
            </w:pPr>
            <w:r>
              <w:t>Vice-chairmen:</w:t>
            </w:r>
          </w:p>
        </w:tc>
        <w:tc>
          <w:tcPr>
            <w:tcW w:w="7388" w:type="dxa"/>
            <w:hideMark/>
          </w:tcPr>
          <w:p w14:paraId="74304B4C" w14:textId="77777777" w:rsidR="0005127D" w:rsidRDefault="0005127D">
            <w:pPr>
              <w:pStyle w:val="Tabletext"/>
              <w:framePr w:hSpace="180" w:wrap="around" w:vAnchor="text" w:hAnchor="text" w:x="-5" w:y="1"/>
              <w:rPr>
                <w:rFonts w:cstheme="minorBidi"/>
              </w:rPr>
            </w:pPr>
            <w:r>
              <w:rPr>
                <w:rFonts w:cstheme="minorBidi"/>
              </w:rPr>
              <w:t>Mr Hideo Imanaka (Japan)</w:t>
            </w:r>
          </w:p>
          <w:p w14:paraId="7BC5A222" w14:textId="77777777" w:rsidR="0005127D" w:rsidRDefault="0005127D">
            <w:pPr>
              <w:pStyle w:val="Tabletext"/>
              <w:framePr w:hSpace="180" w:wrap="around" w:vAnchor="text" w:hAnchor="text" w:x="-5" w:y="1"/>
              <w:rPr>
                <w:rFonts w:cstheme="minorBidi"/>
              </w:rPr>
            </w:pPr>
            <w:r>
              <w:rPr>
                <w:rFonts w:cstheme="minorBidi"/>
              </w:rPr>
              <w:t>Ms Mina Seonmin Jun (Republic of Korea) </w:t>
            </w:r>
          </w:p>
          <w:p w14:paraId="67E9F88C" w14:textId="77777777" w:rsidR="0005127D" w:rsidRDefault="0005127D">
            <w:pPr>
              <w:pStyle w:val="Tabletext"/>
              <w:framePr w:hSpace="180" w:wrap="around" w:vAnchor="text" w:hAnchor="text" w:x="-5" w:y="1"/>
              <w:rPr>
                <w:rFonts w:cstheme="minorBidi"/>
              </w:rPr>
            </w:pPr>
            <w:r>
              <w:rPr>
                <w:rFonts w:cstheme="minorBidi"/>
              </w:rPr>
              <w:t>Mr Tongning Wu (China) </w:t>
            </w:r>
          </w:p>
          <w:p w14:paraId="15F0F8FD" w14:textId="77777777" w:rsidR="0005127D" w:rsidRDefault="0005127D">
            <w:pPr>
              <w:pStyle w:val="Tabletext"/>
              <w:framePr w:hSpace="180" w:wrap="around" w:vAnchor="text" w:hAnchor="text" w:x="-5" w:y="1"/>
              <w:rPr>
                <w:rFonts w:cstheme="minorBidi"/>
              </w:rPr>
            </w:pPr>
            <w:r>
              <w:rPr>
                <w:rFonts w:cstheme="minorBidi"/>
              </w:rPr>
              <w:t>Ms Zainab Ardo (Nigeria) </w:t>
            </w:r>
          </w:p>
          <w:p w14:paraId="588CCB7D" w14:textId="77777777" w:rsidR="0005127D" w:rsidRDefault="0005127D">
            <w:pPr>
              <w:pStyle w:val="Tabletext"/>
              <w:framePr w:hSpace="180" w:wrap="around" w:vAnchor="text" w:hAnchor="text" w:x="-5" w:y="1"/>
              <w:rPr>
                <w:rFonts w:cstheme="minorBidi"/>
              </w:rPr>
            </w:pPr>
            <w:r>
              <w:rPr>
                <w:rFonts w:cstheme="minorBidi"/>
              </w:rPr>
              <w:t>Mr Mohamed Lamine Minthe (Guinea) </w:t>
            </w:r>
          </w:p>
          <w:p w14:paraId="2C67627D" w14:textId="77777777" w:rsidR="0005127D" w:rsidRDefault="0005127D">
            <w:pPr>
              <w:pStyle w:val="Tabletext"/>
              <w:framePr w:hSpace="180" w:wrap="around" w:vAnchor="text" w:hAnchor="text" w:x="-5" w:y="1"/>
              <w:rPr>
                <w:rFonts w:cstheme="minorBidi"/>
                <w:lang w:val="es-ES"/>
              </w:rPr>
            </w:pPr>
            <w:r>
              <w:rPr>
                <w:rFonts w:cstheme="minorBidi"/>
                <w:lang w:val="es-ES"/>
              </w:rPr>
              <w:t>Mr Víctor Antonio Martínez Sánchez (Paraguay) </w:t>
            </w:r>
          </w:p>
          <w:p w14:paraId="153A145A" w14:textId="77777777" w:rsidR="0005127D" w:rsidRDefault="0005127D">
            <w:pPr>
              <w:pStyle w:val="Tabletext"/>
              <w:framePr w:hSpace="180" w:wrap="around" w:vAnchor="text" w:hAnchor="text" w:x="-5" w:y="1"/>
              <w:rPr>
                <w:rFonts w:cstheme="minorBidi"/>
                <w:lang w:val="en-GB"/>
              </w:rPr>
            </w:pPr>
            <w:r>
              <w:rPr>
                <w:rFonts w:cstheme="minorBidi"/>
              </w:rPr>
              <w:t>Mr Dominique Würges (France) </w:t>
            </w:r>
          </w:p>
          <w:p w14:paraId="702B8A59" w14:textId="77777777" w:rsidR="0005127D" w:rsidRDefault="0005127D">
            <w:pPr>
              <w:pStyle w:val="Tabletext"/>
              <w:framePr w:hSpace="180" w:wrap="around" w:vAnchor="text" w:hAnchor="text" w:x="-5" w:y="1"/>
              <w:rPr>
                <w:rFonts w:cstheme="minorBidi"/>
              </w:rPr>
            </w:pPr>
            <w:r>
              <w:rPr>
                <w:rFonts w:cstheme="minorBidi"/>
              </w:rPr>
              <w:t>Ms Alina Modan (Romania) </w:t>
            </w:r>
          </w:p>
          <w:p w14:paraId="51676760" w14:textId="77777777" w:rsidR="0005127D" w:rsidRDefault="0005127D">
            <w:pPr>
              <w:pStyle w:val="Tabletext"/>
              <w:framePr w:hSpace="180" w:wrap="around" w:vAnchor="text" w:hAnchor="text" w:x="-5" w:y="1"/>
              <w:rPr>
                <w:rFonts w:cstheme="minorBidi"/>
              </w:rPr>
            </w:pPr>
            <w:r>
              <w:rPr>
                <w:rFonts w:cstheme="minorBidi"/>
              </w:rPr>
              <w:t>Mr Diyor Rajabov (Uzbekistan) </w:t>
            </w:r>
          </w:p>
          <w:p w14:paraId="06F5AF36" w14:textId="77777777" w:rsidR="0005127D" w:rsidRDefault="0005127D">
            <w:pPr>
              <w:pStyle w:val="Tabletext"/>
              <w:framePr w:hSpace="180" w:wrap="around" w:vAnchor="text" w:hAnchor="text" w:x="-5" w:y="1"/>
              <w:rPr>
                <w:rFonts w:cstheme="minorBidi"/>
              </w:rPr>
            </w:pPr>
            <w:r>
              <w:rPr>
                <w:rFonts w:cstheme="minorBidi"/>
              </w:rPr>
              <w:t>Mr Mushfig Guluyev (Azerbaijan) </w:t>
            </w:r>
          </w:p>
          <w:p w14:paraId="1A4F5C39" w14:textId="77777777" w:rsidR="0005127D" w:rsidRDefault="0005127D">
            <w:pPr>
              <w:pStyle w:val="Tabletext"/>
              <w:framePr w:hSpace="180" w:wrap="around" w:vAnchor="text" w:hAnchor="text" w:x="-5" w:y="1"/>
              <w:rPr>
                <w:rFonts w:cstheme="minorBidi"/>
              </w:rPr>
            </w:pPr>
            <w:r>
              <w:rPr>
                <w:rFonts w:cstheme="minorBidi"/>
              </w:rPr>
              <w:t>Mr Abdelaziz Alzarooni (United Arab Emirates) </w:t>
            </w:r>
          </w:p>
        </w:tc>
      </w:tr>
    </w:tbl>
    <w:p w14:paraId="7DA4CE73" w14:textId="77777777" w:rsidR="0005127D" w:rsidRDefault="0005127D" w:rsidP="0005127D">
      <w:pPr>
        <w:tabs>
          <w:tab w:val="left" w:pos="720"/>
        </w:tabs>
        <w:overflowPunct/>
        <w:autoSpaceDE/>
        <w:adjustRightInd/>
        <w:spacing w:before="0"/>
      </w:pPr>
    </w:p>
    <w:p w14:paraId="3690FD00" w14:textId="77777777" w:rsidR="0005127D" w:rsidRDefault="0005127D" w:rsidP="0005127D">
      <w:pPr>
        <w:tabs>
          <w:tab w:val="left" w:pos="720"/>
        </w:tabs>
        <w:overflowPunct/>
        <w:autoSpaceDE/>
        <w:adjustRightInd/>
        <w:spacing w:before="0"/>
      </w:pPr>
    </w:p>
    <w:p w14:paraId="7346C024" w14:textId="77777777" w:rsidR="0005127D" w:rsidRDefault="0005127D" w:rsidP="0005127D">
      <w:pPr>
        <w:tabs>
          <w:tab w:val="left" w:pos="720"/>
        </w:tabs>
        <w:overflowPunct/>
        <w:autoSpaceDE/>
        <w:adjustRightInd/>
        <w:spacing w:before="0"/>
      </w:pPr>
    </w:p>
    <w:p w14:paraId="7C46086E" w14:textId="77777777" w:rsidR="0005127D" w:rsidRDefault="0005127D" w:rsidP="0005127D">
      <w:pPr>
        <w:tabs>
          <w:tab w:val="left" w:pos="720"/>
        </w:tabs>
        <w:overflowPunct/>
        <w:autoSpaceDE/>
        <w:adjustRightInd/>
        <w:spacing w:before="0"/>
      </w:pPr>
    </w:p>
    <w:p w14:paraId="6FC46C31" w14:textId="77777777" w:rsidR="00D67867" w:rsidRDefault="00D67867"/>
    <w:sectPr w:rsidR="00D67867" w:rsidSect="00DB480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7B9C" w14:textId="77777777" w:rsidR="0005127D" w:rsidRDefault="0005127D" w:rsidP="0005127D">
      <w:pPr>
        <w:spacing w:before="0"/>
      </w:pPr>
      <w:r>
        <w:separator/>
      </w:r>
    </w:p>
  </w:endnote>
  <w:endnote w:type="continuationSeparator" w:id="0">
    <w:p w14:paraId="73AB8D3D" w14:textId="77777777" w:rsidR="0005127D" w:rsidRDefault="0005127D" w:rsidP="000512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BAFE" w14:textId="77777777" w:rsidR="00DB4809" w:rsidRPr="00DB4809" w:rsidRDefault="00DB480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CE78" w14:textId="77777777" w:rsidR="00DB4809" w:rsidRPr="00DB4809" w:rsidRDefault="00DB480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B3AA" w14:textId="77777777" w:rsidR="00DB4809" w:rsidRDefault="00DB4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EC08" w14:textId="77777777" w:rsidR="0005127D" w:rsidRDefault="0005127D" w:rsidP="0005127D">
      <w:pPr>
        <w:spacing w:before="0"/>
      </w:pPr>
      <w:r>
        <w:separator/>
      </w:r>
    </w:p>
  </w:footnote>
  <w:footnote w:type="continuationSeparator" w:id="0">
    <w:p w14:paraId="1B7B4E48" w14:textId="77777777" w:rsidR="0005127D" w:rsidRDefault="0005127D" w:rsidP="0005127D">
      <w:pPr>
        <w:spacing w:before="0"/>
      </w:pPr>
      <w:r>
        <w:continuationSeparator/>
      </w:r>
    </w:p>
  </w:footnote>
  <w:footnote w:id="1">
    <w:p w14:paraId="25BE5EC5" w14:textId="77777777" w:rsidR="0005127D" w:rsidRDefault="0005127D" w:rsidP="0074167A">
      <w:pPr>
        <w:pStyle w:val="FootnoteText"/>
        <w:ind w:left="255" w:hanging="255"/>
        <w:rPr>
          <w:lang w:val="en-US"/>
        </w:rPr>
      </w:pPr>
      <w:r>
        <w:rPr>
          <w:rStyle w:val="FootnoteReference"/>
          <w:rFonts w:eastAsiaTheme="majorEastAsia" w:cs="Times New Roman"/>
        </w:rPr>
        <w:footnoteRef/>
      </w:r>
      <w:r>
        <w:t xml:space="preserve"> </w:t>
      </w:r>
      <w:r>
        <w:tab/>
      </w:r>
      <w:r>
        <w:rPr>
          <w:lang w:val="en-US"/>
        </w:rPr>
        <w:t>These include the least developed countries, small island developing states, landlocked developing countries and countries with economies in transition.</w:t>
      </w:r>
    </w:p>
  </w:footnote>
  <w:footnote w:id="2">
    <w:p w14:paraId="13467A52" w14:textId="77777777" w:rsidR="0005127D" w:rsidRDefault="0005127D" w:rsidP="0074167A">
      <w:pPr>
        <w:pStyle w:val="FootnoteText"/>
        <w:ind w:left="255" w:hanging="255"/>
        <w:rPr>
          <w:lang w:val="en-US"/>
        </w:rPr>
      </w:pPr>
      <w:r>
        <w:rPr>
          <w:rStyle w:val="FootnoteReference"/>
          <w:rFonts w:eastAsiaTheme="majorEastAsia" w:cs="Times New Roman"/>
        </w:rPr>
        <w:footnoteRef/>
      </w:r>
      <w:r>
        <w:t xml:space="preserve"> </w:t>
      </w:r>
      <w:r>
        <w:tab/>
      </w:r>
      <w:hyperlink r:id="rId1" w:history="1">
        <w:r>
          <w:rPr>
            <w:rStyle w:val="Hyperlink"/>
            <w:lang w:val="en-US"/>
          </w:rPr>
          <w:t>Meaningful connectivity</w:t>
        </w:r>
      </w:hyperlink>
      <w:r>
        <w:rPr>
          <w:lang w:val="en-US"/>
        </w:rPr>
        <w:t xml:space="preserve"> is a level of connectivity that allows users to have a safe, satisfying, enriching and productive online experience at an affordable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6BAA" w14:textId="6D101AEE" w:rsidR="00DB4809" w:rsidRDefault="00004612" w:rsidP="00DB4809">
    <w:pPr>
      <w:pStyle w:val="Header"/>
      <w:tabs>
        <w:tab w:val="left" w:pos="567"/>
        <w:tab w:val="right" w:pos="9072"/>
        <w:tab w:val="right" w:pos="9639"/>
      </w:tabs>
      <w:jc w:val="left"/>
      <w:rPr>
        <w:sz w:val="16"/>
        <w:szCs w:val="16"/>
      </w:rPr>
    </w:pPr>
    <w:sdt>
      <w:sdtPr>
        <w:rPr>
          <w:sz w:val="16"/>
          <w:szCs w:val="16"/>
        </w:rPr>
        <w:id w:val="-1441836199"/>
        <w:docPartObj>
          <w:docPartGallery w:val="Page Numbers (Top of Page)"/>
          <w:docPartUnique/>
        </w:docPartObj>
      </w:sdtPr>
      <w:sdtEndPr/>
      <w:sdtContent>
        <w:r w:rsidR="00DB4809" w:rsidRPr="00DB4809">
          <w:rPr>
            <w:sz w:val="16"/>
            <w:szCs w:val="16"/>
          </w:rPr>
          <w:fldChar w:fldCharType="begin"/>
        </w:r>
        <w:r w:rsidR="00DB4809" w:rsidRPr="00DB4809">
          <w:rPr>
            <w:sz w:val="16"/>
            <w:szCs w:val="16"/>
          </w:rPr>
          <w:instrText xml:space="preserve"> PAGE   \* MERGEFORMAT </w:instrText>
        </w:r>
        <w:r w:rsidR="00DB4809" w:rsidRPr="00DB4809">
          <w:rPr>
            <w:sz w:val="16"/>
            <w:szCs w:val="16"/>
          </w:rPr>
          <w:fldChar w:fldCharType="separate"/>
        </w:r>
        <w:r w:rsidR="00DB4809" w:rsidRPr="00DB4809">
          <w:rPr>
            <w:sz w:val="16"/>
            <w:szCs w:val="16"/>
          </w:rPr>
          <w:t>164</w:t>
        </w:r>
        <w:r w:rsidR="00DB4809" w:rsidRPr="00DB4809">
          <w:rPr>
            <w:sz w:val="16"/>
            <w:szCs w:val="16"/>
          </w:rPr>
          <w:fldChar w:fldCharType="end"/>
        </w:r>
        <w:r w:rsidR="00DB4809">
          <w:rPr>
            <w:sz w:val="16"/>
            <w:szCs w:val="16"/>
          </w:rPr>
          <w:tab/>
          <w:t xml:space="preserve">WTDC-22 Final Report – Part IV –Resolution </w:t>
        </w:r>
        <w:r w:rsidR="00DB4809">
          <w:rPr>
            <w:sz w:val="16"/>
            <w:szCs w:val="16"/>
          </w:rPr>
          <w:fldChar w:fldCharType="begin"/>
        </w:r>
        <w:r w:rsidR="00DB4809">
          <w:rPr>
            <w:sz w:val="16"/>
            <w:szCs w:val="16"/>
          </w:rPr>
          <w:instrText>styleref href</w:instrText>
        </w:r>
        <w:r w:rsidR="00DB4809">
          <w:rPr>
            <w:sz w:val="16"/>
            <w:szCs w:val="16"/>
          </w:rPr>
          <w:fldChar w:fldCharType="separate"/>
        </w:r>
        <w:r>
          <w:rPr>
            <w:noProof/>
            <w:sz w:val="16"/>
            <w:szCs w:val="16"/>
          </w:rPr>
          <w:t>2</w:t>
        </w:r>
        <w:r w:rsidR="00DB4809">
          <w:rPr>
            <w:sz w:val="16"/>
            <w:szCs w:val="16"/>
          </w:rPr>
          <w:fldChar w:fldCharType="end"/>
        </w:r>
        <w:r w:rsidR="00DB4809">
          <w:tab/>
        </w:r>
      </w:sdtContent>
    </w:sdt>
    <w:r w:rsidR="00DB4809">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737933831"/>
      <w:docPartObj>
        <w:docPartGallery w:val="Page Numbers (Top of Page)"/>
        <w:docPartUnique/>
      </w:docPartObj>
    </w:sdtPr>
    <w:sdtEndPr/>
    <w:sdtContent>
      <w:p w14:paraId="63D33594" w14:textId="1569B841" w:rsidR="00DB4809" w:rsidRDefault="00DB4809" w:rsidP="00DB4809">
        <w:pPr>
          <w:pStyle w:val="Header"/>
          <w:tabs>
            <w:tab w:val="clear" w:pos="9026"/>
            <w:tab w:val="left" w:pos="567"/>
            <w:tab w:val="right" w:pos="9072"/>
            <w:tab w:val="right" w:pos="9639"/>
          </w:tabs>
          <w:jc w:val="left"/>
          <w:rPr>
            <w:sz w:val="16"/>
            <w:szCs w:val="16"/>
          </w:rPr>
        </w:pPr>
        <w:r>
          <w:rPr>
            <w:sz w:val="16"/>
            <w:szCs w:val="16"/>
          </w:rPr>
          <w:tab/>
        </w:r>
        <w:r>
          <w:rPr>
            <w:sz w:val="16"/>
            <w:szCs w:val="16"/>
          </w:rPr>
          <w:tab/>
        </w:r>
        <w:r>
          <w:rPr>
            <w:sz w:val="16"/>
            <w:szCs w:val="16"/>
          </w:rPr>
          <w:tab/>
          <w:t xml:space="preserve">WTDC-22 Final Report – Part IV –Resolution </w:t>
        </w:r>
        <w:r>
          <w:rPr>
            <w:sz w:val="16"/>
            <w:szCs w:val="16"/>
          </w:rPr>
          <w:fldChar w:fldCharType="begin"/>
        </w:r>
        <w:r>
          <w:rPr>
            <w:sz w:val="16"/>
            <w:szCs w:val="16"/>
          </w:rPr>
          <w:instrText>styleref href</w:instrText>
        </w:r>
        <w:r>
          <w:rPr>
            <w:sz w:val="16"/>
            <w:szCs w:val="16"/>
          </w:rPr>
          <w:fldChar w:fldCharType="separate"/>
        </w:r>
        <w:r w:rsidR="00004612">
          <w:rPr>
            <w:noProof/>
            <w:sz w:val="16"/>
            <w:szCs w:val="16"/>
          </w:rPr>
          <w:t>2</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165</w:t>
        </w:r>
        <w:r>
          <w:rPr>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07F7" w14:textId="77777777" w:rsidR="00DB4809" w:rsidRDefault="00DB4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4612"/>
    <w:rsid w:val="0005127D"/>
    <w:rsid w:val="00146425"/>
    <w:rsid w:val="00482F0D"/>
    <w:rsid w:val="0074167A"/>
    <w:rsid w:val="00D67867"/>
    <w:rsid w:val="00DB4809"/>
    <w:rsid w:val="00EB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
    <w:semiHidden/>
    <w:unhideWhenUsed/>
    <w:rsid w:val="0005127D"/>
    <w:rPr>
      <w:color w:val="0000FF"/>
      <w:u w:val="single"/>
    </w:rPr>
  </w:style>
  <w:style w:type="paragraph" w:styleId="FootnoteText">
    <w:name w:val="footnote text"/>
    <w:basedOn w:val="Normal"/>
    <w:link w:val="FootnoteTextChar"/>
    <w:semiHidden/>
    <w:unhideWhenUsed/>
    <w:rsid w:val="0005127D"/>
    <w:pPr>
      <w:keepLines/>
      <w:tabs>
        <w:tab w:val="left" w:pos="255"/>
      </w:tabs>
    </w:pPr>
    <w:rPr>
      <w:sz w:val="22"/>
    </w:rPr>
  </w:style>
  <w:style w:type="character" w:customStyle="1" w:styleId="FootnoteTextChar">
    <w:name w:val="Footnote Text Char"/>
    <w:basedOn w:val="DefaultParagraphFont"/>
    <w:link w:val="FootnoteText"/>
    <w:semiHidden/>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semiHidden/>
    <w:unhideWhenUsed/>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basedOn w:val="TableNormal"/>
    <w:uiPriority w:val="39"/>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1"/>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1"/>
    <w:rsid w:val="00DB4809"/>
    <w:rPr>
      <w:rFonts w:eastAsia="Times New Roman" w:cs="Times New Roman"/>
      <w:kern w:val="0"/>
      <w:sz w:val="24"/>
      <w:szCs w:val="20"/>
      <w14:ligatures w14:val="none"/>
    </w:rPr>
  </w:style>
  <w:style w:type="paragraph" w:styleId="Footer">
    <w:name w:val="footer"/>
    <w:basedOn w:val="Normal"/>
    <w:link w:val="FooterChar"/>
    <w:uiPriority w:val="99"/>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uiPriority w:val="99"/>
    <w:rsid w:val="00DB4809"/>
    <w:rPr>
      <w:rFonts w:eastAsia="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Yonga Omondi, Rose</dc:creator>
  <cp:keywords/>
  <dc:description/>
  <cp:lastModifiedBy>Yonga Omondi, Rose</cp:lastModifiedBy>
  <cp:revision>6</cp:revision>
  <cp:lastPrinted>2023-10-16T11:24:00Z</cp:lastPrinted>
  <dcterms:created xsi:type="dcterms:W3CDTF">2023-10-16T10:41:00Z</dcterms:created>
  <dcterms:modified xsi:type="dcterms:W3CDTF">2023-10-16T11:26:00Z</dcterms:modified>
</cp:coreProperties>
</file>