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6460" w14:textId="77777777" w:rsidR="00677974" w:rsidRPr="007D4F79" w:rsidRDefault="00677974" w:rsidP="00677974">
      <w:pPr>
        <w:pStyle w:val="ResNo"/>
        <w:rPr>
          <w:lang w:val="fr-FR"/>
        </w:rPr>
      </w:pPr>
      <w:bookmarkStart w:id="0" w:name="_Toc116542338"/>
      <w:r w:rsidRPr="007D4F79">
        <w:rPr>
          <w:lang w:val="fr-FR"/>
        </w:rPr>
        <w:t>RÉSOLUTION 18 (R</w:t>
      </w:r>
      <w:r w:rsidRPr="007D4F79">
        <w:rPr>
          <w:caps w:val="0"/>
          <w:lang w:val="fr-FR"/>
        </w:rPr>
        <w:t xml:space="preserve">év. </w:t>
      </w:r>
      <w:r w:rsidRPr="007D4F79">
        <w:rPr>
          <w:lang w:val="fr-FR"/>
        </w:rPr>
        <w:t>K</w:t>
      </w:r>
      <w:r w:rsidRPr="007D4F79">
        <w:rPr>
          <w:caps w:val="0"/>
          <w:lang w:val="fr-FR"/>
        </w:rPr>
        <w:t>igali</w:t>
      </w:r>
      <w:r w:rsidRPr="007D4F79">
        <w:rPr>
          <w:lang w:val="fr-FR"/>
        </w:rPr>
        <w:t>, 2022)</w:t>
      </w:r>
      <w:bookmarkEnd w:id="0"/>
    </w:p>
    <w:p w14:paraId="2DE08D6B" w14:textId="77777777" w:rsidR="00677974" w:rsidRPr="007D4F79" w:rsidRDefault="00677974" w:rsidP="00677974">
      <w:pPr>
        <w:pStyle w:val="Restitle"/>
        <w:rPr>
          <w:lang w:val="fr-FR"/>
        </w:rPr>
      </w:pPr>
      <w:bookmarkStart w:id="1" w:name="_Toc116542339"/>
      <w:r w:rsidRPr="007D4F79">
        <w:rPr>
          <w:lang w:val="fr-FR"/>
        </w:rPr>
        <w:t>Assistance technique spéciale à la Palestine</w:t>
      </w:r>
      <w:bookmarkEnd w:id="1"/>
    </w:p>
    <w:p w14:paraId="1A9E13D8" w14:textId="77777777" w:rsidR="00677974" w:rsidRPr="007D4F79" w:rsidRDefault="00677974" w:rsidP="00677974">
      <w:pPr>
        <w:pStyle w:val="Normalaftertitle"/>
        <w:rPr>
          <w:lang w:val="fr-FR"/>
        </w:rPr>
      </w:pPr>
      <w:r w:rsidRPr="007D4F79">
        <w:rPr>
          <w:lang w:val="fr-FR"/>
        </w:rPr>
        <w:t>La Conférence mondiale de développement des télécommunications (Kigali, 2022),</w:t>
      </w:r>
    </w:p>
    <w:p w14:paraId="3D6C145E" w14:textId="77777777" w:rsidR="00677974" w:rsidRPr="007D4F79" w:rsidRDefault="00677974" w:rsidP="00677974">
      <w:pPr>
        <w:pStyle w:val="Call"/>
        <w:rPr>
          <w:lang w:val="fr-FR"/>
        </w:rPr>
      </w:pPr>
      <w:r w:rsidRPr="007D4F79">
        <w:rPr>
          <w:lang w:val="fr-FR"/>
        </w:rPr>
        <w:t>rappelant</w:t>
      </w:r>
    </w:p>
    <w:p w14:paraId="76563E40" w14:textId="77777777" w:rsidR="00677974" w:rsidRPr="007D4F79" w:rsidRDefault="00677974" w:rsidP="00677974">
      <w:pPr>
        <w:rPr>
          <w:lang w:val="fr-FR"/>
        </w:rPr>
      </w:pPr>
      <w:r w:rsidRPr="007D4F79">
        <w:rPr>
          <w:i/>
          <w:iCs/>
          <w:lang w:val="fr-FR"/>
        </w:rPr>
        <w:t>a)</w:t>
      </w:r>
      <w:r w:rsidRPr="007D4F79">
        <w:rPr>
          <w:lang w:val="fr-FR"/>
        </w:rPr>
        <w:tab/>
        <w:t>la Résolution 32 (Kyoto, 1994) de la Conférence de plénipotentiaires, sur l'assistance technique à la Palestine pour le développement de ses télécommunications, la Résolution 125 (Rév. Busan, 2014) et la Résolution 125 (Rév. Dubaï, 2018) de la Conférence de plénipotentiaires, sur l'assistance et l'appui à la Palestine pour la reconstruction de ses réseaux de télécommunication;</w:t>
      </w:r>
    </w:p>
    <w:p w14:paraId="659F10DD" w14:textId="77777777" w:rsidR="00677974" w:rsidRPr="007D4F79" w:rsidRDefault="00677974" w:rsidP="00677974">
      <w:pPr>
        <w:rPr>
          <w:lang w:val="fr-FR"/>
        </w:rPr>
      </w:pPr>
      <w:r w:rsidRPr="007D4F79">
        <w:rPr>
          <w:i/>
          <w:iCs/>
          <w:lang w:val="fr-FR"/>
        </w:rPr>
        <w:t>b)</w:t>
      </w:r>
      <w:r w:rsidRPr="007D4F79">
        <w:rPr>
          <w:lang w:val="fr-FR"/>
        </w:rPr>
        <w:tab/>
        <w:t>la Résolution 99 (Rév. Dubaï, 2018) de la Conférence de plénipotentiaires sur le statut de la Palestine à l'UIT;</w:t>
      </w:r>
    </w:p>
    <w:p w14:paraId="2256D29E" w14:textId="77777777" w:rsidR="00677974" w:rsidRPr="007D4F79" w:rsidRDefault="00677974" w:rsidP="00677974">
      <w:pPr>
        <w:rPr>
          <w:lang w:val="fr-FR"/>
        </w:rPr>
      </w:pPr>
      <w:r w:rsidRPr="007D4F79">
        <w:rPr>
          <w:i/>
          <w:iCs/>
          <w:lang w:val="fr-FR"/>
        </w:rPr>
        <w:t>c)</w:t>
      </w:r>
      <w:r w:rsidRPr="007D4F79">
        <w:rPr>
          <w:lang w:val="fr-FR"/>
        </w:rPr>
        <w:tab/>
        <w:t>la Charte des Nations Unies et la Déclaration universelle des droits de l'homme;</w:t>
      </w:r>
    </w:p>
    <w:p w14:paraId="77DAB330" w14:textId="77777777" w:rsidR="00677974" w:rsidRPr="007D4F79" w:rsidRDefault="00677974" w:rsidP="00677974">
      <w:pPr>
        <w:rPr>
          <w:lang w:val="fr-FR"/>
        </w:rPr>
      </w:pPr>
      <w:r w:rsidRPr="007D4F79">
        <w:rPr>
          <w:i/>
          <w:iCs/>
          <w:lang w:val="fr-FR"/>
        </w:rPr>
        <w:t>d)</w:t>
      </w:r>
      <w:r w:rsidRPr="007D4F79">
        <w:rPr>
          <w:lang w:val="fr-FR"/>
        </w:rPr>
        <w:tab/>
        <w:t>la Résolution 18 (Rév. Dubaï, 2014) et la Résolution 18 (Rév. Buenos Aires, 2017) de la Conférence mondiale de développement des télécommunications (CMDT) sur l'assistance technique spéciale à la Palestine;</w:t>
      </w:r>
    </w:p>
    <w:p w14:paraId="1C1936B2" w14:textId="77777777" w:rsidR="00677974" w:rsidRPr="007D4F79" w:rsidRDefault="00677974" w:rsidP="00677974">
      <w:pPr>
        <w:rPr>
          <w:lang w:val="fr-FR"/>
        </w:rPr>
      </w:pPr>
      <w:r w:rsidRPr="007D4F79">
        <w:rPr>
          <w:i/>
          <w:iCs/>
          <w:lang w:val="fr-FR"/>
        </w:rPr>
        <w:t>e)</w:t>
      </w:r>
      <w:r w:rsidRPr="007D4F79">
        <w:rPr>
          <w:lang w:val="fr-FR"/>
        </w:rPr>
        <w:tab/>
        <w:t>la Résolution 68/235 de l'Assemblée générale des Nations Unies, en vertu de laquelle est reconnu le droit du peuple palestinien à la souveraineté permanente sur ses ressources naturelles, notamment sur ses terres, ses ressources en eau et en énergie et ses autres ressources naturelles, dans le Territoire palestinien occupé, y compris Jérusalem-Est;</w:t>
      </w:r>
    </w:p>
    <w:p w14:paraId="0E5400B1" w14:textId="77777777" w:rsidR="00677974" w:rsidRPr="007D4F79" w:rsidRDefault="00677974" w:rsidP="00677974">
      <w:pPr>
        <w:rPr>
          <w:lang w:val="fr-FR"/>
        </w:rPr>
      </w:pPr>
      <w:r w:rsidRPr="007D4F79">
        <w:rPr>
          <w:i/>
          <w:iCs/>
          <w:lang w:val="fr-FR"/>
        </w:rPr>
        <w:t>f)</w:t>
      </w:r>
      <w:r w:rsidRPr="007D4F79">
        <w:rPr>
          <w:lang w:val="fr-FR"/>
        </w:rPr>
        <w:tab/>
        <w:t>les dispositions du paragraphe 16 de la Déclaration de principes de la première phase (Genève, 2003) du Sommet mondial sur la société de l'information (SMSI) et les résultats de la deuxième phase du SMSI, en particulier le paragraphe 96 de l'Agenda de Tunis pour la société de l'information, relatif au rôle de l'UIT s'agissant de prendre des mesures pour assurer une utilisation rationnelle, efficace et économique du spectre des fréquences radioélectriques par tous les pays et leur accès équitable à ce spectre, sur la base des accords internationaux pertinents,</w:t>
      </w:r>
    </w:p>
    <w:p w14:paraId="47AB385A" w14:textId="77777777" w:rsidR="00677974" w:rsidRPr="007D4F79" w:rsidRDefault="00677974" w:rsidP="00677974">
      <w:pPr>
        <w:pStyle w:val="Call"/>
        <w:rPr>
          <w:lang w:val="fr-FR"/>
        </w:rPr>
      </w:pPr>
      <w:r w:rsidRPr="007D4F79">
        <w:rPr>
          <w:lang w:val="fr-FR"/>
        </w:rPr>
        <w:t>considérant</w:t>
      </w:r>
    </w:p>
    <w:p w14:paraId="0E9DBB6D" w14:textId="77777777" w:rsidR="00677974" w:rsidRPr="007D4F79" w:rsidRDefault="00677974" w:rsidP="00677974">
      <w:pPr>
        <w:rPr>
          <w:lang w:val="fr-FR"/>
        </w:rPr>
      </w:pPr>
      <w:r w:rsidRPr="007D4F79">
        <w:rPr>
          <w:i/>
          <w:iCs/>
          <w:lang w:val="fr-FR"/>
        </w:rPr>
        <w:t>a)</w:t>
      </w:r>
      <w:r w:rsidRPr="007D4F79">
        <w:rPr>
          <w:lang w:val="fr-FR"/>
        </w:rPr>
        <w:tab/>
        <w:t>que la Constitution et la Convention de l'UIT visent à promouvoir la paix et la sécurité dans le monde pour le développement de la coopération internationale et l'amélioration de l'entente entre les peuples concernés;</w:t>
      </w:r>
    </w:p>
    <w:p w14:paraId="542BF932" w14:textId="77777777" w:rsidR="00677974" w:rsidRDefault="00677974" w:rsidP="00677974">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3603E0A3" w14:textId="77777777" w:rsidR="00677974" w:rsidRPr="007D4F79" w:rsidRDefault="00677974" w:rsidP="00677974">
      <w:pPr>
        <w:rPr>
          <w:lang w:val="fr-FR"/>
        </w:rPr>
      </w:pPr>
      <w:r w:rsidRPr="007D4F79">
        <w:rPr>
          <w:i/>
          <w:iCs/>
          <w:lang w:val="fr-FR"/>
        </w:rPr>
        <w:lastRenderedPageBreak/>
        <w:t>b)</w:t>
      </w:r>
      <w:r w:rsidRPr="007D4F79">
        <w:rPr>
          <w:lang w:val="fr-FR"/>
        </w:rPr>
        <w:tab/>
        <w:t>la politique d'assistance de l'UIT à la Palestine pour le développement de son secteur des télécommunications et des technologies de l'information et de la communication (TIC), qui est efficace mais n'a pas encore atteint ses objectifs;</w:t>
      </w:r>
    </w:p>
    <w:p w14:paraId="4DCD8F27" w14:textId="77777777" w:rsidR="00677974" w:rsidRPr="007D4F79" w:rsidRDefault="00677974" w:rsidP="00677974">
      <w:pPr>
        <w:rPr>
          <w:lang w:val="fr-FR"/>
        </w:rPr>
      </w:pPr>
      <w:r w:rsidRPr="007D4F79">
        <w:rPr>
          <w:i/>
          <w:iCs/>
          <w:lang w:val="fr-FR"/>
        </w:rPr>
        <w:t>c)</w:t>
      </w:r>
      <w:r w:rsidRPr="007D4F79">
        <w:rPr>
          <w:lang w:val="fr-FR"/>
        </w:rPr>
        <w:tab/>
        <w:t>la Résolution 9 (Rév. Kigali, 2022) de la présente Conférence, en vertu de laquelle chaque État a le droit souverain de gérer l'utilisation du spectre sur son territoire, les dispositions de la Résolution 99 (Rév. Dubaï, 2018) de la Conférence de plénipotentiaires et la Résolution 12 (Rév.CMR-19) de la Conférence mondiale des radiocommunications (CMR),</w:t>
      </w:r>
    </w:p>
    <w:p w14:paraId="61F99F03" w14:textId="77777777" w:rsidR="00677974" w:rsidRPr="007D4F79" w:rsidRDefault="00677974" w:rsidP="00677974">
      <w:pPr>
        <w:pStyle w:val="Call"/>
        <w:keepLines w:val="0"/>
        <w:rPr>
          <w:lang w:val="fr-FR"/>
        </w:rPr>
      </w:pPr>
      <w:r w:rsidRPr="007D4F79">
        <w:rPr>
          <w:lang w:val="fr-FR"/>
        </w:rPr>
        <w:t>considérant en outre</w:t>
      </w:r>
    </w:p>
    <w:p w14:paraId="405619BF" w14:textId="77777777" w:rsidR="00677974" w:rsidRPr="007D4F79" w:rsidRDefault="00677974" w:rsidP="00677974">
      <w:pPr>
        <w:keepNext/>
        <w:rPr>
          <w:lang w:val="fr-FR"/>
        </w:rPr>
      </w:pPr>
      <w:r w:rsidRPr="007D4F79">
        <w:rPr>
          <w:i/>
          <w:iCs/>
          <w:lang w:val="fr-FR"/>
        </w:rPr>
        <w:t>a)</w:t>
      </w:r>
      <w:r w:rsidRPr="007D4F79">
        <w:rPr>
          <w:lang w:val="fr-FR"/>
        </w:rPr>
        <w:tab/>
        <w:t>que la mise en place d'un réseau de télécommunication fiable et moderne est un élément essentiel du développement économique et social et revêt la plus haute importance pour l'avenir du peuple palestinien;</w:t>
      </w:r>
    </w:p>
    <w:p w14:paraId="42267E31" w14:textId="77777777" w:rsidR="00677974" w:rsidRPr="007D4F79" w:rsidRDefault="00677974" w:rsidP="00677974">
      <w:pPr>
        <w:rPr>
          <w:lang w:val="fr-FR"/>
        </w:rPr>
      </w:pPr>
      <w:r w:rsidRPr="007D4F79">
        <w:rPr>
          <w:i/>
          <w:iCs/>
          <w:lang w:val="fr-FR"/>
        </w:rPr>
        <w:t>b)</w:t>
      </w:r>
      <w:r w:rsidRPr="007D4F79">
        <w:rPr>
          <w:lang w:val="fr-FR"/>
        </w:rPr>
        <w:tab/>
        <w:t>l'importance de la communauté internationale pour aider la Palestine à mettre en place un réseau de télécommunication moderne et fiable,</w:t>
      </w:r>
    </w:p>
    <w:p w14:paraId="59C3F46B" w14:textId="77777777" w:rsidR="00677974" w:rsidRPr="007D4F79" w:rsidRDefault="00677974" w:rsidP="00677974">
      <w:pPr>
        <w:pStyle w:val="Call"/>
        <w:rPr>
          <w:lang w:val="fr-FR"/>
        </w:rPr>
      </w:pPr>
      <w:r w:rsidRPr="007D4F79">
        <w:rPr>
          <w:lang w:val="fr-FR"/>
        </w:rPr>
        <w:t>ayant à l'esprit</w:t>
      </w:r>
    </w:p>
    <w:p w14:paraId="4D8485CF" w14:textId="77777777" w:rsidR="00677974" w:rsidRPr="007D4F79" w:rsidRDefault="00677974" w:rsidP="00677974">
      <w:pPr>
        <w:rPr>
          <w:lang w:val="fr-FR"/>
        </w:rPr>
      </w:pPr>
      <w:r w:rsidRPr="007D4F79">
        <w:rPr>
          <w:lang w:val="fr-FR"/>
        </w:rPr>
        <w:t>les principes fondamentaux énoncés dans la Constitution,</w:t>
      </w:r>
    </w:p>
    <w:p w14:paraId="700E4757" w14:textId="77777777" w:rsidR="00677974" w:rsidRPr="007D4F79" w:rsidRDefault="00677974" w:rsidP="00677974">
      <w:pPr>
        <w:pStyle w:val="Call"/>
        <w:rPr>
          <w:lang w:val="fr-FR"/>
        </w:rPr>
      </w:pPr>
      <w:r w:rsidRPr="007D4F79">
        <w:rPr>
          <w:lang w:val="fr-FR"/>
        </w:rPr>
        <w:t>tenant compte</w:t>
      </w:r>
    </w:p>
    <w:p w14:paraId="6ED3B915" w14:textId="77777777" w:rsidR="00677974" w:rsidRPr="007D4F79" w:rsidRDefault="00677974" w:rsidP="00677974">
      <w:pPr>
        <w:rPr>
          <w:lang w:val="fr-FR"/>
        </w:rPr>
      </w:pPr>
      <w:r w:rsidRPr="007D4F79">
        <w:rPr>
          <w:i/>
          <w:iCs/>
          <w:lang w:val="fr-FR"/>
        </w:rPr>
        <w:t>a)</w:t>
      </w:r>
      <w:r w:rsidRPr="007D4F79">
        <w:rPr>
          <w:lang w:val="fr-FR"/>
        </w:rPr>
        <w:tab/>
        <w:t>des difficultés que la Palestine et l'UIT continuent de rencontrer pour réaliser les cinq projets convenus avec le Bureau de développement des télécommunications (BDT) dans le cadre de la mise en œuvre de la Résolution 18 (Rév. Istanbul, 2002), de la Résolution 18 (Rév. Doha, 2006), de la Résolution 18 (Rév. Hyderabad, 2010), de la Résolution 18 (Rév. Dubaï, 2014) et de la Résolution 18 (Rév. Buenos Aires, 2017) de la CMDT, qui doivent constituer une préoccupation et une source d'inquiétude pour l'ensemble de la communauté internationale, en particulier l'UIT;</w:t>
      </w:r>
    </w:p>
    <w:p w14:paraId="4B704ACC" w14:textId="77777777" w:rsidR="00677974" w:rsidRPr="007D4F79" w:rsidRDefault="00677974" w:rsidP="00677974">
      <w:pPr>
        <w:rPr>
          <w:lang w:val="fr-FR" w:eastAsia="en-GB"/>
        </w:rPr>
      </w:pPr>
      <w:r w:rsidRPr="007D4F79">
        <w:rPr>
          <w:i/>
          <w:iCs/>
          <w:lang w:val="fr-FR" w:eastAsia="en-GB"/>
        </w:rPr>
        <w:t>b)</w:t>
      </w:r>
      <w:r w:rsidRPr="007D4F79">
        <w:rPr>
          <w:lang w:val="fr-FR" w:eastAsia="en-GB"/>
        </w:rPr>
        <w:tab/>
        <w:t>des décisions prises lors du Sommet Connecter le monde arabe;</w:t>
      </w:r>
    </w:p>
    <w:p w14:paraId="2DF24ACE" w14:textId="77777777" w:rsidR="00677974" w:rsidRPr="007D4F79" w:rsidRDefault="00677974" w:rsidP="00677974">
      <w:pPr>
        <w:rPr>
          <w:lang w:val="fr-FR" w:eastAsia="en-GB"/>
        </w:rPr>
      </w:pPr>
      <w:r w:rsidRPr="007D4F79">
        <w:rPr>
          <w:i/>
          <w:iCs/>
          <w:lang w:val="fr-FR" w:eastAsia="en-GB"/>
        </w:rPr>
        <w:t>c)</w:t>
      </w:r>
      <w:r w:rsidRPr="007D4F79">
        <w:rPr>
          <w:lang w:val="fr-FR" w:eastAsia="en-GB"/>
        </w:rPr>
        <w:tab/>
        <w:t>des principaux résultats de la Réunion préparatoire régionale pour la région des États arabes (RPM-ARB), tenue au Soudan en 2017, en particulier en ce qui concerne les questions relatives à la Palestine,</w:t>
      </w:r>
    </w:p>
    <w:p w14:paraId="432C7A62" w14:textId="77777777" w:rsidR="00677974" w:rsidRPr="007D4F79" w:rsidRDefault="00677974" w:rsidP="00677974">
      <w:pPr>
        <w:rPr>
          <w:lang w:val="fr-FR" w:eastAsia="en-GB"/>
        </w:rPr>
      </w:pPr>
    </w:p>
    <w:p w14:paraId="1C5FC843" w14:textId="77777777" w:rsidR="00677974" w:rsidRPr="007D4F79" w:rsidRDefault="00677974" w:rsidP="00677974">
      <w:pPr>
        <w:rPr>
          <w:lang w:val="fr-FR" w:eastAsia="en-GB"/>
        </w:rPr>
      </w:pPr>
    </w:p>
    <w:p w14:paraId="219270D5" w14:textId="77777777" w:rsidR="00677974" w:rsidRPr="007D4F79" w:rsidRDefault="00677974" w:rsidP="00677974">
      <w:pPr>
        <w:pStyle w:val="Call"/>
        <w:rPr>
          <w:lang w:val="fr-FR"/>
        </w:rPr>
      </w:pPr>
      <w:r w:rsidRPr="007D4F79">
        <w:rPr>
          <w:lang w:val="fr-FR"/>
        </w:rPr>
        <w:br w:type="page"/>
      </w:r>
    </w:p>
    <w:p w14:paraId="09FF6197" w14:textId="77777777" w:rsidR="00677974" w:rsidRPr="007D4F79" w:rsidRDefault="00677974" w:rsidP="00677974">
      <w:pPr>
        <w:pStyle w:val="Call"/>
        <w:rPr>
          <w:lang w:val="fr-FR"/>
        </w:rPr>
      </w:pPr>
      <w:r w:rsidRPr="007D4F79">
        <w:rPr>
          <w:lang w:val="fr-FR"/>
        </w:rPr>
        <w:lastRenderedPageBreak/>
        <w:t>notant</w:t>
      </w:r>
    </w:p>
    <w:p w14:paraId="254F98E7" w14:textId="77777777" w:rsidR="00677974" w:rsidRPr="007D4F79" w:rsidRDefault="00677974" w:rsidP="00677974">
      <w:pPr>
        <w:rPr>
          <w:lang w:val="fr-FR"/>
        </w:rPr>
      </w:pPr>
      <w:r w:rsidRPr="007D4F79">
        <w:rPr>
          <w:lang w:val="fr-FR"/>
        </w:rPr>
        <w:t>l'assistance technique à long terme offerte par le BDT à la Palestine pour le développement de ses télécommunications/TIC, conformément à la Résolution 32 (Kyoto, 1994), la nécessité de fournir d'urgence certaines formes d'assistance dans les différents domaines de l'information, de l'informatique et de la communication et les difficultés croissantes qui n'ont cessé d'accompagner la fourniture de cette assistance depuis l'adoption de cette Résolution,</w:t>
      </w:r>
    </w:p>
    <w:p w14:paraId="79A98E7C" w14:textId="77777777" w:rsidR="00677974" w:rsidRPr="007D4F79" w:rsidRDefault="00677974" w:rsidP="00677974">
      <w:pPr>
        <w:pStyle w:val="Call"/>
        <w:rPr>
          <w:lang w:val="fr-FR"/>
        </w:rPr>
      </w:pPr>
      <w:r w:rsidRPr="007D4F79">
        <w:rPr>
          <w:lang w:val="fr-FR"/>
        </w:rPr>
        <w:t>notant avec une profonde préoccupation</w:t>
      </w:r>
    </w:p>
    <w:p w14:paraId="78CC3091" w14:textId="77777777" w:rsidR="00677974" w:rsidRPr="007D4F79" w:rsidRDefault="00677974" w:rsidP="00677974">
      <w:pPr>
        <w:rPr>
          <w:lang w:val="fr-FR" w:eastAsia="en-GB"/>
        </w:rPr>
      </w:pPr>
      <w:r w:rsidRPr="007D4F79">
        <w:rPr>
          <w:lang w:val="fr-FR" w:eastAsia="en-GB"/>
        </w:rPr>
        <w:t>les restrictions et les difficultés liées à la situation actuelle en Palestine, qui empêchent l'accès aux moyens, services et applications de télécommunication/TIC et qui continuent à entraver le développement des télécommunications/TIC en Palestine,</w:t>
      </w:r>
    </w:p>
    <w:p w14:paraId="4C701EE4" w14:textId="77777777" w:rsidR="00677974" w:rsidRPr="007D4F79" w:rsidRDefault="00677974" w:rsidP="00677974">
      <w:pPr>
        <w:pStyle w:val="Call"/>
        <w:rPr>
          <w:lang w:val="fr-FR"/>
        </w:rPr>
      </w:pPr>
      <w:r w:rsidRPr="007D4F79">
        <w:rPr>
          <w:lang w:val="fr-FR"/>
        </w:rPr>
        <w:t>décide de continuer de charger le Directeur du Bureau de développement des télécommunications</w:t>
      </w:r>
    </w:p>
    <w:p w14:paraId="045DE02E" w14:textId="77777777" w:rsidR="00677974" w:rsidRPr="007D4F79" w:rsidRDefault="00677974" w:rsidP="00677974">
      <w:pPr>
        <w:rPr>
          <w:lang w:val="fr-FR"/>
        </w:rPr>
      </w:pPr>
      <w:r w:rsidRPr="007D4F79">
        <w:rPr>
          <w:lang w:val="fr-FR"/>
        </w:rPr>
        <w:t>1</w:t>
      </w:r>
      <w:r w:rsidRPr="007D4F79">
        <w:rPr>
          <w:lang w:val="fr-FR"/>
        </w:rPr>
        <w:tab/>
        <w:t>de poursuivre et de renforcer l'assistance technique offerte à la Palestine pour le développement de ses télécommunications/TIC, en tenant compte de la nécessité de surmonter les difficultés croissantes et de plus en plus importantes rencontrées dans la fourniture de cette assistance au cours des cycles précédents depuis 2002;</w:t>
      </w:r>
    </w:p>
    <w:p w14:paraId="206E05E7" w14:textId="77777777" w:rsidR="00677974" w:rsidRPr="007D4F79" w:rsidRDefault="00677974" w:rsidP="00677974">
      <w:pPr>
        <w:rPr>
          <w:lang w:val="fr-FR"/>
        </w:rPr>
      </w:pPr>
      <w:r w:rsidRPr="007D4F79">
        <w:rPr>
          <w:lang w:val="fr-FR"/>
        </w:rPr>
        <w:t>2</w:t>
      </w:r>
      <w:r w:rsidRPr="007D4F79">
        <w:rPr>
          <w:lang w:val="fr-FR"/>
        </w:rPr>
        <w:tab/>
        <w:t>de prendre des mesures appropriées dans les limites du mandat du BDT, en vue de faciliter l'établissement de réseaux d'accès internationaux, au moyen de stations de Terre et par satellite, de câbles sous-marins, de fibres optiques et de systèmes hyperfréquences;</w:t>
      </w:r>
    </w:p>
    <w:p w14:paraId="37E52372" w14:textId="77777777" w:rsidR="00677974" w:rsidRPr="007D4F79" w:rsidRDefault="00677974" w:rsidP="00677974">
      <w:pPr>
        <w:rPr>
          <w:lang w:val="fr-FR"/>
        </w:rPr>
      </w:pPr>
      <w:r w:rsidRPr="007D4F79">
        <w:rPr>
          <w:lang w:val="fr-FR" w:eastAsia="en-GB"/>
        </w:rPr>
        <w:t>3</w:t>
      </w:r>
      <w:r w:rsidRPr="007D4F79">
        <w:rPr>
          <w:lang w:val="fr-FR" w:eastAsia="en-GB"/>
        </w:rPr>
        <w:tab/>
        <w:t>de charger le BDT, en coordination avec le Bureau des radiocommunications, de permettre à la Palestine d'acquérir et de gérer les fréquences requises dans la bande de fréquences 470-694 MHz pour l'exploitation de réseaux de télévision numérique de Terre monofréquence et multifréquence, et de définir des mécanismes propres à garantir que la Palestine puisse exploiter la bande de fréquences 694-862 MHz résultant du passage au numérique pour des utilisations et des applications des services mobiles large bande, en vue de son utilisation après la CMR-19;</w:t>
      </w:r>
    </w:p>
    <w:p w14:paraId="6C8D8C8D" w14:textId="77777777" w:rsidR="00677974" w:rsidRPr="007D4F79" w:rsidRDefault="00677974" w:rsidP="00677974">
      <w:pPr>
        <w:rPr>
          <w:lang w:val="fr-FR"/>
        </w:rPr>
      </w:pPr>
      <w:r w:rsidRPr="007D4F79">
        <w:rPr>
          <w:lang w:val="fr-FR"/>
        </w:rPr>
        <w:t>4</w:t>
      </w:r>
      <w:r w:rsidRPr="007D4F79">
        <w:rPr>
          <w:lang w:val="fr-FR"/>
        </w:rPr>
        <w:tab/>
        <w:t>de présenter à intervalles réguliers un rapport technique sur les diverses expériences acquises en matière de libéralisation et de privatisation des télécommunications/TIC et sur les obstacles que rencontrent les Palestiniens dans ce secteur ainsi que sur le développement de l'infrastructure, et d'en évaluer l'incidence sur le développement du secteur dans la Bande de Gaza et en Cisjordanie;</w:t>
      </w:r>
    </w:p>
    <w:p w14:paraId="0D55E9A6" w14:textId="77777777" w:rsidR="00677974" w:rsidRPr="007D4F79" w:rsidRDefault="00677974" w:rsidP="00677974">
      <w:pPr>
        <w:rPr>
          <w:lang w:val="fr-FR"/>
        </w:rPr>
      </w:pPr>
      <w:r w:rsidRPr="007D4F79">
        <w:rPr>
          <w:lang w:val="fr-FR"/>
        </w:rPr>
        <w:br w:type="page"/>
      </w:r>
    </w:p>
    <w:p w14:paraId="33F1327D" w14:textId="77777777" w:rsidR="00677974" w:rsidRPr="007D4F79" w:rsidRDefault="00677974" w:rsidP="00677974">
      <w:pPr>
        <w:rPr>
          <w:color w:val="000000"/>
          <w:lang w:val="fr-FR"/>
        </w:rPr>
      </w:pPr>
      <w:r w:rsidRPr="007D4F79">
        <w:rPr>
          <w:lang w:val="fr-FR"/>
        </w:rPr>
        <w:lastRenderedPageBreak/>
        <w:t>5</w:t>
      </w:r>
      <w:r w:rsidRPr="007D4F79">
        <w:rPr>
          <w:lang w:val="fr-FR"/>
        </w:rPr>
        <w:tab/>
        <w:t>de mettre en œuvre des projets dans les domaines de la télésanté, du téléenseignement et du cybergouvernement, ainsi que de la planification et de la gestion du spectre en vertu des accords antérieurs conclus au sein de l'UIT, et des projets de développement des ressources humaines et de fournir toutes les autres formes possibles d'assistance</w:t>
      </w:r>
      <w:r w:rsidRPr="007D4F79">
        <w:rPr>
          <w:color w:val="000000"/>
          <w:lang w:val="fr-FR"/>
        </w:rPr>
        <w:t>;</w:t>
      </w:r>
    </w:p>
    <w:p w14:paraId="472AAD31" w14:textId="77777777" w:rsidR="00677974" w:rsidRPr="007D4F79" w:rsidRDefault="00677974" w:rsidP="00677974">
      <w:pPr>
        <w:rPr>
          <w:lang w:val="fr-FR"/>
        </w:rPr>
      </w:pPr>
      <w:r w:rsidRPr="007D4F79">
        <w:rPr>
          <w:lang w:val="fr-FR"/>
        </w:rPr>
        <w:t>6</w:t>
      </w:r>
      <w:r w:rsidRPr="007D4F79">
        <w:rPr>
          <w:lang w:val="fr-FR"/>
        </w:rPr>
        <w:tab/>
        <w:t>d'aider d'urgence la Palestine à acquérir et à gérer les ressources</w:t>
      </w:r>
      <w:r w:rsidRPr="007D4F79">
        <w:rPr>
          <w:color w:val="000000"/>
          <w:lang w:val="fr-FR"/>
        </w:rPr>
        <w:t xml:space="preserve"> du spectre des fréquences radioélectriques</w:t>
      </w:r>
      <w:r w:rsidRPr="007D4F79">
        <w:rPr>
          <w:lang w:val="fr-FR"/>
        </w:rPr>
        <w:t xml:space="preserve"> nécessaires à l'exploitation des réseaux 4G et 5G, conformément aux besoins identifiés dans une étude effectuée par une société de conseil spécialisée internationale, dans le cadre des efforts déployés actuellement pour remédier aux problèmes techniques et surmonter les obstacles à la mise en œuvre de nouvelles technologies, conformément à l'accord provisoire;</w:t>
      </w:r>
    </w:p>
    <w:p w14:paraId="4B430B17" w14:textId="77777777" w:rsidR="00677974" w:rsidRPr="007D4F79" w:rsidRDefault="00677974" w:rsidP="00677974">
      <w:pPr>
        <w:rPr>
          <w:lang w:val="fr-FR"/>
        </w:rPr>
      </w:pPr>
      <w:r w:rsidRPr="007D4F79">
        <w:rPr>
          <w:lang w:val="fr-FR"/>
        </w:rPr>
        <w:t>7</w:t>
      </w:r>
      <w:r w:rsidRPr="007D4F79">
        <w:rPr>
          <w:lang w:val="fr-FR"/>
        </w:rPr>
        <w:tab/>
        <w:t>de faire rapport au Conseil de l'UIT, dans un rapport annuel, sur l'état d'avancement de la mise en œuvre de la présente Résolution (et de résolutions analogues) et les mécanismes employés pour surmonter les difficultés croissantes rencontrées,</w:t>
      </w:r>
    </w:p>
    <w:p w14:paraId="660D4679" w14:textId="77777777" w:rsidR="00677974" w:rsidRPr="007D4F79" w:rsidRDefault="00677974" w:rsidP="00677974">
      <w:pPr>
        <w:pStyle w:val="Call"/>
        <w:rPr>
          <w:lang w:val="fr-FR"/>
        </w:rPr>
      </w:pPr>
      <w:r w:rsidRPr="007D4F79">
        <w:rPr>
          <w:lang w:val="fr-FR"/>
        </w:rPr>
        <w:t>exhorte les Membres de l'Union internationale des télécommunications</w:t>
      </w:r>
    </w:p>
    <w:p w14:paraId="265576FC" w14:textId="77777777" w:rsidR="00677974" w:rsidRPr="007D4F79" w:rsidRDefault="00677974" w:rsidP="00677974">
      <w:pPr>
        <w:rPr>
          <w:lang w:val="fr-FR"/>
        </w:rPr>
      </w:pPr>
      <w:r w:rsidRPr="007D4F79">
        <w:rPr>
          <w:lang w:val="fr-FR"/>
        </w:rPr>
        <w:t>1</w:t>
      </w:r>
      <w:r w:rsidRPr="007D4F79">
        <w:rPr>
          <w:lang w:val="fr-FR"/>
        </w:rPr>
        <w:tab/>
        <w:t>à fournir toutes les formes possibles d'appui et d'assistance à la Palestine soit bilatéralement, soit par le biais de mesures concrètes prises par l'UIT à cet égard</w:t>
      </w:r>
      <w:r w:rsidRPr="007D4F79">
        <w:rPr>
          <w:color w:val="000000"/>
          <w:lang w:val="fr-FR"/>
        </w:rPr>
        <w:t>;</w:t>
      </w:r>
    </w:p>
    <w:p w14:paraId="37C27205" w14:textId="77777777" w:rsidR="00677974" w:rsidRPr="007D4F79" w:rsidRDefault="00677974" w:rsidP="00677974">
      <w:pPr>
        <w:rPr>
          <w:lang w:val="fr-FR"/>
        </w:rPr>
      </w:pPr>
      <w:r w:rsidRPr="007D4F79">
        <w:rPr>
          <w:lang w:val="fr-FR"/>
        </w:rPr>
        <w:t>2</w:t>
      </w:r>
      <w:r w:rsidRPr="007D4F79">
        <w:rPr>
          <w:lang w:val="fr-FR"/>
        </w:rPr>
        <w:tab/>
        <w:t>à aider la Palestine à reconstruire et à remettre en état le réseau de télécommunication palestinien;</w:t>
      </w:r>
    </w:p>
    <w:p w14:paraId="399D06CE" w14:textId="77777777" w:rsidR="00677974" w:rsidRPr="007D4F79" w:rsidRDefault="00677974" w:rsidP="00677974">
      <w:pPr>
        <w:rPr>
          <w:lang w:val="fr-FR"/>
        </w:rPr>
      </w:pPr>
      <w:r w:rsidRPr="007D4F79">
        <w:rPr>
          <w:lang w:val="fr-FR"/>
        </w:rPr>
        <w:t>3</w:t>
      </w:r>
      <w:r w:rsidRPr="007D4F79">
        <w:rPr>
          <w:lang w:val="fr-FR"/>
        </w:rPr>
        <w:tab/>
        <w:t>à aider la Palestine à recouvrer ce qui lui est dû au titre du trafic international entrant et sortant;</w:t>
      </w:r>
    </w:p>
    <w:p w14:paraId="581AD045" w14:textId="77777777" w:rsidR="00677974" w:rsidRPr="007D4F79" w:rsidRDefault="00677974" w:rsidP="00677974">
      <w:pPr>
        <w:rPr>
          <w:lang w:val="fr-FR"/>
        </w:rPr>
      </w:pPr>
      <w:r w:rsidRPr="007D4F79">
        <w:rPr>
          <w:lang w:val="fr-FR"/>
        </w:rPr>
        <w:t>4</w:t>
      </w:r>
      <w:r w:rsidRPr="007D4F79">
        <w:rPr>
          <w:lang w:val="fr-FR"/>
        </w:rPr>
        <w:tab/>
        <w:t>à fournir à la Palestine une assistance pour faciliter la mise en œuvre de projets du BDT, y compris pour le renforcement des capacités des ressources humaines,</w:t>
      </w:r>
    </w:p>
    <w:p w14:paraId="17B4D331" w14:textId="77777777" w:rsidR="00677974" w:rsidRPr="007D4F79" w:rsidRDefault="00677974" w:rsidP="00677974">
      <w:pPr>
        <w:pStyle w:val="Call"/>
        <w:rPr>
          <w:lang w:val="fr-FR"/>
        </w:rPr>
      </w:pPr>
      <w:r w:rsidRPr="007D4F79">
        <w:rPr>
          <w:lang w:val="fr-FR"/>
        </w:rPr>
        <w:t>prie le Secrétaire général</w:t>
      </w:r>
    </w:p>
    <w:p w14:paraId="0F16B667" w14:textId="77777777" w:rsidR="00677974" w:rsidRPr="007D4F79" w:rsidRDefault="00677974" w:rsidP="00677974">
      <w:pPr>
        <w:rPr>
          <w:lang w:val="fr-FR"/>
        </w:rPr>
      </w:pPr>
      <w:r w:rsidRPr="007D4F79">
        <w:rPr>
          <w:lang w:val="fr-FR"/>
        </w:rPr>
        <w:t>de faire rapport à la Conférence de plénipotentiaires (Bucarest, 2022) sur les progrès accomplis dans la mise en œuvre de la présente Résolution.</w:t>
      </w:r>
    </w:p>
    <w:p w14:paraId="75603859" w14:textId="77777777" w:rsidR="00677974" w:rsidRPr="007D4F79" w:rsidRDefault="00677974" w:rsidP="00677974">
      <w:pPr>
        <w:pStyle w:val="Reasons"/>
        <w:rPr>
          <w:lang w:val="fr-FR"/>
        </w:rPr>
      </w:pPr>
    </w:p>
    <w:p w14:paraId="075EB19C" w14:textId="77777777" w:rsidR="00677974" w:rsidRPr="007D4F79" w:rsidRDefault="00677974" w:rsidP="00677974">
      <w:pPr>
        <w:pStyle w:val="Reasons"/>
        <w:rPr>
          <w:lang w:val="fr-FR"/>
        </w:rPr>
      </w:pPr>
    </w:p>
    <w:p w14:paraId="56D06A23" w14:textId="77777777" w:rsidR="00677974" w:rsidRPr="007D4F79" w:rsidRDefault="00677974" w:rsidP="00677974">
      <w:pPr>
        <w:pStyle w:val="Reasons"/>
        <w:rPr>
          <w:lang w:val="fr-FR"/>
        </w:rPr>
      </w:pPr>
    </w:p>
    <w:p w14:paraId="3058B6BD" w14:textId="77777777" w:rsidR="00F16487" w:rsidRDefault="00F16487"/>
    <w:sectPr w:rsidR="00F16487" w:rsidSect="00677974">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5EC0" w14:textId="77777777" w:rsidR="00677974" w:rsidRDefault="00677974" w:rsidP="00677974">
      <w:pPr>
        <w:spacing w:before="0" w:after="0"/>
      </w:pPr>
      <w:r>
        <w:separator/>
      </w:r>
    </w:p>
  </w:endnote>
  <w:endnote w:type="continuationSeparator" w:id="0">
    <w:p w14:paraId="6529CA0A" w14:textId="77777777" w:rsidR="00677974" w:rsidRDefault="00677974" w:rsidP="006779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7208" w14:textId="77777777" w:rsidR="00677974" w:rsidRDefault="00677974" w:rsidP="00677974">
      <w:pPr>
        <w:spacing w:before="0" w:after="0"/>
      </w:pPr>
      <w:r>
        <w:separator/>
      </w:r>
    </w:p>
  </w:footnote>
  <w:footnote w:type="continuationSeparator" w:id="0">
    <w:p w14:paraId="7DFBC475" w14:textId="77777777" w:rsidR="00677974" w:rsidRDefault="00677974" w:rsidP="006779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414897552"/>
      <w:docPartObj>
        <w:docPartGallery w:val="Page Numbers (Top of Page)"/>
        <w:docPartUnique/>
      </w:docPartObj>
    </w:sdtPr>
    <w:sdtEndPr>
      <w:rPr>
        <w:noProof/>
      </w:rPr>
    </w:sdtEndPr>
    <w:sdtContent>
      <w:p w14:paraId="12EF2F6B" w14:textId="532A093F" w:rsidR="00677974" w:rsidRPr="00677974" w:rsidRDefault="00677974" w:rsidP="00677974">
        <w:pPr>
          <w:tabs>
            <w:tab w:val="left" w:pos="426"/>
            <w:tab w:val="left" w:pos="851"/>
          </w:tabs>
          <w:spacing w:before="0"/>
          <w:jc w:val="left"/>
          <w:rPr>
            <w:rFonts w:ascii="Calibri" w:hAnsi="Calibri"/>
            <w:sz w:val="16"/>
            <w:szCs w:val="16"/>
            <w:lang w:val="fr-FR"/>
          </w:rPr>
        </w:pPr>
        <w:r w:rsidRPr="00677974">
          <w:rPr>
            <w:rFonts w:ascii="Calibri" w:hAnsi="Calibri"/>
            <w:sz w:val="16"/>
            <w:szCs w:val="16"/>
          </w:rPr>
          <w:fldChar w:fldCharType="begin"/>
        </w:r>
        <w:r w:rsidRPr="00677974">
          <w:rPr>
            <w:rFonts w:ascii="Calibri" w:hAnsi="Calibri"/>
            <w:sz w:val="16"/>
            <w:szCs w:val="16"/>
            <w:lang w:val="fr-FR"/>
          </w:rPr>
          <w:instrText xml:space="preserve"> PAGE   \* MERGEFORMAT </w:instrText>
        </w:r>
        <w:r w:rsidRPr="00677974">
          <w:rPr>
            <w:rFonts w:ascii="Calibri" w:hAnsi="Calibri"/>
            <w:sz w:val="16"/>
            <w:szCs w:val="16"/>
          </w:rPr>
          <w:fldChar w:fldCharType="separate"/>
        </w:r>
        <w:r w:rsidRPr="00677974">
          <w:rPr>
            <w:rFonts w:ascii="Calibri" w:hAnsi="Calibri"/>
            <w:sz w:val="16"/>
            <w:szCs w:val="16"/>
          </w:rPr>
          <w:t>114</w:t>
        </w:r>
        <w:r w:rsidRPr="00677974">
          <w:rPr>
            <w:rFonts w:ascii="Calibri" w:hAnsi="Calibri"/>
            <w:noProof/>
            <w:sz w:val="16"/>
            <w:szCs w:val="16"/>
          </w:rPr>
          <w:fldChar w:fldCharType="end"/>
        </w:r>
        <w:r w:rsidRPr="00677974">
          <w:rPr>
            <w:rFonts w:ascii="Calibri" w:hAnsi="Calibri"/>
            <w:sz w:val="16"/>
            <w:szCs w:val="16"/>
            <w:lang w:val="fr-FR"/>
          </w:rPr>
          <w:tab/>
          <w:t>Rapport final de la CMDT-22 – Partie IV – Résolution 18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871293653"/>
      <w:docPartObj>
        <w:docPartGallery w:val="Page Numbers (Top of Page)"/>
        <w:docPartUnique/>
      </w:docPartObj>
    </w:sdtPr>
    <w:sdtEndPr>
      <w:rPr>
        <w:noProof/>
      </w:rPr>
    </w:sdtEndPr>
    <w:sdtContent>
      <w:p w14:paraId="3F867D42" w14:textId="582CBA41" w:rsidR="00677974" w:rsidRPr="00677974" w:rsidRDefault="00677974" w:rsidP="00677974">
        <w:pPr>
          <w:tabs>
            <w:tab w:val="clear" w:pos="1134"/>
            <w:tab w:val="clear" w:pos="1871"/>
            <w:tab w:val="clear" w:pos="2268"/>
            <w:tab w:val="left" w:pos="5387"/>
            <w:tab w:val="left" w:pos="9356"/>
          </w:tabs>
          <w:spacing w:before="0"/>
          <w:jc w:val="right"/>
          <w:rPr>
            <w:rFonts w:ascii="Calibri" w:hAnsi="Calibri"/>
            <w:sz w:val="16"/>
            <w:szCs w:val="16"/>
            <w:lang w:val="fr-FR"/>
          </w:rPr>
        </w:pPr>
        <w:r w:rsidRPr="00677974">
          <w:rPr>
            <w:rFonts w:ascii="Calibri" w:hAnsi="Calibri"/>
            <w:sz w:val="16"/>
            <w:szCs w:val="16"/>
            <w:lang w:val="fr-FR"/>
          </w:rPr>
          <w:tab/>
          <w:t>Rapport final de la CMDT-22 – Partie IV – Résolution 18</w:t>
        </w:r>
        <w:r w:rsidRPr="00677974">
          <w:rPr>
            <w:rFonts w:ascii="Calibri" w:hAnsi="Calibri"/>
            <w:sz w:val="16"/>
            <w:szCs w:val="16"/>
            <w:lang w:val="fr-FR"/>
          </w:rPr>
          <w:tab/>
        </w:r>
        <w:r w:rsidRPr="00677974">
          <w:rPr>
            <w:rFonts w:ascii="Calibri" w:hAnsi="Calibri"/>
            <w:sz w:val="16"/>
            <w:szCs w:val="16"/>
          </w:rPr>
          <w:fldChar w:fldCharType="begin"/>
        </w:r>
        <w:r w:rsidRPr="00677974">
          <w:rPr>
            <w:rFonts w:ascii="Calibri" w:hAnsi="Calibri"/>
            <w:sz w:val="16"/>
            <w:szCs w:val="16"/>
            <w:lang w:val="fr-FR"/>
          </w:rPr>
          <w:instrText xml:space="preserve"> PAGE   \* MERGEFORMAT </w:instrText>
        </w:r>
        <w:r w:rsidRPr="00677974">
          <w:rPr>
            <w:rFonts w:ascii="Calibri" w:hAnsi="Calibri"/>
            <w:sz w:val="16"/>
            <w:szCs w:val="16"/>
          </w:rPr>
          <w:fldChar w:fldCharType="separate"/>
        </w:r>
        <w:r w:rsidRPr="00677974">
          <w:rPr>
            <w:rFonts w:ascii="Calibri" w:hAnsi="Calibri"/>
            <w:sz w:val="16"/>
            <w:szCs w:val="16"/>
          </w:rPr>
          <w:t>113</w:t>
        </w:r>
        <w:r w:rsidRPr="00677974">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74"/>
    <w:rsid w:val="00400A99"/>
    <w:rsid w:val="0045258F"/>
    <w:rsid w:val="004A0B3D"/>
    <w:rsid w:val="0051703C"/>
    <w:rsid w:val="005C0E4B"/>
    <w:rsid w:val="00677974"/>
    <w:rsid w:val="007359FB"/>
    <w:rsid w:val="0076311C"/>
    <w:rsid w:val="008630CC"/>
    <w:rsid w:val="00950AD1"/>
    <w:rsid w:val="009E6BCE"/>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BDE7"/>
  <w15:chartTrackingRefBased/>
  <w15:docId w15:val="{AEADB8E8-3F44-4155-9229-473459BF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74"/>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677974"/>
    <w:pPr>
      <w:keepNext/>
      <w:keepLines/>
      <w:spacing w:before="160"/>
      <w:ind w:left="1134"/>
    </w:pPr>
    <w:rPr>
      <w:i/>
    </w:rPr>
  </w:style>
  <w:style w:type="paragraph" w:customStyle="1" w:styleId="Normalaftertitle">
    <w:name w:val="Normal after title"/>
    <w:basedOn w:val="Normal"/>
    <w:next w:val="Normal"/>
    <w:link w:val="NormalaftertitleChar"/>
    <w:rsid w:val="00677974"/>
    <w:pPr>
      <w:spacing w:before="280"/>
    </w:pPr>
  </w:style>
  <w:style w:type="paragraph" w:customStyle="1" w:styleId="Reasons">
    <w:name w:val="Reasons"/>
    <w:basedOn w:val="Normal"/>
    <w:qFormat/>
    <w:rsid w:val="00677974"/>
    <w:pPr>
      <w:tabs>
        <w:tab w:val="clear" w:pos="2268"/>
        <w:tab w:val="left" w:pos="1588"/>
        <w:tab w:val="left" w:pos="1985"/>
      </w:tabs>
    </w:pPr>
  </w:style>
  <w:style w:type="paragraph" w:customStyle="1" w:styleId="ResNo">
    <w:name w:val="Res_No"/>
    <w:basedOn w:val="Normal"/>
    <w:next w:val="Normal"/>
    <w:rsid w:val="00677974"/>
    <w:pPr>
      <w:keepNext/>
      <w:keepLines/>
      <w:spacing w:before="480"/>
      <w:jc w:val="center"/>
      <w:outlineLvl w:val="0"/>
    </w:pPr>
    <w:rPr>
      <w:caps/>
      <w:sz w:val="28"/>
    </w:rPr>
  </w:style>
  <w:style w:type="paragraph" w:customStyle="1" w:styleId="Restitle">
    <w:name w:val="Res_title"/>
    <w:basedOn w:val="Normal"/>
    <w:next w:val="Normal"/>
    <w:rsid w:val="00677974"/>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677974"/>
    <w:rPr>
      <w:rFonts w:eastAsia="Times New Roman" w:cs="Times New Roman"/>
      <w:sz w:val="24"/>
      <w:szCs w:val="20"/>
      <w:lang w:val="en-GB"/>
    </w:rPr>
  </w:style>
  <w:style w:type="paragraph" w:styleId="Header">
    <w:name w:val="header"/>
    <w:basedOn w:val="Normal"/>
    <w:link w:val="HeaderChar"/>
    <w:uiPriority w:val="99"/>
    <w:unhideWhenUsed/>
    <w:rsid w:val="00677974"/>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677974"/>
    <w:rPr>
      <w:rFonts w:eastAsia="Times New Roman" w:cs="Times New Roman"/>
      <w:sz w:val="24"/>
      <w:szCs w:val="20"/>
      <w:lang w:val="en-GB"/>
    </w:rPr>
  </w:style>
  <w:style w:type="paragraph" w:styleId="Footer">
    <w:name w:val="footer"/>
    <w:basedOn w:val="Normal"/>
    <w:link w:val="FooterChar"/>
    <w:uiPriority w:val="99"/>
    <w:unhideWhenUsed/>
    <w:rsid w:val="00677974"/>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677974"/>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1274</Words>
  <Characters>7007</Characters>
  <Application>Microsoft Office Word</Application>
  <DocSecurity>0</DocSecurity>
  <Lines>58</Lines>
  <Paragraphs>16</Paragraphs>
  <ScaleCrop>false</ScaleCrop>
  <Company>ITU</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2023-10-16T12:08:00Z</dcterms:created>
  <dcterms:modified xsi:type="dcterms:W3CDTF">2023-10-16T12:10:00Z</dcterms:modified>
</cp:coreProperties>
</file>