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2EFE4" w14:textId="77777777" w:rsidR="002F540C" w:rsidRPr="00A55C0D" w:rsidRDefault="002F540C" w:rsidP="002F540C">
      <w:pPr>
        <w:pStyle w:val="ResNo"/>
        <w:tabs>
          <w:tab w:val="left" w:pos="2660"/>
          <w:tab w:val="center" w:pos="4819"/>
        </w:tabs>
      </w:pPr>
      <w:bookmarkStart w:id="0" w:name="_Toc116556676"/>
      <w:bookmarkStart w:id="1" w:name="_Toc116557229"/>
      <w:bookmarkStart w:id="2" w:name="_Toc116636472"/>
      <w:r w:rsidRPr="00A55C0D">
        <w:t>RESOLUTION </w:t>
      </w:r>
      <w:r w:rsidRPr="00A55C0D">
        <w:rPr>
          <w:rStyle w:val="href"/>
        </w:rPr>
        <w:t>18</w:t>
      </w:r>
      <w:r w:rsidRPr="00A55C0D">
        <w:t xml:space="preserve"> (Rev. Kigali, 2022)</w:t>
      </w:r>
      <w:bookmarkEnd w:id="0"/>
      <w:bookmarkEnd w:id="1"/>
      <w:bookmarkEnd w:id="2"/>
    </w:p>
    <w:p w14:paraId="5B79C289" w14:textId="77777777" w:rsidR="002F540C" w:rsidRPr="00A55C0D" w:rsidRDefault="002F540C" w:rsidP="002F540C">
      <w:pPr>
        <w:pStyle w:val="Restitle"/>
      </w:pPr>
      <w:bookmarkStart w:id="3" w:name="_Toc116556677"/>
      <w:bookmarkStart w:id="4" w:name="_Toc116557230"/>
      <w:bookmarkStart w:id="5" w:name="_Toc116636473"/>
      <w:r w:rsidRPr="00A55C0D">
        <w:t>Special technical assistance to Palestine</w:t>
      </w:r>
      <w:bookmarkEnd w:id="3"/>
      <w:bookmarkEnd w:id="4"/>
      <w:bookmarkEnd w:id="5"/>
      <w:r w:rsidRPr="00A55C0D">
        <w:t xml:space="preserve"> </w:t>
      </w:r>
    </w:p>
    <w:p w14:paraId="6928F143" w14:textId="77777777" w:rsidR="002F540C" w:rsidRPr="00A55C0D" w:rsidRDefault="002F540C" w:rsidP="002F540C">
      <w:pPr>
        <w:pStyle w:val="Normalaftertitle"/>
        <w:rPr>
          <w:lang w:eastAsia="en-GB"/>
        </w:rPr>
      </w:pPr>
      <w:r w:rsidRPr="00A55C0D">
        <w:rPr>
          <w:lang w:eastAsia="en-GB"/>
        </w:rPr>
        <w:t xml:space="preserve">The World Telecommunication </w:t>
      </w:r>
      <w:r w:rsidRPr="00A55C0D">
        <w:t>Development</w:t>
      </w:r>
      <w:r w:rsidRPr="00A55C0D">
        <w:rPr>
          <w:lang w:eastAsia="en-GB"/>
        </w:rPr>
        <w:t xml:space="preserve"> Conference (</w:t>
      </w:r>
      <w:r w:rsidRPr="00A55C0D">
        <w:t>Kigali, 2022</w:t>
      </w:r>
      <w:r w:rsidRPr="00A55C0D">
        <w:rPr>
          <w:lang w:eastAsia="en-GB"/>
        </w:rPr>
        <w:t>),</w:t>
      </w:r>
    </w:p>
    <w:p w14:paraId="62BC7BF7" w14:textId="77777777" w:rsidR="002F540C" w:rsidRPr="00A55C0D" w:rsidRDefault="002F540C" w:rsidP="002F540C">
      <w:pPr>
        <w:pStyle w:val="Call"/>
      </w:pPr>
      <w:r w:rsidRPr="00A55C0D">
        <w:t>recalling</w:t>
      </w:r>
    </w:p>
    <w:p w14:paraId="73ECB0C2" w14:textId="77777777" w:rsidR="002F540C" w:rsidRPr="00A55C0D" w:rsidRDefault="002F540C" w:rsidP="002F540C">
      <w:r w:rsidRPr="00A55C0D">
        <w:rPr>
          <w:i/>
          <w:iCs/>
          <w:lang w:eastAsia="en-GB"/>
        </w:rPr>
        <w:t>a)</w:t>
      </w:r>
      <w:r w:rsidRPr="00A55C0D">
        <w:tab/>
        <w:t>Resolution </w:t>
      </w:r>
      <w:r w:rsidRPr="00A55C0D">
        <w:rPr>
          <w:lang w:eastAsia="en-GB"/>
        </w:rPr>
        <w:t>32 (Kyoto, 1994) of the Plenipotentiary Conference, on technical assistance to Palestine for the development of telecommunications, Resolution 125 (Rev. Busan, 2014) and Resolution 125 (Rev. Dubai, 2018) of the Plenipotentiary Conference, on assistance and support to Palestine for rebuilding its telecommunication networks</w:t>
      </w:r>
      <w:r w:rsidRPr="00A55C0D">
        <w:t>;</w:t>
      </w:r>
    </w:p>
    <w:p w14:paraId="5A45F03F" w14:textId="77777777" w:rsidR="002F540C" w:rsidRPr="00A55C0D" w:rsidRDefault="002F540C" w:rsidP="002F540C">
      <w:r w:rsidRPr="00A55C0D">
        <w:rPr>
          <w:i/>
          <w:iCs/>
        </w:rPr>
        <w:t>b)</w:t>
      </w:r>
      <w:r w:rsidRPr="00A55C0D">
        <w:tab/>
        <w:t>Resolution 99 (Rev. Dubai, 2018) of the Plenipotentiary Conference, on the status of Palestine in ITU;</w:t>
      </w:r>
    </w:p>
    <w:p w14:paraId="481E7EC6" w14:textId="77777777" w:rsidR="002F540C" w:rsidRPr="00A55C0D" w:rsidRDefault="002F540C" w:rsidP="002F540C">
      <w:pPr>
        <w:rPr>
          <w:lang w:eastAsia="en-GB"/>
        </w:rPr>
      </w:pPr>
      <w:r w:rsidRPr="00A55C0D">
        <w:rPr>
          <w:i/>
          <w:iCs/>
        </w:rPr>
        <w:t>c)</w:t>
      </w:r>
      <w:r w:rsidRPr="00A55C0D">
        <w:rPr>
          <w:lang w:eastAsia="en-GB"/>
        </w:rPr>
        <w:tab/>
        <w:t>the Charter of the United Nations and the Universal Declaration of Human Rights;</w:t>
      </w:r>
    </w:p>
    <w:p w14:paraId="54F23C42" w14:textId="77777777" w:rsidR="002F540C" w:rsidRPr="00A55C0D" w:rsidRDefault="002F540C" w:rsidP="002F540C">
      <w:pPr>
        <w:rPr>
          <w:lang w:eastAsia="en-GB"/>
        </w:rPr>
      </w:pPr>
      <w:r w:rsidRPr="00A55C0D">
        <w:rPr>
          <w:i/>
          <w:iCs/>
          <w:lang w:eastAsia="en-GB"/>
        </w:rPr>
        <w:t>d)</w:t>
      </w:r>
      <w:r w:rsidRPr="00A55C0D">
        <w:rPr>
          <w:lang w:eastAsia="en-GB"/>
        </w:rPr>
        <w:tab/>
        <w:t>Resolution 18 (Rev. Dubai, 2014) and Resolution 18 (Rev. </w:t>
      </w:r>
      <w:r w:rsidRPr="00A55C0D">
        <w:t>Buenos Aires, 2017)</w:t>
      </w:r>
      <w:r w:rsidRPr="00A55C0D">
        <w:rPr>
          <w:lang w:eastAsia="en-GB"/>
        </w:rPr>
        <w:t xml:space="preserve"> of the World Telecommunication Development Conference (WTDC), on </w:t>
      </w:r>
      <w:r w:rsidRPr="00A55C0D">
        <w:t>special technical assistance to Palestine</w:t>
      </w:r>
      <w:r w:rsidRPr="00A55C0D">
        <w:rPr>
          <w:lang w:eastAsia="en-GB"/>
        </w:rPr>
        <w:t>;</w:t>
      </w:r>
    </w:p>
    <w:p w14:paraId="6BFE9102" w14:textId="77777777" w:rsidR="002F540C" w:rsidRPr="00A55C0D" w:rsidRDefault="002F540C" w:rsidP="002F540C">
      <w:pPr>
        <w:rPr>
          <w:lang w:eastAsia="en-GB"/>
        </w:rPr>
      </w:pPr>
      <w:r w:rsidRPr="00A55C0D">
        <w:rPr>
          <w:i/>
          <w:iCs/>
          <w:lang w:eastAsia="en-GB"/>
        </w:rPr>
        <w:t>e)</w:t>
      </w:r>
      <w:r w:rsidRPr="00A55C0D">
        <w:rPr>
          <w:i/>
          <w:iCs/>
          <w:lang w:eastAsia="en-GB"/>
        </w:rPr>
        <w:tab/>
      </w:r>
      <w:r w:rsidRPr="00A55C0D">
        <w:rPr>
          <w:lang w:eastAsia="en-GB"/>
        </w:rPr>
        <w:t>United Nations General Assembly Resolution 68/235, which recognizes the Palestinian people's right to permanent sovereignty over their natural resources, specifically land, water, energy and other natural resources, in the occupied Palestinian territory, including East Jerusalem;</w:t>
      </w:r>
    </w:p>
    <w:p w14:paraId="200DDC2F" w14:textId="77777777" w:rsidR="002F540C" w:rsidRPr="00A55C0D" w:rsidRDefault="002F540C" w:rsidP="002F540C">
      <w:pPr>
        <w:rPr>
          <w:lang w:eastAsia="en-GB"/>
        </w:rPr>
      </w:pPr>
      <w:r w:rsidRPr="00A55C0D">
        <w:rPr>
          <w:i/>
          <w:iCs/>
          <w:lang w:eastAsia="en-GB"/>
        </w:rPr>
        <w:t>f)</w:t>
      </w:r>
      <w:r w:rsidRPr="00A55C0D">
        <w:rPr>
          <w:lang w:eastAsia="en-GB"/>
        </w:rPr>
        <w:tab/>
      </w:r>
      <w:r w:rsidRPr="00A55C0D">
        <w:t>the provisions of § 16 of the Declaration of Principles of the first phase (Geneva, 2003) of the World Summit on the Information Society (WSIS) and the outcomes of the second phase of WSIS, particularly § 96 of the Tunis Agenda for the Information Society</w:t>
      </w:r>
      <w:r w:rsidRPr="00A55C0D">
        <w:rPr>
          <w:lang w:eastAsia="en-GB"/>
        </w:rPr>
        <w:t>, relating to ITU's role in taking steps to ensure rational, efficient and economic use of, and equitable access to, the radio-frequency spectrum by all countries, based on relevant international agreements,</w:t>
      </w:r>
    </w:p>
    <w:p w14:paraId="4EC4C4A0" w14:textId="77777777" w:rsidR="002F540C" w:rsidRPr="00A55C0D" w:rsidRDefault="002F540C" w:rsidP="002F540C">
      <w:pPr>
        <w:pStyle w:val="Call"/>
      </w:pPr>
      <w:r w:rsidRPr="00A55C0D">
        <w:t>considering</w:t>
      </w:r>
    </w:p>
    <w:p w14:paraId="6DB807E3" w14:textId="77777777" w:rsidR="002F540C" w:rsidRPr="00A55C0D" w:rsidRDefault="002F540C" w:rsidP="002F540C">
      <w:pPr>
        <w:rPr>
          <w:lang w:eastAsia="en-GB"/>
        </w:rPr>
      </w:pPr>
      <w:r w:rsidRPr="00A55C0D">
        <w:rPr>
          <w:i/>
          <w:iCs/>
          <w:lang w:eastAsia="en-GB"/>
        </w:rPr>
        <w:t>a)</w:t>
      </w:r>
      <w:r w:rsidRPr="00A55C0D">
        <w:rPr>
          <w:lang w:eastAsia="en-GB"/>
        </w:rPr>
        <w:tab/>
        <w:t>that the ITU Constitution and Convention are designed to strengthen peace and security in the world for the development of international cooperation and better understanding among the peoples concerned;</w:t>
      </w:r>
    </w:p>
    <w:p w14:paraId="48138088" w14:textId="77777777" w:rsidR="002F540C" w:rsidRPr="00A55C0D" w:rsidRDefault="002F540C" w:rsidP="002F540C">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2F36BEFE" w14:textId="77777777" w:rsidR="002F540C" w:rsidRPr="00A55C0D" w:rsidRDefault="002F540C" w:rsidP="002F540C">
      <w:r w:rsidRPr="00A55C0D">
        <w:rPr>
          <w:i/>
          <w:iCs/>
        </w:rPr>
        <w:lastRenderedPageBreak/>
        <w:t>b)</w:t>
      </w:r>
      <w:r w:rsidRPr="00A55C0D">
        <w:tab/>
        <w:t>ITU's policy of assistance to Palestine for the development of its telecommunication/information and communication technology (ICT) sector, which is efficient but has not yet achieved its goals;</w:t>
      </w:r>
    </w:p>
    <w:p w14:paraId="6249EB17" w14:textId="77777777" w:rsidR="002F540C" w:rsidRPr="00A55C0D" w:rsidRDefault="002F540C" w:rsidP="002F540C">
      <w:r w:rsidRPr="00A55C0D">
        <w:rPr>
          <w:i/>
          <w:iCs/>
        </w:rPr>
        <w:t>c)</w:t>
      </w:r>
      <w:r w:rsidRPr="00A55C0D">
        <w:tab/>
        <w:t>Resolution 9 (Rev. Kigali, 2022) of this conference, to the effect that it is the sovereign right of every State to manage spectrum use within its territories, the provisions in Resolution 99 (Rev. Dubai, 2018), and Resolution</w:t>
      </w:r>
      <w:r w:rsidRPr="00A55C0D">
        <w:rPr>
          <w:lang w:eastAsia="en-GB"/>
        </w:rPr>
        <w:t> </w:t>
      </w:r>
      <w:r w:rsidRPr="00A55C0D">
        <w:t>12 (Rev.WRC-19) of the World Radiocommunication Conference (WRC),</w:t>
      </w:r>
    </w:p>
    <w:p w14:paraId="48CCC2DF" w14:textId="77777777" w:rsidR="002F540C" w:rsidRPr="00A55C0D" w:rsidRDefault="002F540C" w:rsidP="002F540C">
      <w:pPr>
        <w:pStyle w:val="Call"/>
      </w:pPr>
      <w:r w:rsidRPr="00A55C0D">
        <w:t>considering further</w:t>
      </w:r>
    </w:p>
    <w:p w14:paraId="725CC5F7" w14:textId="77777777" w:rsidR="002F540C" w:rsidRPr="00A55C0D" w:rsidRDefault="002F540C" w:rsidP="002F540C">
      <w:r w:rsidRPr="00A55C0D">
        <w:rPr>
          <w:i/>
          <w:iCs/>
        </w:rPr>
        <w:t>a)</w:t>
      </w:r>
      <w:r w:rsidRPr="00A55C0D">
        <w:tab/>
        <w:t>that establishment of a reliable and modern telecommunication network is an essential part of economic and social development and is of the utmost importance to the future of the Palestinian people;</w:t>
      </w:r>
    </w:p>
    <w:p w14:paraId="6C239694" w14:textId="77777777" w:rsidR="002F540C" w:rsidRPr="00A55C0D" w:rsidRDefault="002F540C" w:rsidP="002F540C">
      <w:r w:rsidRPr="00A55C0D">
        <w:rPr>
          <w:i/>
          <w:iCs/>
        </w:rPr>
        <w:t>b)</w:t>
      </w:r>
      <w:r w:rsidRPr="00A55C0D">
        <w:tab/>
        <w:t>the importance of the international community in assisting Palestine to develop a modern and reliable telecommunication network,</w:t>
      </w:r>
    </w:p>
    <w:p w14:paraId="2C54A3BA" w14:textId="77777777" w:rsidR="002F540C" w:rsidRPr="00A55C0D" w:rsidRDefault="002F540C" w:rsidP="002F540C">
      <w:pPr>
        <w:pStyle w:val="Call"/>
      </w:pPr>
      <w:r w:rsidRPr="00A55C0D">
        <w:t>mindful</w:t>
      </w:r>
    </w:p>
    <w:p w14:paraId="4619E911" w14:textId="77777777" w:rsidR="002F540C" w:rsidRPr="00A55C0D" w:rsidRDefault="002F540C" w:rsidP="002F540C">
      <w:pPr>
        <w:rPr>
          <w:lang w:eastAsia="en-GB"/>
        </w:rPr>
      </w:pPr>
      <w:r w:rsidRPr="00A55C0D">
        <w:rPr>
          <w:lang w:eastAsia="en-GB"/>
        </w:rPr>
        <w:t>of the fundamental principles contained in the Constitution,</w:t>
      </w:r>
    </w:p>
    <w:p w14:paraId="6B0F0A7D" w14:textId="77777777" w:rsidR="002F540C" w:rsidRPr="00A55C0D" w:rsidRDefault="002F540C" w:rsidP="002F540C">
      <w:pPr>
        <w:pStyle w:val="Call"/>
      </w:pPr>
      <w:r w:rsidRPr="00A55C0D">
        <w:t>having regard to</w:t>
      </w:r>
    </w:p>
    <w:p w14:paraId="3B124B08" w14:textId="77777777" w:rsidR="002F540C" w:rsidRPr="00A55C0D" w:rsidRDefault="002F540C" w:rsidP="002F540C">
      <w:pPr>
        <w:rPr>
          <w:lang w:eastAsia="en-GB"/>
        </w:rPr>
      </w:pPr>
      <w:r w:rsidRPr="00A55C0D">
        <w:rPr>
          <w:i/>
          <w:iCs/>
          <w:lang w:eastAsia="en-GB"/>
        </w:rPr>
        <w:t>a)</w:t>
      </w:r>
      <w:r w:rsidRPr="00A55C0D">
        <w:rPr>
          <w:lang w:eastAsia="en-GB"/>
        </w:rPr>
        <w:tab/>
        <w:t>the continuing challenges faced by Palestine and ITU in executing the five projects agreed with the Telecommunication Development Bureau (BDT) under the implementation of Resolution 18 (Rev. Istanbul, 2002), Resolution 18 (Rev. Doha, 2006), Resolution 18 (Rev. Hyderabad, 2010), Resolution 18 (Rev. Dubai, 2014) and Resolution 18 (Rev. </w:t>
      </w:r>
      <w:r w:rsidRPr="00A55C0D">
        <w:t>Buenos Aires, 2017)</w:t>
      </w:r>
      <w:r w:rsidRPr="00A55C0D">
        <w:rPr>
          <w:lang w:eastAsia="en-GB"/>
        </w:rPr>
        <w:t xml:space="preserve"> of WTDC, which must be a matter of anxiety and concern for the entire international community, especially ITU;</w:t>
      </w:r>
    </w:p>
    <w:p w14:paraId="47D541DB" w14:textId="77777777" w:rsidR="002F540C" w:rsidRPr="00A55C0D" w:rsidRDefault="002F540C" w:rsidP="002F540C">
      <w:pPr>
        <w:rPr>
          <w:lang w:eastAsia="en-GB"/>
        </w:rPr>
      </w:pPr>
      <w:r w:rsidRPr="00A55C0D">
        <w:rPr>
          <w:i/>
          <w:iCs/>
          <w:lang w:eastAsia="en-GB"/>
        </w:rPr>
        <w:t>b)</w:t>
      </w:r>
      <w:r w:rsidRPr="00A55C0D">
        <w:rPr>
          <w:lang w:eastAsia="en-GB"/>
        </w:rPr>
        <w:tab/>
        <w:t>the decisions of the Connect Arab summit;</w:t>
      </w:r>
    </w:p>
    <w:p w14:paraId="5B4C4121" w14:textId="77777777" w:rsidR="002F540C" w:rsidRPr="00A55C0D" w:rsidRDefault="002F540C" w:rsidP="002F540C">
      <w:pPr>
        <w:rPr>
          <w:i/>
          <w:iCs/>
          <w:lang w:eastAsia="en-GB"/>
        </w:rPr>
      </w:pPr>
      <w:r w:rsidRPr="00A55C0D">
        <w:rPr>
          <w:i/>
          <w:iCs/>
          <w:lang w:eastAsia="en-GB"/>
        </w:rPr>
        <w:t>c)</w:t>
      </w:r>
      <w:r w:rsidRPr="00A55C0D">
        <w:rPr>
          <w:lang w:eastAsia="en-GB"/>
        </w:rPr>
        <w:tab/>
        <w:t>the key outcomes of the Regional Preparatory Meeting for the Arab region (RPM-ARB), held in Sudan in 2017, particularly issues relating to Palestine,</w:t>
      </w:r>
    </w:p>
    <w:p w14:paraId="176B6F46" w14:textId="77777777" w:rsidR="002F540C" w:rsidRPr="00A55C0D" w:rsidRDefault="002F540C" w:rsidP="002F540C">
      <w:pPr>
        <w:tabs>
          <w:tab w:val="clear" w:pos="1134"/>
          <w:tab w:val="clear" w:pos="1871"/>
          <w:tab w:val="clear" w:pos="2268"/>
        </w:tabs>
        <w:overflowPunct/>
        <w:autoSpaceDE/>
        <w:autoSpaceDN/>
        <w:adjustRightInd/>
        <w:spacing w:before="0"/>
        <w:textAlignment w:val="auto"/>
        <w:rPr>
          <w:i/>
        </w:rPr>
      </w:pPr>
      <w:r w:rsidRPr="00A55C0D">
        <w:br w:type="page"/>
      </w:r>
    </w:p>
    <w:p w14:paraId="0F989392" w14:textId="77777777" w:rsidR="002F540C" w:rsidRPr="00A55C0D" w:rsidRDefault="002F540C" w:rsidP="002F540C">
      <w:pPr>
        <w:pStyle w:val="Call"/>
      </w:pPr>
      <w:r w:rsidRPr="00A55C0D">
        <w:lastRenderedPageBreak/>
        <w:t>noting</w:t>
      </w:r>
    </w:p>
    <w:p w14:paraId="6B61F1EC" w14:textId="77777777" w:rsidR="002F540C" w:rsidRPr="00A55C0D" w:rsidRDefault="002F540C" w:rsidP="002F540C">
      <w:pPr>
        <w:rPr>
          <w:lang w:eastAsia="zh-CN"/>
        </w:rPr>
      </w:pPr>
      <w:r w:rsidRPr="00A55C0D">
        <w:rPr>
          <w:lang w:eastAsia="zh-CN"/>
        </w:rPr>
        <w:t>the long-term technical assistance from BDT to Palestine for the development of its telecommunications/ICTs pursuant to Resolution 32 (Kyoto, 1994) and the urgent need for forms of assistance to be provided in the various fields of information, informatics and communication, and the increasing difficulties that have accompanied the provision of this assistance continuously since that resolution was adopted,</w:t>
      </w:r>
    </w:p>
    <w:p w14:paraId="278AD92E" w14:textId="77777777" w:rsidR="002F540C" w:rsidRPr="00A55C0D" w:rsidRDefault="002F540C" w:rsidP="002F540C">
      <w:pPr>
        <w:pStyle w:val="Call"/>
      </w:pPr>
      <w:r w:rsidRPr="00A55C0D">
        <w:t>noting with grave concern</w:t>
      </w:r>
    </w:p>
    <w:p w14:paraId="14BA89AA" w14:textId="77777777" w:rsidR="002F540C" w:rsidRPr="00A55C0D" w:rsidRDefault="002F540C" w:rsidP="002F540C">
      <w:pPr>
        <w:rPr>
          <w:lang w:eastAsia="en-GB"/>
        </w:rPr>
      </w:pPr>
      <w:r w:rsidRPr="00A55C0D">
        <w:t>the restrictions and difficulties related to the current situation in Palestine that are preventing access to telecommunication/ICT means, services and applications and which constitute a continuing obstacle to telecommunication/ICT development in Palestine</w:t>
      </w:r>
      <w:r w:rsidRPr="00A55C0D">
        <w:rPr>
          <w:lang w:eastAsia="en-GB"/>
        </w:rPr>
        <w:t>,</w:t>
      </w:r>
    </w:p>
    <w:p w14:paraId="533FEAF7" w14:textId="77777777" w:rsidR="002F540C" w:rsidRPr="00A55C0D" w:rsidRDefault="002F540C" w:rsidP="002F540C">
      <w:pPr>
        <w:pStyle w:val="Call"/>
      </w:pPr>
      <w:r w:rsidRPr="00A55C0D">
        <w:t>resolves to continue to instruct the Director of the Telecommunication Development Bureau</w:t>
      </w:r>
    </w:p>
    <w:p w14:paraId="5625E603" w14:textId="77777777" w:rsidR="002F540C" w:rsidRPr="00A55C0D" w:rsidRDefault="002F540C" w:rsidP="002F540C">
      <w:pPr>
        <w:rPr>
          <w:lang w:eastAsia="en-GB"/>
        </w:rPr>
      </w:pPr>
      <w:r w:rsidRPr="00A55C0D">
        <w:rPr>
          <w:lang w:eastAsia="en-GB"/>
        </w:rPr>
        <w:t>1</w:t>
      </w:r>
      <w:r w:rsidRPr="00A55C0D">
        <w:rPr>
          <w:lang w:eastAsia="en-GB"/>
        </w:rPr>
        <w:tab/>
        <w:t xml:space="preserve">to continue and enhance the technical assistance provided to Palestine for the development of its </w:t>
      </w:r>
      <w:r w:rsidRPr="00A55C0D">
        <w:t>telecommunications</w:t>
      </w:r>
      <w:r w:rsidRPr="00A55C0D">
        <w:rPr>
          <w:lang w:eastAsia="en-GB"/>
        </w:rPr>
        <w:t>/ICTs, taking into consideration the need to overcome the increasing and escalating difficulties encountered in the provision of this assistance during the previous cycles since 2002;</w:t>
      </w:r>
    </w:p>
    <w:p w14:paraId="06F5EA98" w14:textId="77777777" w:rsidR="002F540C" w:rsidRPr="00A55C0D" w:rsidRDefault="002F540C" w:rsidP="002F540C">
      <w:pPr>
        <w:rPr>
          <w:lang w:eastAsia="en-GB"/>
        </w:rPr>
      </w:pPr>
      <w:r w:rsidRPr="00A55C0D">
        <w:rPr>
          <w:lang w:eastAsia="en-GB"/>
        </w:rPr>
        <w:t>2</w:t>
      </w:r>
      <w:r w:rsidRPr="00A55C0D">
        <w:rPr>
          <w:lang w:eastAsia="en-GB"/>
        </w:rPr>
        <w:tab/>
        <w:t>to take appropriate measures within the mandate of BDT aimed at facilitating the establishment of international access networks, including terrestrial and satellite stations, submarine cables, optical fibre and microwave systems;</w:t>
      </w:r>
    </w:p>
    <w:p w14:paraId="2335731B" w14:textId="77777777" w:rsidR="002F540C" w:rsidRPr="00A55C0D" w:rsidRDefault="002F540C" w:rsidP="002F540C">
      <w:pPr>
        <w:rPr>
          <w:lang w:eastAsia="en-GB"/>
        </w:rPr>
      </w:pPr>
      <w:r w:rsidRPr="00A55C0D">
        <w:rPr>
          <w:lang w:eastAsia="en-GB"/>
        </w:rPr>
        <w:t>3</w:t>
      </w:r>
      <w:r w:rsidRPr="00A55C0D">
        <w:rPr>
          <w:lang w:eastAsia="en-GB"/>
        </w:rPr>
        <w:tab/>
        <w:t xml:space="preserve">to instruct BDT, in coordination with the Radiocommunication Bureau, </w:t>
      </w:r>
      <w:r w:rsidRPr="00A55C0D">
        <w:t>to enable Palestine in acquiring and managing frequencies required in the band 470-694 MHz for the operation of single- and multi-frequency digital terrestrial television</w:t>
      </w:r>
      <w:r w:rsidRPr="00A55C0D">
        <w:rPr>
          <w:lang w:eastAsia="en-GB"/>
        </w:rPr>
        <w:t>, and identify mechanisms for ensuring that Palestine can exploit the 694-862 MHz frequency band resulting from the digital transition for broadband mobile service uses and applications to be used after WRC-19;</w:t>
      </w:r>
    </w:p>
    <w:p w14:paraId="548D9AE4" w14:textId="77777777" w:rsidR="002F540C" w:rsidRPr="00A55C0D" w:rsidRDefault="002F540C" w:rsidP="002F540C">
      <w:pPr>
        <w:rPr>
          <w:lang w:eastAsia="en-GB"/>
        </w:rPr>
      </w:pPr>
      <w:r w:rsidRPr="00A55C0D">
        <w:rPr>
          <w:lang w:eastAsia="en-GB"/>
        </w:rPr>
        <w:t>4</w:t>
      </w:r>
      <w:r w:rsidRPr="00A55C0D">
        <w:rPr>
          <w:lang w:eastAsia="en-GB"/>
        </w:rPr>
        <w:tab/>
        <w:t xml:space="preserve">to provide a technical periodic report on various experiences in liberalization and privatization of </w:t>
      </w:r>
      <w:r w:rsidRPr="00A55C0D">
        <w:t>telecommunications</w:t>
      </w:r>
      <w:r w:rsidRPr="00A55C0D">
        <w:rPr>
          <w:lang w:eastAsia="en-GB"/>
        </w:rPr>
        <w:t>/ICTs</w:t>
      </w:r>
      <w:r w:rsidRPr="00A55C0D">
        <w:t xml:space="preserve"> and the challenges of the Palestinians in the sector, the development of the infrastructure, </w:t>
      </w:r>
      <w:r w:rsidRPr="00A55C0D">
        <w:rPr>
          <w:lang w:eastAsia="en-GB"/>
        </w:rPr>
        <w:t>and to assess their impact on the development of the sector in the Gaza Strip and the West Bank;</w:t>
      </w:r>
    </w:p>
    <w:p w14:paraId="577BECA0" w14:textId="77777777" w:rsidR="002F540C" w:rsidRPr="00A55C0D" w:rsidRDefault="002F540C" w:rsidP="002F540C">
      <w:pPr>
        <w:tabs>
          <w:tab w:val="clear" w:pos="1134"/>
          <w:tab w:val="clear" w:pos="1871"/>
          <w:tab w:val="clear" w:pos="2268"/>
        </w:tabs>
        <w:overflowPunct/>
        <w:autoSpaceDE/>
        <w:autoSpaceDN/>
        <w:adjustRightInd/>
        <w:spacing w:before="0"/>
        <w:textAlignment w:val="auto"/>
        <w:rPr>
          <w:lang w:eastAsia="en-GB"/>
        </w:rPr>
      </w:pPr>
      <w:r w:rsidRPr="00A55C0D">
        <w:rPr>
          <w:lang w:eastAsia="en-GB"/>
        </w:rPr>
        <w:br w:type="page"/>
      </w:r>
    </w:p>
    <w:p w14:paraId="4831A11F" w14:textId="77777777" w:rsidR="002F540C" w:rsidRPr="00A55C0D" w:rsidRDefault="002F540C" w:rsidP="002F540C">
      <w:pPr>
        <w:rPr>
          <w:lang w:eastAsia="en-GB"/>
        </w:rPr>
      </w:pPr>
      <w:r w:rsidRPr="00A55C0D">
        <w:rPr>
          <w:lang w:eastAsia="en-GB"/>
        </w:rPr>
        <w:lastRenderedPageBreak/>
        <w:t>5</w:t>
      </w:r>
      <w:r w:rsidRPr="00A55C0D">
        <w:rPr>
          <w:lang w:eastAsia="en-GB"/>
        </w:rPr>
        <w:tab/>
        <w:t>to implement e</w:t>
      </w:r>
      <w:r w:rsidRPr="00A55C0D">
        <w:rPr>
          <w:lang w:eastAsia="en-GB"/>
        </w:rPr>
        <w:noBreakHyphen/>
        <w:t>health, e</w:t>
      </w:r>
      <w:r w:rsidRPr="00A55C0D">
        <w:rPr>
          <w:lang w:eastAsia="en-GB"/>
        </w:rPr>
        <w:noBreakHyphen/>
        <w:t>education, e</w:t>
      </w:r>
      <w:r w:rsidRPr="00A55C0D">
        <w:rPr>
          <w:lang w:eastAsia="en-GB"/>
        </w:rPr>
        <w:noBreakHyphen/>
        <w:t>government, spectrum planning and management pursuant to the previous agreements in ITU, and human resources development projects and all other forms of assistance;</w:t>
      </w:r>
    </w:p>
    <w:p w14:paraId="32FF0ACA" w14:textId="77777777" w:rsidR="002F540C" w:rsidRPr="00A55C0D" w:rsidRDefault="002F540C" w:rsidP="002F540C">
      <w:pPr>
        <w:rPr>
          <w:lang w:eastAsia="en-GB"/>
        </w:rPr>
      </w:pPr>
      <w:r w:rsidRPr="00A55C0D">
        <w:rPr>
          <w:lang w:eastAsia="en-GB"/>
        </w:rPr>
        <w:t>6</w:t>
      </w:r>
      <w:r w:rsidRPr="00A55C0D">
        <w:rPr>
          <w:lang w:eastAsia="en-GB"/>
        </w:rPr>
        <w:tab/>
      </w:r>
      <w:r w:rsidRPr="00A55C0D">
        <w:t>to provide urgent assistance to Palestine in acquiring and managing the required radio-frequency spectrum resource for the operation of 4G and 5G networks, according to the needs identified in a study carried out by an international specialized advisory firm, in furtherance of ongoing efforts to address technical issues and overcoming the challenges of introducing new technologies, consistent with the Interim Agreement;</w:t>
      </w:r>
    </w:p>
    <w:p w14:paraId="7D4DA9C4" w14:textId="77777777" w:rsidR="002F540C" w:rsidRPr="00A55C0D" w:rsidRDefault="002F540C" w:rsidP="002F540C">
      <w:pPr>
        <w:rPr>
          <w:lang w:eastAsia="en-GB"/>
        </w:rPr>
      </w:pPr>
      <w:r w:rsidRPr="00A55C0D">
        <w:rPr>
          <w:lang w:eastAsia="en-GB"/>
        </w:rPr>
        <w:t>7</w:t>
      </w:r>
      <w:r w:rsidRPr="00A55C0D">
        <w:rPr>
          <w:lang w:eastAsia="en-GB"/>
        </w:rPr>
        <w:tab/>
        <w:t>to report to the ITU Council with an annual report on the progress made in implementing this resolution (and similar resolutions) and the mechanisms employed to deal with the increasing difficulties arising,</w:t>
      </w:r>
    </w:p>
    <w:p w14:paraId="2776C1DC" w14:textId="77777777" w:rsidR="002F540C" w:rsidRPr="00A55C0D" w:rsidRDefault="002F540C" w:rsidP="002F540C">
      <w:pPr>
        <w:pStyle w:val="Call"/>
      </w:pPr>
      <w:r w:rsidRPr="00A55C0D">
        <w:t>calls upon ITU members</w:t>
      </w:r>
    </w:p>
    <w:p w14:paraId="11F7DFEE" w14:textId="77777777" w:rsidR="002F540C" w:rsidRPr="00A55C0D" w:rsidRDefault="002F540C" w:rsidP="002F540C">
      <w:r w:rsidRPr="00A55C0D">
        <w:t>1</w:t>
      </w:r>
      <w:r w:rsidRPr="00A55C0D">
        <w:tab/>
        <w:t xml:space="preserve">to provide all forms of support and assistance to Palestine bilaterally or through executive actions taken by ITU in this regard; </w:t>
      </w:r>
    </w:p>
    <w:p w14:paraId="6D565A1E" w14:textId="77777777" w:rsidR="002F540C" w:rsidRPr="00A55C0D" w:rsidRDefault="002F540C" w:rsidP="002F540C">
      <w:pPr>
        <w:rPr>
          <w:lang w:eastAsia="en-GB"/>
        </w:rPr>
      </w:pPr>
      <w:r w:rsidRPr="00A55C0D">
        <w:rPr>
          <w:lang w:eastAsia="en-GB"/>
        </w:rPr>
        <w:t>2</w:t>
      </w:r>
      <w:r w:rsidRPr="00A55C0D">
        <w:rPr>
          <w:lang w:eastAsia="en-GB"/>
        </w:rPr>
        <w:tab/>
        <w:t>to assist Palestine in rebuilding and restoring the Palestinian telecommunication network;</w:t>
      </w:r>
    </w:p>
    <w:p w14:paraId="24CC14A1" w14:textId="77777777" w:rsidR="002F540C" w:rsidRPr="00A55C0D" w:rsidRDefault="002F540C" w:rsidP="002F540C">
      <w:pPr>
        <w:rPr>
          <w:lang w:eastAsia="en-GB"/>
        </w:rPr>
      </w:pPr>
      <w:r w:rsidRPr="00A55C0D">
        <w:rPr>
          <w:lang w:eastAsia="en-GB"/>
        </w:rPr>
        <w:t>3</w:t>
      </w:r>
      <w:r w:rsidRPr="00A55C0D">
        <w:rPr>
          <w:lang w:eastAsia="en-GB"/>
        </w:rPr>
        <w:tab/>
        <w:t>to assist Palestine in recovering its entitlements accruing from incoming and outgoing international traffic;</w:t>
      </w:r>
    </w:p>
    <w:p w14:paraId="44403556" w14:textId="77777777" w:rsidR="002F540C" w:rsidRPr="00A55C0D" w:rsidRDefault="002F540C" w:rsidP="002F540C">
      <w:pPr>
        <w:rPr>
          <w:lang w:eastAsia="en-GB"/>
        </w:rPr>
      </w:pPr>
      <w:r w:rsidRPr="00A55C0D">
        <w:rPr>
          <w:lang w:eastAsia="en-GB"/>
        </w:rPr>
        <w:t>4</w:t>
      </w:r>
      <w:r w:rsidRPr="00A55C0D">
        <w:rPr>
          <w:lang w:eastAsia="en-GB"/>
        </w:rPr>
        <w:tab/>
        <w:t>to provide Palestine with assistance in support of the implementation of BDT projects, including human resources capacity building,</w:t>
      </w:r>
    </w:p>
    <w:p w14:paraId="6E4AFDB4" w14:textId="77777777" w:rsidR="002F540C" w:rsidRPr="00A55C0D" w:rsidRDefault="002F540C" w:rsidP="002F540C">
      <w:pPr>
        <w:pStyle w:val="Call"/>
      </w:pPr>
      <w:r w:rsidRPr="00A55C0D">
        <w:t>requests the Secretary-General</w:t>
      </w:r>
    </w:p>
    <w:p w14:paraId="4DF3DDF2" w14:textId="77777777" w:rsidR="002F540C" w:rsidRPr="00A55C0D" w:rsidRDefault="002F540C" w:rsidP="002F540C">
      <w:r w:rsidRPr="00A55C0D">
        <w:t>to report to the Plenipotentiary Conference (Bucharest, 2022) on the progress achieved in implementing this resolution.</w:t>
      </w:r>
    </w:p>
    <w:p w14:paraId="1F967AFC" w14:textId="77777777" w:rsidR="002F540C" w:rsidRPr="00A55C0D" w:rsidRDefault="002F540C" w:rsidP="002F540C">
      <w:pPr>
        <w:tabs>
          <w:tab w:val="clear" w:pos="1134"/>
          <w:tab w:val="clear" w:pos="1871"/>
          <w:tab w:val="clear" w:pos="2268"/>
        </w:tabs>
        <w:overflowPunct/>
        <w:autoSpaceDE/>
        <w:autoSpaceDN/>
        <w:adjustRightInd/>
        <w:spacing w:before="0"/>
        <w:textAlignment w:val="auto"/>
      </w:pPr>
    </w:p>
    <w:p w14:paraId="6B801185" w14:textId="77777777" w:rsidR="00542A8B" w:rsidRDefault="00542A8B"/>
    <w:sectPr w:rsidR="00542A8B" w:rsidSect="00FE5F63">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20"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F5107" w14:textId="77777777" w:rsidR="00FE5F63" w:rsidRDefault="00FE5F63" w:rsidP="00FE5F63">
      <w:pPr>
        <w:spacing w:before="0"/>
      </w:pPr>
      <w:r>
        <w:separator/>
      </w:r>
    </w:p>
  </w:endnote>
  <w:endnote w:type="continuationSeparator" w:id="0">
    <w:p w14:paraId="000C50FB" w14:textId="77777777" w:rsidR="00FE5F63" w:rsidRDefault="00FE5F63" w:rsidP="00FE5F6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734C" w14:textId="77777777" w:rsidR="00FE5F63" w:rsidRDefault="00FE5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9A48" w14:textId="77777777" w:rsidR="00FE5F63" w:rsidRDefault="00FE5F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0596F" w14:textId="77777777" w:rsidR="00FE5F63" w:rsidRDefault="00FE5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62F4C" w14:textId="77777777" w:rsidR="00FE5F63" w:rsidRDefault="00FE5F63" w:rsidP="00FE5F63">
      <w:pPr>
        <w:spacing w:before="0"/>
      </w:pPr>
      <w:r>
        <w:separator/>
      </w:r>
    </w:p>
  </w:footnote>
  <w:footnote w:type="continuationSeparator" w:id="0">
    <w:p w14:paraId="449CDD67" w14:textId="77777777" w:rsidR="00FE5F63" w:rsidRDefault="00FE5F63" w:rsidP="00FE5F6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096209093"/>
      <w:docPartObj>
        <w:docPartGallery w:val="Page Numbers (Top of Page)"/>
        <w:docPartUnique/>
      </w:docPartObj>
    </w:sdtPr>
    <w:sdtContent>
      <w:p w14:paraId="42CEDEAD" w14:textId="19407F8E" w:rsidR="00FE5F63" w:rsidRPr="00FE5F63" w:rsidRDefault="00FE5F63" w:rsidP="00FE5F63">
        <w:pPr>
          <w:pStyle w:val="Header"/>
          <w:tabs>
            <w:tab w:val="clear" w:pos="4513"/>
            <w:tab w:val="clear" w:pos="9026"/>
            <w:tab w:val="left" w:pos="567"/>
            <w:tab w:val="right" w:pos="9072"/>
            <w:tab w:val="right" w:pos="9639"/>
          </w:tabs>
          <w:jc w:val="left"/>
          <w:rPr>
            <w:sz w:val="16"/>
            <w:szCs w:val="16"/>
          </w:rPr>
        </w:pP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2</w:t>
        </w:r>
        <w:r w:rsidRPr="00713E5A">
          <w:rPr>
            <w:noProof/>
            <w:sz w:val="16"/>
            <w:szCs w:val="16"/>
          </w:rPr>
          <w:fldChar w:fldCharType="end"/>
        </w:r>
        <w:r w:rsidRPr="00690486">
          <w:rPr>
            <w:sz w:val="16"/>
            <w:szCs w:val="16"/>
          </w:rPr>
          <w:tab/>
        </w:r>
        <w:r w:rsidRPr="00FE7DF3">
          <w:rPr>
            <w:sz w:val="16"/>
            <w:szCs w:val="16"/>
          </w:rPr>
          <w:t>WTDC-22 Final Report – Part I</w:t>
        </w:r>
        <w:r>
          <w:rPr>
            <w:sz w:val="16"/>
            <w:szCs w:val="16"/>
          </w:rPr>
          <w:t>V</w:t>
        </w:r>
        <w:r w:rsidRPr="00FE7DF3">
          <w:rPr>
            <w:sz w:val="16"/>
            <w:szCs w:val="16"/>
          </w:rPr>
          <w:t xml:space="preserve"> –</w:t>
        </w:r>
        <w:r>
          <w:rPr>
            <w:sz w:val="16"/>
            <w:szCs w:val="16"/>
          </w:rPr>
          <w:t>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305541">
          <w:rPr>
            <w:noProof/>
            <w:sz w:val="16"/>
            <w:szCs w:val="16"/>
          </w:rPr>
          <w:t>18</w:t>
        </w:r>
        <w:r w:rsidRPr="00642CD3">
          <w:rPr>
            <w:sz w:val="16"/>
            <w:szCs w:val="16"/>
          </w:rPr>
          <w:fldChar w:fldCharType="end"/>
        </w:r>
        <w:r>
          <w:rPr>
            <w:sz w:val="16"/>
            <w:szCs w:val="16"/>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84163509"/>
      <w:docPartObj>
        <w:docPartGallery w:val="Page Numbers (Top of Page)"/>
        <w:docPartUnique/>
      </w:docPartObj>
    </w:sdtPr>
    <w:sdtContent>
      <w:p w14:paraId="07C006F6" w14:textId="486A7C0C" w:rsidR="00FE5F63" w:rsidRPr="00FE5F63" w:rsidRDefault="00FE5F63" w:rsidP="00FE5F63">
        <w:pPr>
          <w:pStyle w:val="Header"/>
          <w:tabs>
            <w:tab w:val="clear" w:pos="4513"/>
            <w:tab w:val="clear" w:pos="9026"/>
            <w:tab w:val="left" w:pos="567"/>
            <w:tab w:val="right" w:pos="9072"/>
            <w:tab w:val="right" w:pos="9639"/>
          </w:tabs>
          <w:jc w:val="left"/>
          <w:rPr>
            <w:sz w:val="16"/>
            <w:szCs w:val="16"/>
          </w:rPr>
        </w:pPr>
        <w:r w:rsidRPr="00690486">
          <w:rPr>
            <w:sz w:val="16"/>
            <w:szCs w:val="16"/>
          </w:rPr>
          <w:tab/>
        </w:r>
        <w:r>
          <w:rPr>
            <w:sz w:val="16"/>
            <w:szCs w:val="16"/>
          </w:rPr>
          <w:tab/>
        </w:r>
        <w:r w:rsidRPr="00FE7DF3">
          <w:rPr>
            <w:sz w:val="16"/>
            <w:szCs w:val="16"/>
          </w:rPr>
          <w:t>WTDC-22 Final Report – Part I</w:t>
        </w:r>
        <w:r>
          <w:rPr>
            <w:sz w:val="16"/>
            <w:szCs w:val="16"/>
          </w:rPr>
          <w:t>V</w:t>
        </w:r>
        <w:r w:rsidRPr="00FE7DF3">
          <w:rPr>
            <w:sz w:val="16"/>
            <w:szCs w:val="16"/>
          </w:rPr>
          <w:t xml:space="preserve"> –</w:t>
        </w:r>
        <w:r>
          <w:rPr>
            <w:sz w:val="16"/>
            <w:szCs w:val="16"/>
          </w:rPr>
          <w:t>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305541">
          <w:rPr>
            <w:noProof/>
            <w:sz w:val="16"/>
            <w:szCs w:val="16"/>
          </w:rPr>
          <w:t>18</w:t>
        </w:r>
        <w:r w:rsidRPr="00642CD3">
          <w:rPr>
            <w:sz w:val="16"/>
            <w:szCs w:val="16"/>
          </w:rPr>
          <w:fldChar w:fldCharType="end"/>
        </w:r>
        <w:r>
          <w:rPr>
            <w:sz w:val="16"/>
            <w:szCs w:val="16"/>
          </w:rPr>
          <w:tab/>
        </w: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215</w:t>
        </w:r>
        <w:r w:rsidRPr="00713E5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802EA" w14:textId="77777777" w:rsidR="00FE5F63" w:rsidRDefault="00FE5F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40C"/>
    <w:rsid w:val="002F540C"/>
    <w:rsid w:val="00305541"/>
    <w:rsid w:val="003A583D"/>
    <w:rsid w:val="00542A8B"/>
    <w:rsid w:val="00566FD7"/>
    <w:rsid w:val="00D51EB4"/>
    <w:rsid w:val="00FE5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724984"/>
  <w14:defaultImageDpi w14:val="32767"/>
  <w15:chartTrackingRefBased/>
  <w15:docId w15:val="{9E8CA565-0850-4BE4-9940-96E1A45F7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40C"/>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kern w:val="0"/>
      <w:sz w:val="24"/>
      <w:szCs w:val="20"/>
      <w14:ligatures w14:val="none"/>
    </w:rPr>
  </w:style>
  <w:style w:type="paragraph" w:styleId="Heading2">
    <w:name w:val="heading 2"/>
    <w:basedOn w:val="Normal"/>
    <w:next w:val="Normal"/>
    <w:link w:val="Heading2Char"/>
    <w:uiPriority w:val="9"/>
    <w:semiHidden/>
    <w:unhideWhenUsed/>
    <w:qFormat/>
    <w:rsid w:val="002F540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2F540C"/>
    <w:pPr>
      <w:keepNext/>
      <w:keepLines/>
      <w:spacing w:before="160"/>
      <w:ind w:left="1134"/>
    </w:pPr>
    <w:rPr>
      <w:i/>
    </w:rPr>
  </w:style>
  <w:style w:type="paragraph" w:customStyle="1" w:styleId="Normalaftertitle">
    <w:name w:val="Normal after title"/>
    <w:basedOn w:val="Normal"/>
    <w:next w:val="Normal"/>
    <w:link w:val="NormalaftertitleChar"/>
    <w:rsid w:val="002F540C"/>
    <w:pPr>
      <w:spacing w:before="280"/>
    </w:pPr>
  </w:style>
  <w:style w:type="paragraph" w:customStyle="1" w:styleId="ResNo">
    <w:name w:val="Res_No"/>
    <w:basedOn w:val="Heading2"/>
    <w:next w:val="Normal"/>
    <w:link w:val="ResNoChar"/>
    <w:rsid w:val="002F540C"/>
    <w:pPr>
      <w:spacing w:before="200"/>
      <w:ind w:left="1134" w:hanging="1134"/>
      <w:jc w:val="center"/>
    </w:pPr>
    <w:rPr>
      <w:rFonts w:asciiTheme="minorHAnsi" w:eastAsia="Times New Roman" w:hAnsiTheme="minorHAnsi" w:cs="Times New Roman"/>
      <w:color w:val="auto"/>
      <w:sz w:val="28"/>
      <w:szCs w:val="20"/>
    </w:rPr>
  </w:style>
  <w:style w:type="paragraph" w:customStyle="1" w:styleId="Restitle">
    <w:name w:val="Res_title"/>
    <w:basedOn w:val="Heading2"/>
    <w:next w:val="Normal"/>
    <w:link w:val="RestitleChar"/>
    <w:rsid w:val="002F540C"/>
    <w:pPr>
      <w:tabs>
        <w:tab w:val="clear" w:pos="1134"/>
        <w:tab w:val="clear" w:pos="1871"/>
        <w:tab w:val="clear" w:pos="2268"/>
      </w:tabs>
      <w:spacing w:before="200"/>
      <w:jc w:val="center"/>
    </w:pPr>
    <w:rPr>
      <w:rFonts w:asciiTheme="minorHAnsi" w:eastAsia="Times New Roman" w:hAnsiTheme="minorHAnsi" w:cs="Times New Roman"/>
      <w:b/>
      <w:color w:val="auto"/>
      <w:sz w:val="28"/>
      <w:szCs w:val="20"/>
    </w:rPr>
  </w:style>
  <w:style w:type="character" w:customStyle="1" w:styleId="NormalaftertitleChar">
    <w:name w:val="Normal after title Char"/>
    <w:basedOn w:val="DefaultParagraphFont"/>
    <w:link w:val="Normalaftertitle"/>
    <w:locked/>
    <w:rsid w:val="002F540C"/>
    <w:rPr>
      <w:rFonts w:eastAsia="Times New Roman" w:cs="Times New Roman"/>
      <w:kern w:val="0"/>
      <w:sz w:val="24"/>
      <w:szCs w:val="20"/>
      <w14:ligatures w14:val="none"/>
    </w:rPr>
  </w:style>
  <w:style w:type="character" w:customStyle="1" w:styleId="href">
    <w:name w:val="href"/>
    <w:basedOn w:val="DefaultParagraphFont"/>
    <w:rsid w:val="002F540C"/>
    <w:rPr>
      <w:color w:val="auto"/>
    </w:rPr>
  </w:style>
  <w:style w:type="character" w:customStyle="1" w:styleId="CallChar">
    <w:name w:val="Call Char"/>
    <w:basedOn w:val="DefaultParagraphFont"/>
    <w:link w:val="Call"/>
    <w:locked/>
    <w:rsid w:val="002F540C"/>
    <w:rPr>
      <w:rFonts w:eastAsia="Times New Roman" w:cs="Times New Roman"/>
      <w:i/>
      <w:kern w:val="0"/>
      <w:sz w:val="24"/>
      <w:szCs w:val="20"/>
      <w14:ligatures w14:val="none"/>
    </w:rPr>
  </w:style>
  <w:style w:type="character" w:customStyle="1" w:styleId="RestitleChar">
    <w:name w:val="Res_title Char"/>
    <w:basedOn w:val="DefaultParagraphFont"/>
    <w:link w:val="Restitle"/>
    <w:rsid w:val="002F540C"/>
    <w:rPr>
      <w:rFonts w:eastAsia="Times New Roman" w:cs="Times New Roman"/>
      <w:b/>
      <w:kern w:val="0"/>
      <w:sz w:val="28"/>
      <w:szCs w:val="20"/>
      <w14:ligatures w14:val="none"/>
    </w:rPr>
  </w:style>
  <w:style w:type="character" w:customStyle="1" w:styleId="ResNoChar">
    <w:name w:val="Res_No Char"/>
    <w:basedOn w:val="DefaultParagraphFont"/>
    <w:link w:val="ResNo"/>
    <w:rsid w:val="002F540C"/>
    <w:rPr>
      <w:rFonts w:eastAsia="Times New Roman" w:cs="Times New Roman"/>
      <w:kern w:val="0"/>
      <w:sz w:val="28"/>
      <w:szCs w:val="20"/>
      <w14:ligatures w14:val="none"/>
    </w:rPr>
  </w:style>
  <w:style w:type="character" w:customStyle="1" w:styleId="Heading2Char">
    <w:name w:val="Heading 2 Char"/>
    <w:basedOn w:val="DefaultParagraphFont"/>
    <w:link w:val="Heading2"/>
    <w:uiPriority w:val="9"/>
    <w:semiHidden/>
    <w:rsid w:val="002F540C"/>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FE5F63"/>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FE5F63"/>
    <w:rPr>
      <w:rFonts w:eastAsia="Times New Roman" w:cs="Times New Roman"/>
      <w:kern w:val="0"/>
      <w:sz w:val="24"/>
      <w:szCs w:val="20"/>
      <w14:ligatures w14:val="none"/>
    </w:rPr>
  </w:style>
  <w:style w:type="paragraph" w:styleId="Footer">
    <w:name w:val="footer"/>
    <w:basedOn w:val="Normal"/>
    <w:link w:val="FooterChar"/>
    <w:uiPriority w:val="99"/>
    <w:unhideWhenUsed/>
    <w:rsid w:val="00FE5F63"/>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FE5F63"/>
    <w:rPr>
      <w:rFonts w:eastAsia="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1026</Words>
  <Characters>6006</Characters>
  <Application>Microsoft Office Word</Application>
  <DocSecurity>0</DocSecurity>
  <Lines>83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18 (Rev. Kigali, 2022)</dc:title>
  <dc:subject/>
  <dc:creator>Gachet, Christelle</dc:creator>
  <cp:keywords/>
  <dc:description/>
  <cp:lastModifiedBy>Gachet, Christelle</cp:lastModifiedBy>
  <cp:revision>4</cp:revision>
  <cp:lastPrinted>2023-10-16T12:30:00Z</cp:lastPrinted>
  <dcterms:created xsi:type="dcterms:W3CDTF">2023-10-16T12:24:00Z</dcterms:created>
  <dcterms:modified xsi:type="dcterms:W3CDTF">2023-10-16T12:30:00Z</dcterms:modified>
</cp:coreProperties>
</file>