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75D9" w14:textId="77777777" w:rsidR="007D1FDF" w:rsidRPr="002B2BF7" w:rsidRDefault="007D1FDF" w:rsidP="007D1FDF">
      <w:pPr>
        <w:pStyle w:val="ResNo"/>
        <w:rPr>
          <w:lang w:val="ru-RU"/>
        </w:rPr>
      </w:pPr>
      <w:bookmarkStart w:id="0" w:name="_Toc116554154"/>
      <w:r w:rsidRPr="002B2BF7">
        <w:rPr>
          <w:lang w:val="ru-RU"/>
        </w:rPr>
        <w:t>РЕЗОЛЮЦИЯ </w:t>
      </w:r>
      <w:r w:rsidRPr="002B2BF7">
        <w:rPr>
          <w:rStyle w:val="href"/>
          <w:lang w:val="ru-RU"/>
        </w:rPr>
        <w:t>17</w:t>
      </w:r>
      <w:r w:rsidRPr="002B2BF7">
        <w:rPr>
          <w:lang w:val="ru-RU"/>
        </w:rPr>
        <w:t xml:space="preserve"> (Пересм. Кигали, 2022 г.)</w:t>
      </w:r>
      <w:bookmarkEnd w:id="0"/>
    </w:p>
    <w:p w14:paraId="6D6FAFDD" w14:textId="77777777" w:rsidR="007D1FDF" w:rsidRPr="002B2BF7" w:rsidRDefault="007D1FDF" w:rsidP="007D1FDF">
      <w:pPr>
        <w:pStyle w:val="Restitle"/>
        <w:rPr>
          <w:lang w:val="ru-RU"/>
        </w:rPr>
      </w:pPr>
      <w:bookmarkStart w:id="1" w:name="_Toc116554155"/>
      <w:r w:rsidRPr="002B2BF7">
        <w:rPr>
          <w:lang w:val="ru-RU"/>
        </w:rPr>
        <w:t>Осуществление на национальном, региональном, межрегиональном и глобальном уровнях одобренных региональных инициатив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 xml:space="preserve"> и сотрудничество по ним</w:t>
      </w:r>
      <w:bookmarkEnd w:id="1"/>
    </w:p>
    <w:p w14:paraId="70BAADAA" w14:textId="77777777" w:rsidR="007D1FDF" w:rsidRPr="002B2BF7" w:rsidRDefault="007D1FDF" w:rsidP="007D1FDF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 г.),</w:t>
      </w:r>
    </w:p>
    <w:p w14:paraId="44A540AD" w14:textId="77777777" w:rsidR="007D1FDF" w:rsidRPr="002B2BF7" w:rsidRDefault="007D1FDF" w:rsidP="007D1FDF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12AF18AC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Резолюции 34 (Пересм. Дубай, 2018 г.) Полномочной конференции о помощи и поддержке странам, находящимся в особо трудном положении,</w:t>
      </w:r>
      <w:r w:rsidRPr="002B2BF7">
        <w:rPr>
          <w:color w:val="000000"/>
          <w:lang w:val="ru-RU"/>
        </w:rPr>
        <w:t xml:space="preserve"> в восстановлении их секторов электросвязи</w:t>
      </w:r>
      <w:r w:rsidRPr="002B2BF7">
        <w:rPr>
          <w:lang w:val="ru-RU"/>
        </w:rPr>
        <w:t>;</w:t>
      </w:r>
    </w:p>
    <w:p w14:paraId="62524092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 135 (Пересм. Дубай, 2018 г.) Полномочной конференции о роли МСЭ в надежном и устойчивом 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Pr="002B2BF7">
        <w:rPr>
          <w:rStyle w:val="FootnoteReference"/>
          <w:lang w:val="ru-RU"/>
        </w:rPr>
        <w:footnoteReference w:id="2"/>
      </w:r>
      <w:r w:rsidRPr="002B2BF7">
        <w:rPr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088402D3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 157 (Пересм. Дубай, 2018 г.) Полномочной конференции об укреплении функций исполнения и мониторинга проектов в МСЭ;</w:t>
      </w:r>
    </w:p>
    <w:p w14:paraId="4B6D0DB4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о Резолюции 21 (Пересм. Кигали, 2022 г.) настоящей Конференции о координации и сотрудничестве с региональными организациями;</w:t>
      </w:r>
    </w:p>
    <w:p w14:paraId="31B37CF2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е)</w:t>
      </w:r>
      <w:r w:rsidRPr="002B2BF7">
        <w:rPr>
          <w:lang w:val="ru-RU"/>
        </w:rPr>
        <w:tab/>
        <w:t>о Резолюции 32 (Пересм. Хайдарабад, 2010 г.) Всемирной конференции по развитию электросвязи (ВКРЭ) о международном и региональном сотрудничестве по региональным инициативам;</w:t>
      </w:r>
    </w:p>
    <w:p w14:paraId="4DCD1F7D" w14:textId="77777777" w:rsidR="007D1FDF" w:rsidRPr="00E3202A" w:rsidRDefault="007D1FDF" w:rsidP="007D1FDF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о Резолюции 52 (Пересм. Дубай, 2014 г.) ВКРЭ об усилении роли Сектора развития электросвязи МСЭ (МСЭ-D) как исполнительного учреждения,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МСЭ, а также использования имеющихся на местах квалифицированных специалистов при исполнении проектов МСЭ на региональном и страновом уровнях;</w:t>
      </w:r>
      <w:r w:rsidRPr="00E3202A">
        <w:rPr>
          <w:i/>
          <w:iCs/>
          <w:lang w:val="ru-RU"/>
        </w:rPr>
        <w:br w:type="page"/>
      </w:r>
    </w:p>
    <w:p w14:paraId="513DD481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en-US"/>
        </w:rPr>
        <w:lastRenderedPageBreak/>
        <w:t>g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о механизме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и осуществления Повестки дня в области устойчивого развития на период до 2030 года,</w:t>
      </w:r>
    </w:p>
    <w:p w14:paraId="4C0E2763" w14:textId="77777777" w:rsidR="007D1FDF" w:rsidRPr="002B2BF7" w:rsidRDefault="007D1FDF" w:rsidP="007D1FDF">
      <w:pPr>
        <w:pStyle w:val="Call"/>
        <w:rPr>
          <w:lang w:val="ru-RU"/>
        </w:rPr>
      </w:pPr>
      <w:r w:rsidRPr="002B2BF7">
        <w:rPr>
          <w:lang w:val="ru-RU"/>
        </w:rPr>
        <w:t>учитывая</w:t>
      </w:r>
      <w:r w:rsidRPr="002B2BF7">
        <w:rPr>
          <w:i w:val="0"/>
          <w:iCs/>
          <w:lang w:val="ru-RU"/>
        </w:rPr>
        <w:t>,</w:t>
      </w:r>
    </w:p>
    <w:p w14:paraId="5609E897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что электросвязь/ИКТ являются одним из важнейших элементов, способствующих росту национальной экономики и охране окружающей среды;</w:t>
      </w:r>
    </w:p>
    <w:p w14:paraId="552CCAB6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для достижения целей, стоящих перед развивающимися странами, могут потребоваться новые политические подходы для решения задач роста как в количественном, так и в качественном отношениях;</w:t>
      </w:r>
    </w:p>
    <w:p w14:paraId="32698A80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развивающиеся страны испытывают нарастающую потребность в получении знаний о быстро развивающихся технологиях, а также по связанным с ними политическим и стратегическим вопросам;</w:t>
      </w:r>
    </w:p>
    <w:p w14:paraId="15F316EF" w14:textId="77777777" w:rsidR="007D1FDF" w:rsidRPr="002B2BF7" w:rsidRDefault="007D1FDF" w:rsidP="007D1FDF">
      <w:pPr>
        <w:rPr>
          <w:lang w:val="ru-RU" w:bidi="ar-EG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МСЭ-</w:t>
      </w:r>
      <w:r w:rsidRPr="002B2BF7">
        <w:rPr>
          <w:lang w:val="ru-RU" w:bidi="ar-EG"/>
        </w:rPr>
        <w:t>D представляет собой надлежащую платформу для обмена практикой и передовым опытом в области развития сектора электросвязи/ИКТ;</w:t>
      </w:r>
    </w:p>
    <w:p w14:paraId="29C39EC6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жизненно важное значение сотрудничества между Государствами-Членами, Членами Сектора МСЭ-D и Ассоциированными членами МСЭ-D для осуществления региональных инициатив;</w:t>
      </w:r>
    </w:p>
    <w:p w14:paraId="50AEE480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>вызывающие удовлетворение и внушающие надежды результаты, которые были достигнуты в ходе выполнения проектов, получивших международную поддержку в рамках сотрудничества по инициативе Бюро развития электросвязи (БРЭ);</w:t>
      </w:r>
    </w:p>
    <w:p w14:paraId="6080E2C8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что сети и услуги электросвязи, способствующие устойчивому развитию, являются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14:paraId="4B88FC28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h)</w:t>
      </w:r>
      <w:r w:rsidRPr="002B2BF7">
        <w:rPr>
          <w:lang w:val="ru-RU"/>
        </w:rPr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14:paraId="613E5AC7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i)</w:t>
      </w:r>
      <w:r w:rsidRPr="002B2BF7">
        <w:rPr>
          <w:lang w:val="ru-RU"/>
        </w:rPr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14:paraId="302D72BD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j)</w:t>
      </w:r>
      <w:r w:rsidRPr="002B2BF7">
        <w:rPr>
          <w:lang w:val="ru-RU"/>
        </w:rPr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группам;</w:t>
      </w:r>
    </w:p>
    <w:p w14:paraId="5A978C75" w14:textId="77777777" w:rsidR="007D1FDF" w:rsidRPr="002B2BF7" w:rsidRDefault="007D1FDF" w:rsidP="007D1FDF">
      <w:pPr>
        <w:rPr>
          <w:i/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lang w:val="ru-RU"/>
        </w:rPr>
        <w:tab/>
        <w:t xml:space="preserve">значение </w:t>
      </w:r>
      <w:r w:rsidRPr="002B2BF7">
        <w:rPr>
          <w:color w:val="000000"/>
          <w:lang w:val="ru-RU"/>
        </w:rPr>
        <w:t>сектора электросвязи/ИКТ и его вклад в достижение Целей в области устойчивого развития Организации Объединенных Наций</w:t>
      </w:r>
      <w:r w:rsidRPr="002B2BF7">
        <w:rPr>
          <w:lang w:val="ru-RU"/>
        </w:rPr>
        <w:t>,</w:t>
      </w:r>
      <w:r w:rsidRPr="002B2BF7">
        <w:rPr>
          <w:lang w:val="ru-RU"/>
        </w:rPr>
        <w:br w:type="page"/>
      </w:r>
    </w:p>
    <w:p w14:paraId="02F44F81" w14:textId="77777777" w:rsidR="007D1FDF" w:rsidRPr="002B2BF7" w:rsidRDefault="007D1FDF" w:rsidP="007D1FDF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lastRenderedPageBreak/>
        <w:t>признавая</w:t>
      </w:r>
      <w:r w:rsidRPr="002B2BF7">
        <w:rPr>
          <w:i w:val="0"/>
          <w:iCs/>
          <w:lang w:val="ru-RU"/>
        </w:rPr>
        <w:t>,</w:t>
      </w:r>
    </w:p>
    <w:p w14:paraId="719ACA06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развивающиеся страны и страны, участвующие в региональных инициативах, находятся на различных этапах развития;</w:t>
      </w:r>
    </w:p>
    <w:p w14:paraId="5A4530EE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что, принимая во внимание имеющиеся в распоряжении развивающихся стран ресурсы, важной задачей для МСЭ как специализированного учреждения Организации Объединенных Наций в области электросвязи является оказание этим странам помощи в удовлетворении потребностей, упомянутых в пункте </w:t>
      </w:r>
      <w:r w:rsidRPr="002B2BF7">
        <w:rPr>
          <w:i/>
          <w:iCs/>
          <w:lang w:val="ru-RU"/>
        </w:rPr>
        <w:t xml:space="preserve">c) </w:t>
      </w:r>
      <w:r w:rsidRPr="002B2BF7">
        <w:rPr>
          <w:lang w:val="ru-RU"/>
        </w:rPr>
        <w:t xml:space="preserve">раздела </w:t>
      </w:r>
      <w:r w:rsidRPr="002B2BF7">
        <w:rPr>
          <w:i/>
          <w:iCs/>
          <w:lang w:val="ru-RU"/>
        </w:rPr>
        <w:t>учитывая</w:t>
      </w:r>
      <w:r w:rsidRPr="002B2BF7">
        <w:rPr>
          <w:lang w:val="ru-RU"/>
        </w:rPr>
        <w:t>,</w:t>
      </w:r>
      <w:r w:rsidRPr="002B2BF7">
        <w:rPr>
          <w:i/>
          <w:iCs/>
          <w:lang w:val="ru-RU"/>
        </w:rPr>
        <w:t xml:space="preserve"> </w:t>
      </w:r>
      <w:r w:rsidRPr="002B2BF7">
        <w:rPr>
          <w:lang w:val="ru-RU"/>
        </w:rPr>
        <w:t>выше;</w:t>
      </w:r>
    </w:p>
    <w:p w14:paraId="2B7308D5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>возникающую ввиду этого потребность в обмене опытом по развитию электросвязи на региональном, межрегиональном и глобальном уровнях в целях поддержки этих стран;</w:t>
      </w:r>
    </w:p>
    <w:p w14:paraId="77269C35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МСЭ и региональные организации разделяют общее мнение о том, что тесное сотрудничество может содействовать региональному развитию электросвязи/ИКТ в целях поддержки этих стран;</w:t>
      </w:r>
    </w:p>
    <w:p w14:paraId="1F438C60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ab/>
        <w:t>что существует постоянная необходимость в более тесном сотрудничестве МСЭ – через свои региональные и зональные отделения – с региональными и субрегиональными организациями, в том числе с региональными организациями регуляторных органов, в целях поддержки этих стран;</w:t>
      </w:r>
    </w:p>
    <w:p w14:paraId="7D6D00BC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eastAsia="es-ES"/>
        </w:rPr>
        <w:t>f</w:t>
      </w:r>
      <w:r w:rsidRPr="002B2BF7">
        <w:rPr>
          <w:i/>
          <w:iCs/>
          <w:lang w:val="ru-RU" w:eastAsia="es-ES"/>
        </w:rPr>
        <w:t>)</w:t>
      </w:r>
      <w:r w:rsidRPr="002B2BF7">
        <w:rPr>
          <w:lang w:val="ru-RU" w:eastAsia="es-ES"/>
        </w:rPr>
        <w:tab/>
        <w:t>важную роль региональных и зональных отделений МСЭ в обеспечении эффективного сотрудничества с региональными организациями,</w:t>
      </w:r>
    </w:p>
    <w:p w14:paraId="59C21F89" w14:textId="77777777" w:rsidR="007D1FDF" w:rsidRPr="002B2BF7" w:rsidRDefault="007D1FDF" w:rsidP="007D1FDF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0740B2B3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14:paraId="58142E08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от Программы развития Организации Объединенных Наций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14:paraId="1936BACE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электросвязи;</w:t>
      </w:r>
    </w:p>
    <w:p w14:paraId="63A938C4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szCs w:val="24"/>
        </w:rPr>
        <w:t>d</w:t>
      </w:r>
      <w:r w:rsidRPr="002B2BF7">
        <w:rPr>
          <w:i/>
          <w:iCs/>
          <w:szCs w:val="24"/>
          <w:lang w:val="ru-RU"/>
        </w:rPr>
        <w:t>)</w:t>
      </w:r>
      <w:r w:rsidRPr="002B2BF7">
        <w:rPr>
          <w:szCs w:val="24"/>
          <w:lang w:val="ru-RU"/>
        </w:rPr>
        <w:tab/>
      </w:r>
      <w:r w:rsidRPr="002B2BF7">
        <w:rPr>
          <w:lang w:val="ru-RU"/>
        </w:rPr>
        <w:t>что национальная политика и нормативные требования некоторых Государств-Членов могут создавать препятствия для реализации таких инициатив;</w:t>
      </w:r>
    </w:p>
    <w:p w14:paraId="6DF39F6D" w14:textId="77777777" w:rsidR="007D1FDF" w:rsidRPr="002B2BF7" w:rsidRDefault="007D1FDF" w:rsidP="007D1FDF">
      <w:pPr>
        <w:rPr>
          <w:i/>
          <w:lang w:val="ru-RU"/>
        </w:rPr>
      </w:pPr>
      <w:r w:rsidRPr="002B2BF7">
        <w:rPr>
          <w:i/>
          <w:iCs/>
        </w:rPr>
        <w:t>e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важную роль цифровой коалиции "Партнерство для подключения" (</w:t>
      </w:r>
      <w:r w:rsidRPr="002B2BF7">
        <w:t>P</w:t>
      </w:r>
      <w:r w:rsidRPr="002B2BF7">
        <w:rPr>
          <w:lang w:val="ru-RU"/>
        </w:rPr>
        <w:t>2</w:t>
      </w:r>
      <w:r w:rsidRPr="002B2BF7">
        <w:t>C</w:t>
      </w:r>
      <w:r w:rsidRPr="002B2BF7">
        <w:rPr>
          <w:lang w:val="ru-RU"/>
        </w:rPr>
        <w:t>) для развития деятельности/проектов, связанных с цифровой трансформацией, на глобальном и региональном уровнях,</w:t>
      </w:r>
      <w:r w:rsidRPr="002B2BF7">
        <w:rPr>
          <w:lang w:val="ru-RU"/>
        </w:rPr>
        <w:br w:type="page"/>
      </w:r>
    </w:p>
    <w:p w14:paraId="36380BD7" w14:textId="77777777" w:rsidR="007D1FDF" w:rsidRPr="002B2BF7" w:rsidRDefault="007D1FDF" w:rsidP="007D1FDF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отмечая</w:t>
      </w:r>
      <w:r w:rsidRPr="002B2BF7">
        <w:rPr>
          <w:i w:val="0"/>
          <w:iCs/>
          <w:lang w:val="ru-RU"/>
        </w:rPr>
        <w:t>,</w:t>
      </w:r>
    </w:p>
    <w:p w14:paraId="1F2AF8AC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Резолюция 73 (Пересм. Кигали, 2022 г.) настоящей Конференции о центрах профессиональной подготовки Академии МСЭ направлена на оказание содействия членам в создании и развитии потенциала;</w:t>
      </w:r>
    </w:p>
    <w:p w14:paraId="4E928F7D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соответствующие региональные организации играют значимую и важную роль в деле оказания поддержки развивающимся странам в таких областях, как региональное сотрудничество и деятельность по оказанию технической помощи;</w:t>
      </w:r>
    </w:p>
    <w:p w14:paraId="6797804E" w14:textId="77777777" w:rsidR="007D1FDF" w:rsidRPr="002B2BF7" w:rsidRDefault="007D1FDF" w:rsidP="007D1FDF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</w:r>
    </w:p>
    <w:p w14:paraId="3A221EA2" w14:textId="77777777" w:rsidR="007D1FDF" w:rsidRPr="002B2BF7" w:rsidRDefault="007D1FDF" w:rsidP="007D1FDF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  <w:r w:rsidRPr="002B2BF7">
        <w:rPr>
          <w:i w:val="0"/>
          <w:iCs/>
          <w:lang w:val="ru-RU"/>
        </w:rPr>
        <w:t>,</w:t>
      </w:r>
    </w:p>
    <w:p w14:paraId="49FDEEB7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что БРЭ, в том числе через региональные отделения МСЭ, следует укреплять свои отношения с региональными и субрегиональными организациями путем непрерывного сотрудничества, с тем чтобы стимулировать взаимный обмен опытом и помощь в рамках осуществления этих региональных инициатив, при максимальном использовании имеющихся в распоряжении БРЭ ресурсов, а также его ежегодного бюджета и излишков средств по мероприятиям ITU Telecom;</w:t>
      </w:r>
    </w:p>
    <w:p w14:paraId="2DBBAF5C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чтобы БРЭ продолжало оказывать активную помощь развивающимся странам в разработке и осуществлении этих региональных инициатив, которые указаны в Кигалийском плане действий;</w:t>
      </w:r>
    </w:p>
    <w:p w14:paraId="14431DD6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чтобы БРЭ предоставило сметную разбивку по статьям взносов в денежной и/или натуральной форме на реализацию проектов в рамках региональных инициатив и их стоимости в предлагаемом бюджете проектов с учетом пункта </w:t>
      </w:r>
      <w:r w:rsidRPr="002B2BF7">
        <w:rPr>
          <w:i/>
          <w:iCs/>
        </w:rPr>
        <w:t>a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 xml:space="preserve"> раздела </w:t>
      </w:r>
      <w:r w:rsidRPr="002B2BF7">
        <w:rPr>
          <w:i/>
          <w:iCs/>
          <w:lang w:val="ru-RU"/>
        </w:rPr>
        <w:t>признавая</w:t>
      </w:r>
      <w:r w:rsidRPr="002B2BF7">
        <w:rPr>
          <w:lang w:val="ru-RU"/>
        </w:rPr>
        <w:t>, выше;</w:t>
      </w:r>
    </w:p>
    <w:p w14:paraId="6DDC642B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что бюджетные ассигнования на осуществление региональных инициатив должны быть выделены в отдельные статьи в бюджете Сектора, который подлежит исполнению БРЭ, при этом средства, выделенные на текущие проекты, будут отделены от средств, выделяемых на новые проекты, и представлены в разбивке по регионам;</w:t>
      </w:r>
    </w:p>
    <w:p w14:paraId="3AFBC620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14:paraId="67EC80E1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что БРЭ следует продолжать 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  <w:r w:rsidRPr="002B2BF7">
        <w:rPr>
          <w:lang w:val="ru-RU"/>
        </w:rPr>
        <w:br w:type="page"/>
      </w:r>
    </w:p>
    <w:p w14:paraId="77192DF9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lastRenderedPageBreak/>
        <w:t>7</w:t>
      </w:r>
      <w:r w:rsidRPr="002B2BF7">
        <w:rPr>
          <w:lang w:val="ru-RU"/>
        </w:rPr>
        <w:tab/>
        <w:t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Кигалийский план действий;</w:t>
      </w:r>
    </w:p>
    <w:p w14:paraId="1C059B6D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что БРЭ через региональные отделения МСЭ следует представлять информацию, накапливаемую во время реализации региональных инициатив каждого региона (результатах, заинтересованных сторонах, использованных финансовых ресурсах и т. д.), Государствам-Членам и региональным организациям электросвязи,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регионах, и размещало ее на портале, посвященном осуществлению проектов, на шести официальных языках Союза;</w:t>
      </w:r>
    </w:p>
    <w:p w14:paraId="1E2862B7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  <w:t>что БРЭ следует представлять отчеты для региональных форумов по вопросам развития (РФР) о ходе выполнения региональных инициатив, в том числе о полученных результатах, заинтересованных сторонах и использованных финансовых ресурсах,</w:t>
      </w:r>
    </w:p>
    <w:p w14:paraId="0E5FD037" w14:textId="77777777" w:rsidR="007D1FDF" w:rsidRPr="002B2BF7" w:rsidRDefault="007D1FDF" w:rsidP="007D1FDF">
      <w:pPr>
        <w:pStyle w:val="Call"/>
        <w:rPr>
          <w:lang w:val="ru-RU"/>
        </w:rPr>
      </w:pPr>
      <w:r w:rsidRPr="002B2BF7">
        <w:rPr>
          <w:lang w:val="ru-RU"/>
        </w:rPr>
        <w:t>призывает международные финансовые организации/учреждения, поставщиков оборудования и операторов/поставщиков услуг</w:t>
      </w:r>
    </w:p>
    <w:p w14:paraId="0CC37745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участвовать полностью или частично в финансировании этих одобренных региональных инициатив,</w:t>
      </w:r>
    </w:p>
    <w:p w14:paraId="41C348C4" w14:textId="77777777" w:rsidR="007D1FDF" w:rsidRPr="002B2BF7" w:rsidRDefault="007D1FDF" w:rsidP="007D1FDF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</w:t>
      </w:r>
    </w:p>
    <w:p w14:paraId="7BCB519B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региональных инициатив и, в особенности, подобных инициатив, согласованных на международном уровне;</w:t>
      </w:r>
    </w:p>
    <w:p w14:paraId="42068F4F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обеспечить, чтобы БРЭ проводило активную координацию, сотрудничало и организовывало совместные мероприятия в областях, представляющих общий интерес, с региональными организациями электросвязи и учреждениями профессиональной подготовки, а также принимало во внимание их деятельность и оказывало им прямую техническую помощь;</w:t>
      </w:r>
    </w:p>
    <w:p w14:paraId="10B4A80A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выступить на ежегодном Глобальном симпозиуме для регуляторных органов и на РФР с призывом оказать всемирную и региональную поддержку реализации этих региональных инициатив;</w:t>
      </w:r>
      <w:r w:rsidRPr="002B2BF7">
        <w:rPr>
          <w:lang w:val="ru-RU"/>
        </w:rPr>
        <w:br w:type="page"/>
      </w:r>
    </w:p>
    <w:p w14:paraId="7D9F2F0B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оказывать региональным отделениям МСЭ поддержку в форме необходимых людских и финансовых ресурсов для осуществления ими функций по контролю за осуществлением инициатив, одобренных в их регионах, определить влияние этих региональных инициатив, учитывая возможные преимущества на национальном уровне, в сотрудничестве со странами, в которых они были реализованы, и представлять Консультативной группе по развитию электросвязи и Совету МСЭ ежегодный отчет о выполнении настоящей Резолюции;</w:t>
      </w:r>
    </w:p>
    <w:p w14:paraId="5EDCA7AA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>продолжать способствовать распространению результатов проектов, реализуемых в рамках региональных инициатив, на другие регионы;</w:t>
      </w:r>
    </w:p>
    <w:p w14:paraId="52190989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проводить ежегодные собрания в каждом регионе, посвященные обсуждению региональных инициатив и проектов для каждого региона, а также механизмов осуществления принятых инициатив и информированию о потребностях различных регионов; по возможности, проводить РФР в сочетании с ежегодными собраниями по каждому региону;</w:t>
      </w:r>
    </w:p>
    <w:p w14:paraId="258FB260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всемерно содействовать проведению консультаций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в натуральном и/или денежном выражении и решить другие вопросы, а также чтобы содействовать процессу достижения целей на основе участия и открытости для всех;</w:t>
      </w:r>
    </w:p>
    <w:p w14:paraId="14BACC0B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8</w:t>
      </w:r>
      <w:r w:rsidRPr="002B2BF7">
        <w:rPr>
          <w:lang w:val="ru-RU"/>
        </w:rPr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инициатив;</w:t>
      </w:r>
    </w:p>
    <w:p w14:paraId="5D327A31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9</w:t>
      </w:r>
      <w:r w:rsidRPr="002B2BF7">
        <w:rPr>
          <w:lang w:val="ru-RU"/>
        </w:rPr>
        <w:tab/>
        <w:t>обеспечить, чтобы БРЭ способствовало активному участию региональных и субрегиональных организаций электросвязи в различных этапах управления проектами, установленных МСЭ, а также в налаживании партнерских отношений и мобилизации ресурсов в целях оказания эффективного содействия реализации региональных инициатив,</w:t>
      </w:r>
    </w:p>
    <w:p w14:paraId="74868C7A" w14:textId="77777777" w:rsidR="007D1FDF" w:rsidRPr="002B2BF7" w:rsidRDefault="007D1FDF" w:rsidP="007D1FDF">
      <w:pPr>
        <w:pStyle w:val="Call"/>
        <w:rPr>
          <w:lang w:val="ru-RU"/>
        </w:rPr>
      </w:pPr>
      <w:r w:rsidRPr="002B2BF7">
        <w:rPr>
          <w:lang w:val="ru-RU"/>
        </w:rPr>
        <w:t>просит Генерального секретаря</w:t>
      </w:r>
    </w:p>
    <w:p w14:paraId="68C82CFD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осуществление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</w:r>
      <w:r w:rsidRPr="002B2BF7">
        <w:rPr>
          <w:lang w:val="ru-RU"/>
        </w:rPr>
        <w:br w:type="page"/>
      </w:r>
    </w:p>
    <w:p w14:paraId="6272CBBC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>сделать все возможное, чтобы стимулировать частный сектор к принятию мер, содействующих сотрудничеству с Государствами-Членами в рамках этих региональных инициатив, включая страны с особыми потребностями;</w:t>
      </w:r>
    </w:p>
    <w:p w14:paraId="68FEE5BA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продолжать тесно сотрудничать с координационным механизмом, созданным в системе Организации Объединенных Наций, и с пятью региональными комиссиями Организации Объединенных Наций;</w:t>
      </w:r>
    </w:p>
    <w:p w14:paraId="15C00922" w14:textId="77777777" w:rsidR="007D1FDF" w:rsidRPr="002B2BF7" w:rsidRDefault="007D1FDF" w:rsidP="007D1FDF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довести настоящую Резолюцию до сведения Полномочной конференции, с тем чтобы предусмотреть в бюджете надлежащий объем финансовых ресурсов для осуществления одобренных региональных инициатив</w:t>
      </w:r>
      <w:r w:rsidRPr="002B2BF7">
        <w:rPr>
          <w:rFonts w:ascii="Times New Roman" w:hAnsi="Times New Roman"/>
          <w:szCs w:val="22"/>
          <w:lang w:val="ru-RU"/>
        </w:rPr>
        <w:t>.</w:t>
      </w:r>
    </w:p>
    <w:p w14:paraId="032B1ACC" w14:textId="77777777" w:rsidR="007D1FDF" w:rsidRPr="002B2BF7" w:rsidRDefault="007D1FDF" w:rsidP="007D1FDF">
      <w:pPr>
        <w:pStyle w:val="Reasons"/>
        <w:rPr>
          <w:lang w:val="ru-RU"/>
        </w:rPr>
      </w:pPr>
    </w:p>
    <w:p w14:paraId="27AFB57D" w14:textId="77777777" w:rsidR="007D1FDF" w:rsidRPr="002B2BF7" w:rsidRDefault="007D1FDF" w:rsidP="007D1FDF">
      <w:pPr>
        <w:pStyle w:val="Reasons"/>
        <w:rPr>
          <w:lang w:val="ru-RU"/>
        </w:rPr>
      </w:pPr>
    </w:p>
    <w:p w14:paraId="1AD24ACA" w14:textId="77777777" w:rsidR="007D1FDF" w:rsidRPr="002B2BF7" w:rsidRDefault="007D1FDF" w:rsidP="007D1FDF">
      <w:pPr>
        <w:pStyle w:val="Reasons"/>
        <w:rPr>
          <w:lang w:val="ru-RU"/>
        </w:rPr>
      </w:pPr>
    </w:p>
    <w:p w14:paraId="108BF1B7" w14:textId="77777777" w:rsidR="007D1FDF" w:rsidRPr="002B2BF7" w:rsidRDefault="007D1FDF" w:rsidP="007D1FDF">
      <w:pPr>
        <w:pStyle w:val="Reasons"/>
        <w:rPr>
          <w:lang w:val="ru-RU"/>
        </w:rPr>
      </w:pPr>
    </w:p>
    <w:p w14:paraId="63C4B426" w14:textId="77777777" w:rsidR="007D1FDF" w:rsidRPr="002B2BF7" w:rsidRDefault="007D1FDF" w:rsidP="007D1FDF">
      <w:pPr>
        <w:pStyle w:val="Reasons"/>
        <w:rPr>
          <w:lang w:val="ru-RU"/>
        </w:rPr>
      </w:pPr>
    </w:p>
    <w:p w14:paraId="0C3FF844" w14:textId="77777777" w:rsidR="007D1FDF" w:rsidRPr="002B2BF7" w:rsidRDefault="007D1FDF" w:rsidP="007D1FDF">
      <w:pPr>
        <w:pStyle w:val="Reasons"/>
        <w:rPr>
          <w:lang w:val="ru-RU"/>
        </w:rPr>
      </w:pPr>
    </w:p>
    <w:p w14:paraId="0D23EFBF" w14:textId="77777777" w:rsidR="007D1FDF" w:rsidRPr="002B2BF7" w:rsidRDefault="007D1FDF" w:rsidP="007D1FDF">
      <w:pPr>
        <w:pStyle w:val="Reasons"/>
        <w:rPr>
          <w:lang w:val="ru-RU"/>
        </w:rPr>
      </w:pPr>
    </w:p>
    <w:p w14:paraId="2234F2FF" w14:textId="7BBF1AE9" w:rsidR="00976299" w:rsidRPr="007D1FDF" w:rsidRDefault="00976299" w:rsidP="007D1FDF"/>
    <w:sectPr w:rsidR="00976299" w:rsidRPr="007D1FDF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36B117DA" w14:textId="77777777" w:rsidR="007D1FDF" w:rsidRPr="00C27C63" w:rsidRDefault="007D1FDF" w:rsidP="007D1FD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C27C63">
        <w:rPr>
          <w:lang w:val="ru-RU"/>
        </w:rPr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14:paraId="42ECD924" w14:textId="77777777" w:rsidR="007D1FDF" w:rsidRPr="00FE2866" w:rsidRDefault="007D1FDF" w:rsidP="007D1FD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78872ADA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7D1FDF">
          <w:rPr>
            <w:noProof/>
            <w:szCs w:val="22"/>
          </w:rPr>
          <w:t>17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19821249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7D1FDF">
      <w:rPr>
        <w:noProof/>
        <w:szCs w:val="22"/>
      </w:rPr>
      <w:t>17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37AD"/>
    <w:rsid w:val="000D1BE4"/>
    <w:rsid w:val="000F689C"/>
    <w:rsid w:val="00204E9F"/>
    <w:rsid w:val="003E584B"/>
    <w:rsid w:val="00595A93"/>
    <w:rsid w:val="006A35C7"/>
    <w:rsid w:val="007D1FDF"/>
    <w:rsid w:val="009374F3"/>
    <w:rsid w:val="00976299"/>
    <w:rsid w:val="00DD3985"/>
    <w:rsid w:val="00E45F09"/>
    <w:rsid w:val="00F063A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5C7"/>
    <w:pPr>
      <w:keepNext/>
      <w:keepLines/>
      <w:spacing w:before="240"/>
      <w:ind w:left="1134" w:hanging="1134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uiPriority w:val="9"/>
    <w:rsid w:val="006A35C7"/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AnnexNo">
    <w:name w:val="Annex_No"/>
    <w:basedOn w:val="Normal"/>
    <w:next w:val="Normal"/>
    <w:link w:val="AnnexNoChar"/>
    <w:rsid w:val="009762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Heading2"/>
    <w:next w:val="Normal"/>
    <w:rsid w:val="00204E9F"/>
    <w:pPr>
      <w:spacing w:before="240" w:after="280"/>
      <w:jc w:val="center"/>
    </w:pPr>
    <w:rPr>
      <w:rFonts w:ascii="Calibri" w:eastAsia="Calibri" w:hAnsi="Calibri" w:cs="Times New Roman"/>
      <w:b/>
      <w:iCs/>
      <w:color w:val="auto"/>
      <w:sz w:val="28"/>
      <w:szCs w:val="20"/>
      <w:bdr w:val="none" w:sz="0" w:space="0" w:color="auto" w:frame="1"/>
      <w:lang w:eastAsia="en-GB"/>
    </w:rPr>
  </w:style>
  <w:style w:type="paragraph" w:customStyle="1" w:styleId="enumlev1">
    <w:name w:val="enumlev1"/>
    <w:basedOn w:val="Normal"/>
    <w:link w:val="enumlev1Char"/>
    <w:rsid w:val="009762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976299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character" w:styleId="FootnoteReference">
    <w:name w:val="footnote reference"/>
    <w:basedOn w:val="DefaultParagraphFont"/>
    <w:rsid w:val="0097629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976299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976299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Tabletext">
    <w:name w:val="Table_text"/>
    <w:basedOn w:val="Normal"/>
    <w:link w:val="TabletextChar"/>
    <w:rsid w:val="009762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Headingb">
    <w:name w:val="Heading_b"/>
    <w:basedOn w:val="Normal"/>
    <w:next w:val="Normal"/>
    <w:link w:val="HeadingbChar"/>
    <w:qFormat/>
    <w:rsid w:val="00976299"/>
    <w:pPr>
      <w:keepNext/>
      <w:spacing w:before="160"/>
    </w:pPr>
    <w:rPr>
      <w:rFonts w:cs="Times New Roman Bold"/>
      <w:b/>
      <w:lang w:val="fr-CH"/>
    </w:rPr>
  </w:style>
  <w:style w:type="character" w:customStyle="1" w:styleId="HeadingbChar">
    <w:name w:val="Heading_b Char"/>
    <w:basedOn w:val="DefaultParagraphFont"/>
    <w:link w:val="Headingb"/>
    <w:locked/>
    <w:rsid w:val="00976299"/>
    <w:rPr>
      <w:rFonts w:ascii="Calibri" w:eastAsia="Times New Roman" w:hAnsi="Calibri" w:cs="Times New Roman Bold"/>
      <w:b/>
      <w:kern w:val="0"/>
      <w:sz w:val="24"/>
      <w:szCs w:val="20"/>
      <w:lang w:val="fr-CH"/>
      <w14:ligatures w14:val="none"/>
    </w:rPr>
  </w:style>
  <w:style w:type="character" w:styleId="Hyperlink">
    <w:name w:val="Hyperlink"/>
    <w:rsid w:val="00976299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97629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nnexNoChar">
    <w:name w:val="Annex_No Char"/>
    <w:basedOn w:val="DefaultParagraphFont"/>
    <w:link w:val="AnnexNo"/>
    <w:rsid w:val="00976299"/>
    <w:rPr>
      <w:rFonts w:ascii="Calibri" w:eastAsia="Times New Roman" w:hAnsi="Calibri" w:cs="Times New Roman"/>
      <w:cap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9</cp:revision>
  <dcterms:created xsi:type="dcterms:W3CDTF">2023-10-16T12:49:00Z</dcterms:created>
  <dcterms:modified xsi:type="dcterms:W3CDTF">2023-10-16T14:39:00Z</dcterms:modified>
</cp:coreProperties>
</file>