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D23AD" w14:textId="77777777" w:rsidR="00367EFD" w:rsidRPr="00E17456" w:rsidRDefault="00367EFD" w:rsidP="00367EFD">
      <w:pPr>
        <w:pStyle w:val="ResNo"/>
        <w:rPr>
          <w:lang w:val="es-ES_tradnl"/>
        </w:rPr>
      </w:pPr>
      <w:bookmarkStart w:id="0" w:name="_Toc116916959"/>
      <w:bookmarkStart w:id="1" w:name="_Toc116918528"/>
      <w:bookmarkStart w:id="2" w:name="_Toc116919019"/>
      <w:bookmarkStart w:id="3" w:name="_Toc116919506"/>
      <w:r w:rsidRPr="00E17456">
        <w:rPr>
          <w:lang w:val="es-ES_tradnl"/>
        </w:rPr>
        <w:t xml:space="preserve">RESOLUCIÓN </w:t>
      </w:r>
      <w:r w:rsidRPr="00E17456">
        <w:rPr>
          <w:rStyle w:val="href"/>
          <w:lang w:val="es-ES_tradnl"/>
        </w:rPr>
        <w:t>10</w:t>
      </w:r>
      <w:r w:rsidRPr="00E17456">
        <w:rPr>
          <w:lang w:val="es-ES_tradnl"/>
        </w:rPr>
        <w:t xml:space="preserve"> (Rev. Hyderabad, 2010)</w:t>
      </w:r>
      <w:bookmarkEnd w:id="0"/>
      <w:bookmarkEnd w:id="1"/>
      <w:bookmarkEnd w:id="2"/>
      <w:bookmarkEnd w:id="3"/>
    </w:p>
    <w:p w14:paraId="26EE4EEF" w14:textId="77777777" w:rsidR="00367EFD" w:rsidRPr="00E17456" w:rsidRDefault="00367EFD" w:rsidP="00367EFD">
      <w:pPr>
        <w:pStyle w:val="Restitle"/>
        <w:rPr>
          <w:lang w:val="es-ES_tradnl"/>
        </w:rPr>
      </w:pPr>
      <w:bookmarkStart w:id="4" w:name="_Toc116916960"/>
      <w:bookmarkStart w:id="5" w:name="_Toc116918529"/>
      <w:bookmarkStart w:id="6" w:name="_Toc116919020"/>
      <w:bookmarkStart w:id="7" w:name="_Toc116919507"/>
      <w:r w:rsidRPr="00E17456">
        <w:rPr>
          <w:lang w:val="es-ES_tradnl"/>
        </w:rPr>
        <w:t>Apoyo financiero a los programas nacionales de gestión del espectro</w:t>
      </w:r>
      <w:bookmarkEnd w:id="4"/>
      <w:bookmarkEnd w:id="5"/>
      <w:bookmarkEnd w:id="6"/>
      <w:bookmarkEnd w:id="7"/>
    </w:p>
    <w:p w14:paraId="1F56EB50" w14:textId="77777777" w:rsidR="00367EFD" w:rsidRPr="00E17456" w:rsidRDefault="00367EFD" w:rsidP="00367EFD">
      <w:pPr>
        <w:pStyle w:val="Normalaftertitle"/>
        <w:spacing w:before="360"/>
        <w:rPr>
          <w:lang w:val="es-ES_tradnl"/>
        </w:rPr>
      </w:pPr>
      <w:r w:rsidRPr="00E17456">
        <w:rPr>
          <w:lang w:val="es-ES_tradnl"/>
        </w:rPr>
        <w:t>La Conferencia Mundial de Desarrollo de las Telecomunicaciones (Hyderabad, 2010),</w:t>
      </w:r>
    </w:p>
    <w:p w14:paraId="648E1049" w14:textId="77777777" w:rsidR="00367EFD" w:rsidRPr="00E17456" w:rsidRDefault="00367EFD" w:rsidP="00367EFD">
      <w:pPr>
        <w:pStyle w:val="Call"/>
        <w:rPr>
          <w:lang w:val="es-ES_tradnl"/>
        </w:rPr>
      </w:pPr>
      <w:r w:rsidRPr="00E17456">
        <w:rPr>
          <w:lang w:val="es-ES_tradnl"/>
        </w:rPr>
        <w:t>recordando</w:t>
      </w:r>
    </w:p>
    <w:p w14:paraId="3913B183" w14:textId="77777777" w:rsidR="00367EFD" w:rsidRPr="00E17456" w:rsidRDefault="00367EFD" w:rsidP="00367EFD">
      <w:pPr>
        <w:rPr>
          <w:lang w:val="es-ES_tradnl"/>
        </w:rPr>
      </w:pPr>
      <w:r w:rsidRPr="00E17456">
        <w:rPr>
          <w:lang w:val="es-ES_tradnl"/>
        </w:rPr>
        <w:t>la Resolución 10 (Rev. Doha, 2006) de la Conferencia Mundial de Desarrollo de las Telecomunicaciones (CMDT),</w:t>
      </w:r>
    </w:p>
    <w:p w14:paraId="438DC522" w14:textId="77777777" w:rsidR="00367EFD" w:rsidRPr="00E17456" w:rsidRDefault="00367EFD" w:rsidP="00367EFD">
      <w:pPr>
        <w:pStyle w:val="Call"/>
        <w:rPr>
          <w:lang w:val="es-ES_tradnl"/>
        </w:rPr>
      </w:pPr>
      <w:r w:rsidRPr="00E17456">
        <w:rPr>
          <w:lang w:val="es-ES_tradnl"/>
        </w:rPr>
        <w:t>considerando</w:t>
      </w:r>
    </w:p>
    <w:p w14:paraId="30D07B53" w14:textId="77777777" w:rsidR="00367EFD" w:rsidRPr="00E17456" w:rsidRDefault="00367EFD" w:rsidP="00367EFD">
      <w:pPr>
        <w:rPr>
          <w:lang w:val="es-ES_tradnl"/>
        </w:rPr>
      </w:pPr>
      <w:r w:rsidRPr="00E17456">
        <w:rPr>
          <w:i/>
          <w:iCs/>
          <w:lang w:val="es-ES_tradnl"/>
        </w:rPr>
        <w:t>a)</w:t>
      </w:r>
      <w:r w:rsidRPr="00E17456">
        <w:rPr>
          <w:lang w:val="es-ES_tradnl"/>
        </w:rPr>
        <w:tab/>
        <w:t>que estamos experimentando actualmente la implantación y mundialización aceleradas de los distintos servicios de radiocomunicaciones y la aparición de nuevas aplicaciones eficaces de las radiocomunicaciones;</w:t>
      </w:r>
    </w:p>
    <w:p w14:paraId="4917EE0D" w14:textId="77777777" w:rsidR="00367EFD" w:rsidRPr="00E17456" w:rsidRDefault="00367EFD" w:rsidP="00367EFD">
      <w:pPr>
        <w:ind w:right="-57"/>
        <w:rPr>
          <w:lang w:val="es-ES_tradnl"/>
        </w:rPr>
      </w:pPr>
      <w:r w:rsidRPr="00E17456">
        <w:rPr>
          <w:i/>
          <w:iCs/>
          <w:lang w:val="es-ES_tradnl"/>
        </w:rPr>
        <w:t>b)</w:t>
      </w:r>
      <w:r w:rsidRPr="00E17456">
        <w:rPr>
          <w:lang w:val="es-ES_tradnl"/>
        </w:rPr>
        <w:tab/>
        <w:t>que, para garantizar el desarrollo satisfactorio de las radiocomunicaciones y la implantación de estas nuevas aplicaciones se requiere disponer de suficientes bandas de frecuencias libres de interferencias, a nivel nacional, regional e internacional, de acuerdo con lo dispuesto en el Reglamento de Radiocomunicaciones y en las Resoluciones y Recomendaciones del Sector de Radiocomunicaciones (UIT-R);</w:t>
      </w:r>
    </w:p>
    <w:p w14:paraId="36144CD4" w14:textId="77777777" w:rsidR="00367EFD" w:rsidRPr="00E17456" w:rsidRDefault="00367EFD" w:rsidP="00367EFD">
      <w:pPr>
        <w:rPr>
          <w:lang w:val="es-ES_tradnl"/>
        </w:rPr>
      </w:pPr>
      <w:r w:rsidRPr="00E17456">
        <w:rPr>
          <w:i/>
          <w:iCs/>
          <w:lang w:val="es-ES_tradnl"/>
        </w:rPr>
        <w:t>c)</w:t>
      </w:r>
      <w:r w:rsidRPr="00E17456">
        <w:rPr>
          <w:lang w:val="es-ES_tradnl"/>
        </w:rPr>
        <w:tab/>
        <w:t>los resultados de la segunda fase de la Cumbre Mundial sobre la Sociedad de la Información (CMSI), en particular el § 96 de la Agenda de Túnez para la Sociedad de la Información relativo a la función de la UIT en la adopción de medidas destinadas a asegurar la utilización racional, eficaz y económica del espectro de frecuencias radioeléctricas, así como el acceso equitativo al mismo por parte de todos los países;</w:t>
      </w:r>
    </w:p>
    <w:p w14:paraId="43D42E44" w14:textId="77777777" w:rsidR="00367EFD" w:rsidRPr="00E17456" w:rsidRDefault="00367EFD" w:rsidP="00367EFD">
      <w:pPr>
        <w:rPr>
          <w:lang w:val="es-ES_tradnl"/>
        </w:rPr>
      </w:pPr>
      <w:r w:rsidRPr="00E17456">
        <w:rPr>
          <w:i/>
          <w:iCs/>
          <w:lang w:val="es-ES_tradnl"/>
        </w:rPr>
        <w:t>d)</w:t>
      </w:r>
      <w:r w:rsidRPr="00E17456">
        <w:rPr>
          <w:lang w:val="es-ES_tradnl"/>
        </w:rPr>
        <w:tab/>
        <w:t>que la disposición de bandas de frecuencias y la utilización más eficaz del espectro, tanto a nivel nacional como regional e internacional, dependen del establecimiento y ejecución de los correspondientes programas nacionales de gestión del espectro, incluida la supervisión de las radiofrecuencias, a fin de evitar las interferencias;</w:t>
      </w:r>
    </w:p>
    <w:p w14:paraId="3DFFCAF5" w14:textId="77777777" w:rsidR="00367EFD" w:rsidRPr="00E17456" w:rsidRDefault="00367EFD" w:rsidP="00367EFD">
      <w:pPr>
        <w:rPr>
          <w:i/>
          <w:iCs/>
          <w:lang w:val="es-ES_tradnl"/>
        </w:rPr>
      </w:pPr>
      <w:r w:rsidRPr="00E17456">
        <w:rPr>
          <w:i/>
          <w:iCs/>
          <w:lang w:val="es-ES_tradnl"/>
        </w:rPr>
        <w:br w:type="page"/>
      </w:r>
    </w:p>
    <w:p w14:paraId="1919F432" w14:textId="77777777" w:rsidR="00367EFD" w:rsidRPr="00E17456" w:rsidRDefault="00367EFD" w:rsidP="00367EFD">
      <w:pPr>
        <w:rPr>
          <w:lang w:val="es-ES_tradnl"/>
        </w:rPr>
      </w:pPr>
      <w:r w:rsidRPr="00E17456">
        <w:rPr>
          <w:i/>
          <w:iCs/>
          <w:lang w:val="es-ES_tradnl"/>
        </w:rPr>
        <w:lastRenderedPageBreak/>
        <w:t>e)</w:t>
      </w:r>
      <w:r w:rsidRPr="00E17456">
        <w:rPr>
          <w:lang w:val="es-ES_tradnl"/>
        </w:rPr>
        <w:tab/>
        <w:t>que los programas nacionales de gestión del espectro eficaz son fundamentales para la liberalización de las radiocomunicaciones y la privatización de algunos servicios de radiocomunicaciones, así como para promover la competencia, siendo conscientes de que algunos países en desarrollo</w:t>
      </w:r>
      <w:r>
        <w:rPr>
          <w:rStyle w:val="FootnoteReference"/>
          <w:lang w:val="es-ES_tradnl"/>
        </w:rPr>
        <w:footnoteReference w:customMarkFollows="1" w:id="1"/>
        <w:t>1</w:t>
      </w:r>
      <w:r w:rsidRPr="00E17456">
        <w:rPr>
          <w:lang w:val="es-ES_tradnl"/>
        </w:rPr>
        <w:t xml:space="preserve"> carecen de tales programas;</w:t>
      </w:r>
    </w:p>
    <w:p w14:paraId="13B9D7D1" w14:textId="77777777" w:rsidR="00367EFD" w:rsidRPr="00E17456" w:rsidRDefault="00367EFD" w:rsidP="00367EFD">
      <w:pPr>
        <w:rPr>
          <w:lang w:val="es-ES_tradnl"/>
        </w:rPr>
      </w:pPr>
      <w:r w:rsidRPr="00E17456">
        <w:rPr>
          <w:i/>
          <w:iCs/>
          <w:lang w:val="es-ES_tradnl"/>
        </w:rPr>
        <w:t>f)</w:t>
      </w:r>
      <w:r w:rsidRPr="00E17456">
        <w:rPr>
          <w:lang w:val="es-ES_tradnl"/>
        </w:rPr>
        <w:tab/>
        <w:t>que varios países están apagando sus transmisiones de televisión analógica y migrando a tecnologías digitales de radiodifusión, liberando así una gama de frecuencias actualmente utilizada para la televisión analógica;</w:t>
      </w:r>
    </w:p>
    <w:p w14:paraId="5B992280" w14:textId="77777777" w:rsidR="00367EFD" w:rsidRPr="00E17456" w:rsidRDefault="00367EFD" w:rsidP="00367EFD">
      <w:pPr>
        <w:rPr>
          <w:lang w:val="es-ES_tradnl"/>
        </w:rPr>
      </w:pPr>
      <w:r w:rsidRPr="00E17456">
        <w:rPr>
          <w:i/>
          <w:iCs/>
          <w:lang w:val="es-ES_tradnl"/>
        </w:rPr>
        <w:t>g)</w:t>
      </w:r>
      <w:r w:rsidRPr="00E17456">
        <w:rPr>
          <w:lang w:val="es-ES_tradnl"/>
        </w:rPr>
        <w:tab/>
        <w:t>que el espectro puede utilizarse para los esfuerzos destinados a reducir la brecha digital,</w:t>
      </w:r>
    </w:p>
    <w:p w14:paraId="1CCD5D79" w14:textId="77777777" w:rsidR="00367EFD" w:rsidRPr="00E17456" w:rsidRDefault="00367EFD" w:rsidP="00367EFD">
      <w:pPr>
        <w:pStyle w:val="Call"/>
        <w:rPr>
          <w:lang w:val="es-ES_tradnl"/>
        </w:rPr>
      </w:pPr>
      <w:r w:rsidRPr="00E17456">
        <w:rPr>
          <w:lang w:val="es-ES_tradnl"/>
        </w:rPr>
        <w:t>reconociendo</w:t>
      </w:r>
    </w:p>
    <w:p w14:paraId="0D879DB0" w14:textId="77777777" w:rsidR="00367EFD" w:rsidRPr="00E17456" w:rsidRDefault="00367EFD" w:rsidP="00367EFD">
      <w:pPr>
        <w:rPr>
          <w:lang w:val="es-ES_tradnl"/>
        </w:rPr>
      </w:pPr>
      <w:r w:rsidRPr="00E17456">
        <w:rPr>
          <w:i/>
          <w:iCs/>
          <w:lang w:val="es-ES_tradnl"/>
        </w:rPr>
        <w:t>a)</w:t>
      </w:r>
      <w:r w:rsidRPr="00E17456">
        <w:rPr>
          <w:lang w:val="es-ES_tradnl"/>
        </w:rPr>
        <w:tab/>
        <w:t>la importancia de la aplicación de programas de gestión del espectro para asegurar un desarrollo eficaz de las radiocomunicaciones y el papel desempeñado por las radiocomunicaciones en el desarrollo de la economía del país, y que no se da a tales programas la prioridad requerida;</w:t>
      </w:r>
    </w:p>
    <w:p w14:paraId="26B91B4B" w14:textId="77777777" w:rsidR="00367EFD" w:rsidRPr="00E17456" w:rsidRDefault="00367EFD" w:rsidP="00367EFD">
      <w:pPr>
        <w:rPr>
          <w:lang w:val="es-ES_tradnl"/>
        </w:rPr>
      </w:pPr>
      <w:r w:rsidRPr="00E17456">
        <w:rPr>
          <w:i/>
          <w:iCs/>
          <w:lang w:val="es-ES_tradnl"/>
        </w:rPr>
        <w:t>b)</w:t>
      </w:r>
      <w:r w:rsidRPr="00E17456">
        <w:rPr>
          <w:lang w:val="es-ES_tradnl"/>
        </w:rPr>
        <w:tab/>
        <w:t>que las organizaciones financieras nacionales e internacionales frecuentemente conceden mucha mayor prioridad a la implantación de los sistemas de telecomunicaciones (incluidas las radio</w:t>
      </w:r>
      <w:r w:rsidRPr="00E17456">
        <w:rPr>
          <w:lang w:val="es-ES_tradnl"/>
        </w:rPr>
        <w:softHyphen/>
        <w:t>comunicaciones) que a la ejecución de los programas nacionales de gestión del espectro;</w:t>
      </w:r>
    </w:p>
    <w:p w14:paraId="2658C21F" w14:textId="77777777" w:rsidR="00367EFD" w:rsidRPr="00E17456" w:rsidRDefault="00367EFD" w:rsidP="00367EFD">
      <w:pPr>
        <w:rPr>
          <w:lang w:val="es-ES_tradnl"/>
        </w:rPr>
      </w:pPr>
      <w:r w:rsidRPr="00E17456">
        <w:rPr>
          <w:i/>
          <w:iCs/>
          <w:lang w:val="es-ES_tradnl"/>
        </w:rPr>
        <w:t>c)</w:t>
      </w:r>
      <w:r w:rsidRPr="00E17456">
        <w:rPr>
          <w:lang w:val="es-ES_tradnl"/>
        </w:rPr>
        <w:tab/>
        <w:t>el éxito de la aplicación de la Resolución 9, "Participación de los países, en particular los países en desarrollo, en la gestión del espectro de frecuencias" desde que fuera adoptada en su versión inicial por la CMDT (La Valetta, 1998),</w:t>
      </w:r>
    </w:p>
    <w:p w14:paraId="361BE9BE" w14:textId="77777777" w:rsidR="00367EFD" w:rsidRPr="00E17456" w:rsidRDefault="00367EFD" w:rsidP="00367EFD">
      <w:pPr>
        <w:pStyle w:val="Call"/>
        <w:rPr>
          <w:lang w:val="es-ES_tradnl"/>
        </w:rPr>
      </w:pPr>
      <w:r w:rsidRPr="00E17456">
        <w:rPr>
          <w:lang w:val="es-ES_tradnl"/>
        </w:rPr>
        <w:t>resuelve</w:t>
      </w:r>
    </w:p>
    <w:p w14:paraId="67E2E6A0" w14:textId="77777777" w:rsidR="00367EFD" w:rsidRPr="00E17456" w:rsidRDefault="00367EFD" w:rsidP="00367EFD">
      <w:pPr>
        <w:rPr>
          <w:lang w:val="es-ES_tradnl"/>
        </w:rPr>
      </w:pPr>
      <w:r w:rsidRPr="00E17456">
        <w:rPr>
          <w:lang w:val="es-ES_tradnl"/>
        </w:rPr>
        <w:t>1</w:t>
      </w:r>
      <w:r w:rsidRPr="00E17456">
        <w:rPr>
          <w:lang w:val="es-ES_tradnl"/>
        </w:rPr>
        <w:tab/>
        <w:t>seguir invitando a las organizaciones financieras nacionales e internacionales a que presten mayor atención a brindar un apoyo financiero sustancial, incluyendo los acuerdos de concesión de créditos favorables, a los programas nacionales de gestión del espectro, incluida la supervisión del mismo, y a la capacitación prevista en dichos programas para aquellos países que carezcan de programas de gestión del espectro apropiados, como requisito previo para la utilización eficaz del espectro, el desarrollo satisfactorio de los servicios de radiocomunicaciones y la implantación de nuevas y prometedoras aplicaciones, incluidas las aplicaciones a escala mundial, tanto a nivel nacional como regional e internacional;</w:t>
      </w:r>
    </w:p>
    <w:p w14:paraId="06B688B5" w14:textId="77777777" w:rsidR="00367EFD" w:rsidRPr="00E17456" w:rsidRDefault="00367EFD" w:rsidP="00367EFD">
      <w:pPr>
        <w:rPr>
          <w:lang w:val="es-ES_tradnl"/>
        </w:rPr>
      </w:pPr>
      <w:r w:rsidRPr="00E17456">
        <w:rPr>
          <w:lang w:val="es-ES_tradnl"/>
        </w:rPr>
        <w:br w:type="page"/>
      </w:r>
    </w:p>
    <w:p w14:paraId="23A72F8B" w14:textId="77777777" w:rsidR="00367EFD" w:rsidRPr="00E17456" w:rsidRDefault="00367EFD" w:rsidP="00367EFD">
      <w:pPr>
        <w:rPr>
          <w:lang w:val="es-ES_tradnl"/>
        </w:rPr>
      </w:pPr>
      <w:r w:rsidRPr="00E17456">
        <w:rPr>
          <w:lang w:val="es-ES_tradnl"/>
        </w:rPr>
        <w:lastRenderedPageBreak/>
        <w:t>2</w:t>
      </w:r>
      <w:r w:rsidRPr="00E17456">
        <w:rPr>
          <w:lang w:val="es-ES_tradnl"/>
        </w:rPr>
        <w:tab/>
        <w:t>seguir invitando a la Oficina de Desarrollo de las Telecomunicaciones (BDT) a que considere en su presupuesto la celebración de una reunión anual, con el fin de estudiar la cuestión de la gestión del espectro a nivel nacional en estrecha coordinación con la Oficina de Radiocomunicaciones (BR) y en el marco de las actividades del Programa 1, en los planos regional e internacional;</w:t>
      </w:r>
    </w:p>
    <w:p w14:paraId="5FD7AC47" w14:textId="77777777" w:rsidR="00367EFD" w:rsidRPr="00E17456" w:rsidRDefault="00367EFD" w:rsidP="00367EFD">
      <w:pPr>
        <w:rPr>
          <w:lang w:val="es-ES_tradnl"/>
        </w:rPr>
      </w:pPr>
      <w:r w:rsidRPr="00E17456">
        <w:rPr>
          <w:lang w:val="es-ES_tradnl"/>
        </w:rPr>
        <w:t>3</w:t>
      </w:r>
      <w:r w:rsidRPr="00E17456">
        <w:rPr>
          <w:lang w:val="es-ES_tradnl"/>
        </w:rPr>
        <w:tab/>
        <w:t>invitar a la BDT a que siga, en colaboración con la BR y la Comisión de Estudio 1 del UIT</w:t>
      </w:r>
      <w:r w:rsidRPr="00E17456">
        <w:rPr>
          <w:lang w:val="es-ES_tradnl"/>
        </w:rPr>
        <w:noBreakHyphen/>
        <w:t>R, la evolución en el plano nacional del Sistema de Gestión del Espectro para Países en Desarrollo (SMS4DC);</w:t>
      </w:r>
    </w:p>
    <w:p w14:paraId="6FF91641" w14:textId="77777777" w:rsidR="00367EFD" w:rsidRPr="00E17456" w:rsidRDefault="00367EFD" w:rsidP="00367EFD">
      <w:pPr>
        <w:rPr>
          <w:lang w:val="es-ES_tradnl"/>
        </w:rPr>
      </w:pPr>
      <w:r w:rsidRPr="00E17456">
        <w:rPr>
          <w:lang w:val="es-ES_tradnl"/>
        </w:rPr>
        <w:t>4</w:t>
      </w:r>
      <w:r w:rsidRPr="00E17456">
        <w:rPr>
          <w:lang w:val="es-ES_tradnl"/>
        </w:rPr>
        <w:tab/>
        <w:t xml:space="preserve">invitar a la BDT a considerar la posibilidad de: </w:t>
      </w:r>
    </w:p>
    <w:p w14:paraId="41D79C1F" w14:textId="77777777" w:rsidR="00367EFD" w:rsidRPr="00E17456" w:rsidRDefault="00367EFD" w:rsidP="00367EFD">
      <w:pPr>
        <w:pStyle w:val="enumlev1"/>
        <w:rPr>
          <w:lang w:val="es-ES_tradnl"/>
        </w:rPr>
      </w:pPr>
      <w:r w:rsidRPr="00E17456">
        <w:rPr>
          <w:lang w:val="es-ES_tradnl"/>
        </w:rPr>
        <w:t>i)</w:t>
      </w:r>
      <w:r w:rsidRPr="00E17456">
        <w:rPr>
          <w:lang w:val="es-ES_tradnl"/>
        </w:rPr>
        <w:tab/>
        <w:t>estudiar formas óptimas de proceder al apagón de la TV analógica en los países en desarrollo; y</w:t>
      </w:r>
    </w:p>
    <w:p w14:paraId="078D294E" w14:textId="77777777" w:rsidR="00367EFD" w:rsidRPr="00E17456" w:rsidRDefault="00367EFD" w:rsidP="00367EFD">
      <w:pPr>
        <w:pStyle w:val="enumlev1"/>
        <w:rPr>
          <w:lang w:val="es-ES_tradnl"/>
        </w:rPr>
      </w:pPr>
      <w:r w:rsidRPr="00E17456">
        <w:rPr>
          <w:lang w:val="es-ES_tradnl"/>
        </w:rPr>
        <w:t>ii)</w:t>
      </w:r>
      <w:r w:rsidRPr="00E17456">
        <w:rPr>
          <w:lang w:val="es-ES_tradnl"/>
        </w:rPr>
        <w:tab/>
        <w:t>aprovechar mejor las frecuencias de TV digital eliminadas,</w:t>
      </w:r>
    </w:p>
    <w:p w14:paraId="4D765938" w14:textId="77777777" w:rsidR="00367EFD" w:rsidRPr="00E17456" w:rsidRDefault="00367EFD" w:rsidP="00367EFD">
      <w:pPr>
        <w:pStyle w:val="Call"/>
        <w:rPr>
          <w:lang w:val="es-ES_tradnl"/>
        </w:rPr>
      </w:pPr>
      <w:r w:rsidRPr="00E17456">
        <w:rPr>
          <w:lang w:val="es-ES_tradnl"/>
        </w:rPr>
        <w:t>pide a la Oficina de Desarrollo de las Telecomunicaciones</w:t>
      </w:r>
    </w:p>
    <w:p w14:paraId="5049A8E9" w14:textId="77777777" w:rsidR="00367EFD" w:rsidRPr="00E17456" w:rsidRDefault="00367EFD" w:rsidP="00367EFD">
      <w:pPr>
        <w:rPr>
          <w:lang w:val="es-ES_tradnl"/>
        </w:rPr>
      </w:pPr>
      <w:r w:rsidRPr="00E17456">
        <w:rPr>
          <w:lang w:val="es-ES_tradnl"/>
        </w:rPr>
        <w:t xml:space="preserve">que </w:t>
      </w:r>
      <w:proofErr w:type="gramStart"/>
      <w:r w:rsidRPr="00E17456">
        <w:rPr>
          <w:lang w:val="es-ES_tradnl"/>
        </w:rPr>
        <w:t>señale</w:t>
      </w:r>
      <w:proofErr w:type="gramEnd"/>
      <w:r w:rsidRPr="00E17456">
        <w:rPr>
          <w:lang w:val="es-ES_tradnl"/>
        </w:rPr>
        <w:t xml:space="preserve"> esta Resolución a las organizaciones de financiación y desarrollo regionales e internacionales competentes,</w:t>
      </w:r>
    </w:p>
    <w:p w14:paraId="34E1DE3E" w14:textId="77777777" w:rsidR="00367EFD" w:rsidRPr="00E17456" w:rsidRDefault="00367EFD" w:rsidP="00367EFD">
      <w:pPr>
        <w:pStyle w:val="Call"/>
        <w:rPr>
          <w:lang w:val="es-ES_tradnl"/>
        </w:rPr>
      </w:pPr>
      <w:r w:rsidRPr="00E17456">
        <w:rPr>
          <w:lang w:val="es-ES_tradnl"/>
        </w:rPr>
        <w:t xml:space="preserve">invita al </w:t>
      </w:r>
      <w:proofErr w:type="gramStart"/>
      <w:r w:rsidRPr="00E17456">
        <w:rPr>
          <w:lang w:val="es-ES_tradnl"/>
        </w:rPr>
        <w:t>Director</w:t>
      </w:r>
      <w:proofErr w:type="gramEnd"/>
      <w:r w:rsidRPr="00E17456">
        <w:rPr>
          <w:lang w:val="es-ES_tradnl"/>
        </w:rPr>
        <w:t xml:space="preserve"> de la Oficina de Radiocomunicaciones</w:t>
      </w:r>
    </w:p>
    <w:p w14:paraId="5817C411" w14:textId="77777777" w:rsidR="00367EFD" w:rsidRPr="00E17456" w:rsidRDefault="00367EFD" w:rsidP="00367EFD">
      <w:pPr>
        <w:rPr>
          <w:lang w:val="es-ES_tradnl"/>
        </w:rPr>
      </w:pPr>
      <w:r w:rsidRPr="00E17456">
        <w:rPr>
          <w:lang w:val="es-ES_tradnl"/>
        </w:rPr>
        <w:t>a seguir cooperando con la BDT en el desarrollo del Sistema nacional de Gestión del Espectro para Países en Desarrollo (SMS4DC) y de la capacitación prevista en el mismo,</w:t>
      </w:r>
    </w:p>
    <w:p w14:paraId="22C9AE53" w14:textId="77777777" w:rsidR="00367EFD" w:rsidRPr="00E17456" w:rsidRDefault="00367EFD" w:rsidP="00367EFD">
      <w:pPr>
        <w:pStyle w:val="Call"/>
        <w:rPr>
          <w:lang w:val="es-ES_tradnl"/>
        </w:rPr>
      </w:pPr>
      <w:r w:rsidRPr="00E17456">
        <w:rPr>
          <w:lang w:val="es-ES_tradnl"/>
        </w:rPr>
        <w:t>invita a las Comisiones de Estudio 5 y 6 del UIT-R</w:t>
      </w:r>
    </w:p>
    <w:p w14:paraId="2E315A14" w14:textId="77777777" w:rsidR="00367EFD" w:rsidRPr="00E17456" w:rsidRDefault="00367EFD" w:rsidP="00367EFD">
      <w:pPr>
        <w:rPr>
          <w:lang w:val="es-ES_tradnl"/>
        </w:rPr>
      </w:pPr>
      <w:r w:rsidRPr="00E17456">
        <w:rPr>
          <w:lang w:val="es-ES_tradnl"/>
        </w:rPr>
        <w:t>a seguir cooperando con la Comisión de Estudio 2 del UIT-D, en lo que respecta a informar sobre la utilización actual y futura del espectro de las frecuencias de TV analógica liberadas con el apagón y notificar acerca de cómo están utilizando o tienen previsto utilizar los países en desarrollo y desarrollados el dividendo digital.</w:t>
      </w:r>
    </w:p>
    <w:p w14:paraId="7B0C4751" w14:textId="77777777" w:rsidR="00201FFB" w:rsidRPr="00367EFD" w:rsidRDefault="00201FFB">
      <w:pPr>
        <w:rPr>
          <w:lang w:val="es-ES_tradnl"/>
        </w:rPr>
      </w:pPr>
    </w:p>
    <w:sectPr w:rsidR="00201FFB" w:rsidRPr="00367EFD" w:rsidSect="00C029B8">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6ACBD" w14:textId="77777777" w:rsidR="00367EFD" w:rsidRDefault="00367EFD" w:rsidP="00367EFD">
      <w:pPr>
        <w:spacing w:before="0"/>
      </w:pPr>
      <w:r>
        <w:separator/>
      </w:r>
    </w:p>
  </w:endnote>
  <w:endnote w:type="continuationSeparator" w:id="0">
    <w:p w14:paraId="6CE0C61C" w14:textId="77777777" w:rsidR="00367EFD" w:rsidRDefault="00367EFD" w:rsidP="00367EF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C750" w14:textId="77777777" w:rsidR="00C029B8" w:rsidRDefault="00C029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DB93" w14:textId="77777777" w:rsidR="00C029B8" w:rsidRDefault="00C029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C37F" w14:textId="77777777" w:rsidR="00C029B8" w:rsidRDefault="00C02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A5CE0" w14:textId="77777777" w:rsidR="00367EFD" w:rsidRDefault="00367EFD" w:rsidP="00367EFD">
      <w:pPr>
        <w:spacing w:before="0"/>
      </w:pPr>
      <w:r>
        <w:separator/>
      </w:r>
    </w:p>
  </w:footnote>
  <w:footnote w:type="continuationSeparator" w:id="0">
    <w:p w14:paraId="0E079BFD" w14:textId="77777777" w:rsidR="00367EFD" w:rsidRDefault="00367EFD" w:rsidP="00367EFD">
      <w:pPr>
        <w:spacing w:before="0"/>
      </w:pPr>
      <w:r>
        <w:continuationSeparator/>
      </w:r>
    </w:p>
  </w:footnote>
  <w:footnote w:id="1">
    <w:p w14:paraId="36598663" w14:textId="77777777" w:rsidR="00367EFD" w:rsidRPr="00EF1565" w:rsidRDefault="00367EFD" w:rsidP="00367EFD">
      <w:pPr>
        <w:pStyle w:val="FootnoteText"/>
        <w:rPr>
          <w:lang w:val="es-ES"/>
        </w:rPr>
      </w:pPr>
      <w:r w:rsidRPr="008F1256">
        <w:rPr>
          <w:rStyle w:val="FootnoteReference"/>
          <w:lang w:val="es-ES"/>
        </w:rPr>
        <w:t>1</w:t>
      </w:r>
      <w:r w:rsidRPr="008F1256">
        <w:rPr>
          <w:lang w:val="es-ES"/>
        </w:rPr>
        <w:t xml:space="preserve"> </w:t>
      </w:r>
      <w:r>
        <w:rPr>
          <w:lang w:val="es-ES"/>
        </w:rPr>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FED4F" w14:textId="537EE5C0" w:rsidR="00C029B8" w:rsidRPr="00C029B8" w:rsidRDefault="00C029B8" w:rsidP="00C029B8">
    <w:pPr>
      <w:pStyle w:val="Header"/>
      <w:tabs>
        <w:tab w:val="clear" w:pos="4513"/>
        <w:tab w:val="clear" w:pos="9026"/>
        <w:tab w:val="left" w:pos="567"/>
        <w:tab w:val="right" w:pos="9072"/>
        <w:tab w:val="right" w:pos="9639"/>
      </w:tabs>
      <w:jc w:val="left"/>
      <w:rPr>
        <w:lang w:val="es-ES"/>
      </w:rPr>
    </w:pPr>
    <w:r w:rsidRPr="00713E5A">
      <w:rPr>
        <w:sz w:val="16"/>
        <w:szCs w:val="16"/>
      </w:rPr>
      <w:fldChar w:fldCharType="begin"/>
    </w:r>
    <w:r w:rsidRPr="00C029B8">
      <w:rPr>
        <w:sz w:val="16"/>
        <w:szCs w:val="16"/>
        <w:lang w:val="es-ES"/>
      </w:rPr>
      <w:instrText xml:space="preserve"> PAGE   \* MERGEFORMAT </w:instrText>
    </w:r>
    <w:r w:rsidRPr="00713E5A">
      <w:rPr>
        <w:sz w:val="16"/>
        <w:szCs w:val="16"/>
      </w:rPr>
      <w:fldChar w:fldCharType="separate"/>
    </w:r>
    <w:r w:rsidRPr="00C029B8">
      <w:rPr>
        <w:sz w:val="16"/>
        <w:szCs w:val="16"/>
        <w:lang w:val="es-ES"/>
      </w:rPr>
      <w:t>2</w:t>
    </w:r>
    <w:r w:rsidRPr="00713E5A">
      <w:rPr>
        <w:noProof/>
        <w:sz w:val="16"/>
        <w:szCs w:val="16"/>
      </w:rPr>
      <w:fldChar w:fldCharType="end"/>
    </w:r>
    <w:r>
      <w:rPr>
        <w:noProof/>
        <w:sz w:val="16"/>
        <w:szCs w:val="16"/>
      </w:rPr>
      <w:tab/>
    </w:r>
    <w:r w:rsidRPr="008F1256">
      <w:rPr>
        <w:sz w:val="16"/>
        <w:szCs w:val="16"/>
        <w:lang w:val="es-ES"/>
      </w:rPr>
      <w:t>Informe final de la CMDT-22 – Parte IV – Resolución 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74EC8" w14:textId="05951F7C" w:rsidR="00C029B8" w:rsidRPr="00C029B8" w:rsidRDefault="00C029B8">
    <w:pPr>
      <w:pStyle w:val="Header"/>
      <w:rPr>
        <w:lang w:val="es-ES"/>
      </w:rPr>
    </w:pPr>
    <w:r>
      <w:rPr>
        <w:sz w:val="16"/>
        <w:szCs w:val="16"/>
        <w:lang w:val="es-ES"/>
      </w:rPr>
      <w:tab/>
    </w:r>
    <w:r w:rsidRPr="008F1256">
      <w:rPr>
        <w:sz w:val="16"/>
        <w:szCs w:val="16"/>
        <w:lang w:val="es-ES"/>
      </w:rPr>
      <w:tab/>
      <w:t>Informe final de la CMDT-22 – Parte IV – Resolución 10</w:t>
    </w:r>
    <w:r>
      <w:rPr>
        <w:sz w:val="16"/>
        <w:szCs w:val="16"/>
        <w:lang w:val="es-ES"/>
      </w:rPr>
      <w:tab/>
    </w:r>
    <w:r w:rsidRPr="00713E5A">
      <w:rPr>
        <w:sz w:val="16"/>
        <w:szCs w:val="16"/>
      </w:rPr>
      <w:fldChar w:fldCharType="begin"/>
    </w:r>
    <w:r w:rsidRPr="00C029B8">
      <w:rPr>
        <w:sz w:val="16"/>
        <w:szCs w:val="16"/>
        <w:lang w:val="es-ES"/>
      </w:rPr>
      <w:instrText xml:space="preserve"> PAGE   \* MERGEFORMAT </w:instrText>
    </w:r>
    <w:r w:rsidRPr="00713E5A">
      <w:rPr>
        <w:sz w:val="16"/>
        <w:szCs w:val="16"/>
      </w:rPr>
      <w:fldChar w:fldCharType="separate"/>
    </w:r>
    <w:r w:rsidRPr="00C029B8">
      <w:rPr>
        <w:sz w:val="16"/>
        <w:szCs w:val="16"/>
        <w:lang w:val="es-ES"/>
      </w:rPr>
      <w:t>1</w:t>
    </w:r>
    <w:r w:rsidRPr="00713E5A">
      <w:rPr>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F9E8" w14:textId="77777777" w:rsidR="00C029B8" w:rsidRDefault="00C029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EFD"/>
    <w:rsid w:val="00201FFB"/>
    <w:rsid w:val="00367EFD"/>
    <w:rsid w:val="003C321F"/>
    <w:rsid w:val="003F366A"/>
    <w:rsid w:val="005809C6"/>
    <w:rsid w:val="00623374"/>
    <w:rsid w:val="0063207A"/>
    <w:rsid w:val="008A4CA6"/>
    <w:rsid w:val="00923F39"/>
    <w:rsid w:val="00A74923"/>
    <w:rsid w:val="00A96FB2"/>
    <w:rsid w:val="00AC35D4"/>
    <w:rsid w:val="00B0107E"/>
    <w:rsid w:val="00BF353A"/>
    <w:rsid w:val="00C029B8"/>
    <w:rsid w:val="00D27EFC"/>
    <w:rsid w:val="00DC6ABD"/>
    <w:rsid w:val="00EA2213"/>
    <w:rsid w:val="00FF1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93464"/>
  <w15:chartTrackingRefBased/>
  <w15:docId w15:val="{347C3812-35A6-4EEC-B769-C25AD1404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EFD"/>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sz w:val="24"/>
      <w:szCs w:val="20"/>
    </w:rPr>
  </w:style>
  <w:style w:type="paragraph" w:styleId="Heading1">
    <w:name w:val="heading 1"/>
    <w:basedOn w:val="ListParagraph"/>
    <w:next w:val="Normal"/>
    <w:link w:val="Heading1Char"/>
    <w:qFormat/>
    <w:rsid w:val="00B0107E"/>
    <w:pPr>
      <w:spacing w:after="120"/>
      <w:ind w:left="0"/>
      <w:contextualSpacing w:val="0"/>
      <w:outlineLvl w:val="0"/>
    </w:pPr>
    <w:rPr>
      <w:bCs/>
      <w:color w:val="2F5496" w:themeColor="accent1" w:themeShade="BF"/>
      <w:sz w:val="28"/>
      <w:szCs w:val="28"/>
    </w:rPr>
  </w:style>
  <w:style w:type="paragraph" w:styleId="Heading2">
    <w:name w:val="heading 2"/>
    <w:basedOn w:val="Normal"/>
    <w:next w:val="Normal"/>
    <w:link w:val="Heading2Char"/>
    <w:qFormat/>
    <w:rsid w:val="00B0107E"/>
    <w:pPr>
      <w:keepNext/>
      <w:tabs>
        <w:tab w:val="clear" w:pos="1134"/>
        <w:tab w:val="clear" w:pos="1871"/>
        <w:tab w:val="clear" w:pos="2268"/>
      </w:tabs>
      <w:overflowPunct/>
      <w:autoSpaceDE/>
      <w:autoSpaceDN/>
      <w:adjustRightInd/>
      <w:spacing w:before="240" w:after="60" w:line="259" w:lineRule="auto"/>
      <w:jc w:val="left"/>
      <w:textAlignment w:val="auto"/>
      <w:outlineLvl w:val="1"/>
    </w:pPr>
    <w:rPr>
      <w:rFonts w:cstheme="minorBidi"/>
      <w:bCs/>
      <w:iCs/>
      <w:color w:val="2F5496" w:themeColor="accent1" w:themeShade="BF"/>
      <w:sz w:val="22"/>
      <w:szCs w:val="26"/>
      <w:lang w:val="en-US" w:eastAsia="zh-CN"/>
    </w:rPr>
  </w:style>
  <w:style w:type="paragraph" w:styleId="Heading3">
    <w:name w:val="heading 3"/>
    <w:basedOn w:val="Normal"/>
    <w:next w:val="Normal"/>
    <w:link w:val="Heading3Char"/>
    <w:rsid w:val="00B0107E"/>
    <w:pPr>
      <w:keepNext/>
      <w:tabs>
        <w:tab w:val="clear" w:pos="1134"/>
        <w:tab w:val="clear" w:pos="1871"/>
        <w:tab w:val="clear" w:pos="2268"/>
        <w:tab w:val="left" w:pos="794"/>
        <w:tab w:val="left" w:pos="1191"/>
        <w:tab w:val="left" w:pos="1588"/>
        <w:tab w:val="left" w:pos="1985"/>
      </w:tabs>
      <w:autoSpaceDE/>
      <w:autoSpaceDN/>
      <w:adjustRightInd/>
      <w:spacing w:before="160" w:after="160" w:line="259" w:lineRule="auto"/>
      <w:jc w:val="left"/>
      <w:outlineLvl w:val="2"/>
    </w:pPr>
    <w:rPr>
      <w:rFonts w:eastAsiaTheme="minorHAnsi" w:cstheme="minorBidi"/>
      <w:color w:val="2F5496" w:themeColor="accent1" w:themeShade="BF"/>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ontMatterTitleLeftAligned">
    <w:name w:val="Front_Matter_Title_Left_Aligned"/>
    <w:basedOn w:val="Normal"/>
    <w:rsid w:val="00A96FB2"/>
    <w:pPr>
      <w:tabs>
        <w:tab w:val="clear" w:pos="1134"/>
        <w:tab w:val="clear" w:pos="1871"/>
        <w:tab w:val="clear" w:pos="2268"/>
      </w:tabs>
      <w:overflowPunct/>
      <w:autoSpaceDE/>
      <w:autoSpaceDN/>
      <w:adjustRightInd/>
      <w:spacing w:before="360" w:after="240" w:line="259" w:lineRule="auto"/>
      <w:jc w:val="left"/>
      <w:textAlignment w:val="auto"/>
    </w:pPr>
    <w:rPr>
      <w:rFonts w:eastAsiaTheme="minorEastAsia" w:cs="Calibri"/>
      <w:color w:val="0070C0"/>
      <w:sz w:val="28"/>
      <w:szCs w:val="22"/>
      <w:lang w:val="en-US" w:eastAsia="es-ES"/>
    </w:rPr>
  </w:style>
  <w:style w:type="character" w:customStyle="1" w:styleId="Heading1Char">
    <w:name w:val="Heading 1 Char"/>
    <w:basedOn w:val="DefaultParagraphFont"/>
    <w:link w:val="Heading1"/>
    <w:rsid w:val="00B0107E"/>
    <w:rPr>
      <w:bCs/>
      <w:color w:val="2F5496" w:themeColor="accent1" w:themeShade="BF"/>
      <w:sz w:val="28"/>
      <w:szCs w:val="28"/>
    </w:rPr>
  </w:style>
  <w:style w:type="paragraph" w:styleId="ListParagraph">
    <w:name w:val="List Paragraph"/>
    <w:basedOn w:val="Normal"/>
    <w:uiPriority w:val="34"/>
    <w:qFormat/>
    <w:rsid w:val="00B0107E"/>
    <w:pPr>
      <w:tabs>
        <w:tab w:val="clear" w:pos="1134"/>
        <w:tab w:val="clear" w:pos="1871"/>
        <w:tab w:val="clear" w:pos="2268"/>
      </w:tabs>
      <w:overflowPunct/>
      <w:autoSpaceDE/>
      <w:autoSpaceDN/>
      <w:adjustRightInd/>
      <w:spacing w:before="0" w:after="160" w:line="259" w:lineRule="auto"/>
      <w:ind w:left="720"/>
      <w:contextualSpacing/>
      <w:jc w:val="left"/>
      <w:textAlignment w:val="auto"/>
    </w:pPr>
    <w:rPr>
      <w:rFonts w:eastAsiaTheme="minorEastAsia" w:cstheme="minorBidi"/>
      <w:sz w:val="22"/>
      <w:szCs w:val="22"/>
      <w:lang w:val="en-US" w:eastAsia="zh-CN"/>
    </w:rPr>
  </w:style>
  <w:style w:type="character" w:customStyle="1" w:styleId="Heading2Char">
    <w:name w:val="Heading 2 Char"/>
    <w:basedOn w:val="DefaultParagraphFont"/>
    <w:link w:val="Heading2"/>
    <w:rsid w:val="00B0107E"/>
    <w:rPr>
      <w:rFonts w:eastAsia="Times New Roman" w:cs="Arial"/>
      <w:bCs/>
      <w:iCs/>
      <w:color w:val="2F5496" w:themeColor="accent1" w:themeShade="BF"/>
      <w:szCs w:val="26"/>
    </w:rPr>
  </w:style>
  <w:style w:type="paragraph" w:customStyle="1" w:styleId="Figuretitle">
    <w:name w:val="Figure title"/>
    <w:basedOn w:val="Normal"/>
    <w:next w:val="Normal"/>
    <w:rsid w:val="00B0107E"/>
    <w:pPr>
      <w:tabs>
        <w:tab w:val="clear" w:pos="1134"/>
        <w:tab w:val="clear" w:pos="1871"/>
        <w:tab w:val="clear" w:pos="2268"/>
      </w:tabs>
      <w:overflowPunct/>
      <w:autoSpaceDE/>
      <w:autoSpaceDN/>
      <w:adjustRightInd/>
      <w:spacing w:before="0" w:after="120" w:line="259" w:lineRule="auto"/>
      <w:contextualSpacing/>
      <w:jc w:val="left"/>
      <w:textAlignment w:val="auto"/>
    </w:pPr>
    <w:rPr>
      <w:rFonts w:eastAsiaTheme="minorEastAsia" w:cstheme="minorBidi"/>
      <w:color w:val="365F91"/>
      <w:szCs w:val="56"/>
      <w:lang w:val="en-US" w:eastAsia="zh-CN"/>
    </w:rPr>
  </w:style>
  <w:style w:type="paragraph" w:customStyle="1" w:styleId="Alternativetext">
    <w:name w:val="Alternative text"/>
    <w:basedOn w:val="Normal"/>
    <w:autoRedefine/>
    <w:rsid w:val="00EA2213"/>
    <w:pPr>
      <w:tabs>
        <w:tab w:val="clear" w:pos="1134"/>
        <w:tab w:val="clear" w:pos="1871"/>
        <w:tab w:val="clear" w:pos="2268"/>
      </w:tabs>
      <w:overflowPunct/>
      <w:autoSpaceDE/>
      <w:autoSpaceDN/>
      <w:adjustRightInd/>
      <w:spacing w:after="120" w:line="259" w:lineRule="auto"/>
      <w:jc w:val="center"/>
      <w:textAlignment w:val="auto"/>
    </w:pPr>
    <w:rPr>
      <w:rFonts w:eastAsiaTheme="minorEastAsia" w:cstheme="minorHAnsi"/>
      <w:i/>
      <w:color w:val="FFC000"/>
      <w:sz w:val="18"/>
      <w:szCs w:val="24"/>
      <w:lang w:val="en-US" w:eastAsia="zh-CN"/>
    </w:rPr>
  </w:style>
  <w:style w:type="paragraph" w:customStyle="1" w:styleId="Tabletitle">
    <w:name w:val="Table title"/>
    <w:basedOn w:val="Normal"/>
    <w:next w:val="Normal"/>
    <w:rsid w:val="00B0107E"/>
    <w:pPr>
      <w:tabs>
        <w:tab w:val="clear" w:pos="1134"/>
        <w:tab w:val="clear" w:pos="1871"/>
        <w:tab w:val="clear" w:pos="2268"/>
      </w:tabs>
      <w:overflowPunct/>
      <w:autoSpaceDE/>
      <w:autoSpaceDN/>
      <w:adjustRightInd/>
      <w:spacing w:before="0" w:after="160" w:line="259" w:lineRule="auto"/>
      <w:contextualSpacing/>
      <w:jc w:val="left"/>
      <w:textAlignment w:val="auto"/>
    </w:pPr>
    <w:rPr>
      <w:rFonts w:eastAsiaTheme="minorEastAsia" w:cstheme="minorBidi"/>
      <w:color w:val="2F5496" w:themeColor="accent1" w:themeShade="BF"/>
      <w:szCs w:val="56"/>
      <w:lang w:val="en-US" w:eastAsia="zh-CN"/>
    </w:rPr>
  </w:style>
  <w:style w:type="paragraph" w:customStyle="1" w:styleId="Tabletext">
    <w:name w:val="Table text"/>
    <w:basedOn w:val="Normal"/>
    <w:rsid w:val="00B0107E"/>
    <w:pPr>
      <w:tabs>
        <w:tab w:val="clear" w:pos="1134"/>
        <w:tab w:val="clear" w:pos="1871"/>
        <w:tab w:val="clear" w:pos="2268"/>
      </w:tabs>
      <w:overflowPunct/>
      <w:autoSpaceDE/>
      <w:autoSpaceDN/>
      <w:adjustRightInd/>
      <w:spacing w:before="40" w:after="160" w:line="259" w:lineRule="auto"/>
      <w:ind w:left="57"/>
      <w:contextualSpacing/>
      <w:jc w:val="left"/>
      <w:textAlignment w:val="auto"/>
    </w:pPr>
    <w:rPr>
      <w:rFonts w:eastAsiaTheme="minorEastAsia" w:cstheme="minorBidi"/>
      <w:sz w:val="22"/>
      <w:szCs w:val="56"/>
      <w:lang w:val="en-US" w:eastAsia="zh-CN"/>
    </w:rPr>
  </w:style>
  <w:style w:type="paragraph" w:customStyle="1" w:styleId="Tablehead">
    <w:name w:val="Table head"/>
    <w:basedOn w:val="Normal"/>
    <w:rsid w:val="00B0107E"/>
    <w:pPr>
      <w:tabs>
        <w:tab w:val="clear" w:pos="1134"/>
        <w:tab w:val="clear" w:pos="1871"/>
        <w:tab w:val="clear" w:pos="2268"/>
      </w:tabs>
      <w:overflowPunct/>
      <w:autoSpaceDE/>
      <w:autoSpaceDN/>
      <w:adjustRightInd/>
      <w:spacing w:before="0" w:after="160" w:line="259" w:lineRule="auto"/>
      <w:contextualSpacing/>
      <w:jc w:val="center"/>
      <w:textAlignment w:val="auto"/>
    </w:pPr>
    <w:rPr>
      <w:rFonts w:eastAsiaTheme="minorEastAsia" w:cstheme="minorBidi"/>
      <w:b/>
      <w:sz w:val="22"/>
      <w:szCs w:val="56"/>
      <w:lang w:val="en-US" w:eastAsia="zh-CN"/>
    </w:rPr>
  </w:style>
  <w:style w:type="character" w:customStyle="1" w:styleId="StyleBoldBold">
    <w:name w:val="Style Bold + Bold"/>
    <w:basedOn w:val="DefaultParagraphFont"/>
    <w:rsid w:val="00B0107E"/>
    <w:rPr>
      <w:b/>
      <w:bCs/>
      <w:sz w:val="20"/>
      <w:szCs w:val="24"/>
    </w:rPr>
  </w:style>
  <w:style w:type="paragraph" w:customStyle="1" w:styleId="Tablebullet">
    <w:name w:val="Table bullet"/>
    <w:basedOn w:val="Normal"/>
    <w:rsid w:val="00B0107E"/>
    <w:pPr>
      <w:tabs>
        <w:tab w:val="clear" w:pos="1134"/>
        <w:tab w:val="clear" w:pos="1871"/>
        <w:tab w:val="clear" w:pos="2268"/>
      </w:tabs>
      <w:overflowPunct/>
      <w:autoSpaceDE/>
      <w:autoSpaceDN/>
      <w:adjustRightInd/>
      <w:spacing w:before="40" w:after="160" w:line="259" w:lineRule="auto"/>
      <w:contextualSpacing/>
      <w:jc w:val="left"/>
      <w:textAlignment w:val="auto"/>
    </w:pPr>
    <w:rPr>
      <w:rFonts w:eastAsiaTheme="minorEastAsia" w:cstheme="minorBidi"/>
      <w:sz w:val="22"/>
      <w:szCs w:val="56"/>
      <w:lang w:val="en-US" w:eastAsia="zh-CN"/>
    </w:rPr>
  </w:style>
  <w:style w:type="character" w:customStyle="1" w:styleId="StyleBoldBold1">
    <w:name w:val="Style Bold + Bold1"/>
    <w:basedOn w:val="DefaultParagraphFont"/>
    <w:rsid w:val="00B0107E"/>
    <w:rPr>
      <w:b/>
      <w:bCs/>
      <w:sz w:val="20"/>
      <w:szCs w:val="24"/>
    </w:rPr>
  </w:style>
  <w:style w:type="paragraph" w:customStyle="1" w:styleId="StyleTablebulletLeft0cmHanging051cm">
    <w:name w:val="Style Table bullet + Left:  0 cm Hanging:  0.51 cm"/>
    <w:basedOn w:val="Tablebullet"/>
    <w:rsid w:val="00B0107E"/>
    <w:pPr>
      <w:ind w:left="288" w:hanging="288"/>
    </w:pPr>
    <w:rPr>
      <w:rFonts w:eastAsia="Times New Roman"/>
      <w:szCs w:val="20"/>
    </w:rPr>
  </w:style>
  <w:style w:type="paragraph" w:customStyle="1" w:styleId="StyleTabletextBoldLeft01cm">
    <w:name w:val="Style Table text + Bold Left:  0.1 cm"/>
    <w:basedOn w:val="Tabletext"/>
    <w:rsid w:val="00B0107E"/>
    <w:rPr>
      <w:rFonts w:eastAsia="Times New Roman"/>
      <w:b/>
      <w:bCs/>
      <w:szCs w:val="20"/>
    </w:rPr>
  </w:style>
  <w:style w:type="paragraph" w:customStyle="1" w:styleId="Tableheadcentredwhite">
    <w:name w:val="Table head centred white"/>
    <w:basedOn w:val="Normal"/>
    <w:rsid w:val="00B0107E"/>
    <w:pPr>
      <w:tabs>
        <w:tab w:val="clear" w:pos="1134"/>
        <w:tab w:val="clear" w:pos="1871"/>
        <w:tab w:val="clear" w:pos="2268"/>
      </w:tabs>
      <w:overflowPunct/>
      <w:autoSpaceDE/>
      <w:autoSpaceDN/>
      <w:adjustRightInd/>
      <w:spacing w:before="0" w:after="160" w:line="259" w:lineRule="auto"/>
      <w:contextualSpacing/>
      <w:jc w:val="center"/>
      <w:textAlignment w:val="auto"/>
    </w:pPr>
    <w:rPr>
      <w:rFonts w:eastAsiaTheme="minorEastAsia" w:cstheme="minorBidi"/>
      <w:b/>
      <w:sz w:val="22"/>
      <w:szCs w:val="56"/>
      <w:lang w:val="en-US" w:eastAsia="zh-CN"/>
    </w:rPr>
  </w:style>
  <w:style w:type="paragraph" w:customStyle="1" w:styleId="Tabletextcentred">
    <w:name w:val="Table text centred"/>
    <w:basedOn w:val="Normal"/>
    <w:rsid w:val="00B0107E"/>
    <w:pPr>
      <w:tabs>
        <w:tab w:val="clear" w:pos="1134"/>
        <w:tab w:val="clear" w:pos="1871"/>
        <w:tab w:val="clear" w:pos="2268"/>
      </w:tabs>
      <w:overflowPunct/>
      <w:autoSpaceDE/>
      <w:autoSpaceDN/>
      <w:adjustRightInd/>
      <w:spacing w:before="0" w:after="160" w:line="259" w:lineRule="auto"/>
      <w:contextualSpacing/>
      <w:jc w:val="center"/>
      <w:textAlignment w:val="auto"/>
    </w:pPr>
    <w:rPr>
      <w:rFonts w:eastAsiaTheme="minorEastAsia" w:cstheme="minorBidi"/>
      <w:sz w:val="22"/>
      <w:szCs w:val="56"/>
      <w:lang w:val="en-US" w:eastAsia="zh-CN"/>
    </w:rPr>
  </w:style>
  <w:style w:type="character" w:customStyle="1" w:styleId="Heading3Char">
    <w:name w:val="Heading 3 Char"/>
    <w:basedOn w:val="DefaultParagraphFont"/>
    <w:link w:val="Heading3"/>
    <w:rsid w:val="00B0107E"/>
    <w:rPr>
      <w:color w:val="2F5496" w:themeColor="accent1" w:themeShade="BF"/>
    </w:rPr>
  </w:style>
  <w:style w:type="character" w:customStyle="1" w:styleId="Colored-Normal">
    <w:name w:val="Colored - Normal"/>
    <w:rsid w:val="00B0107E"/>
    <w:rPr>
      <w:color w:val="365F91"/>
      <w:sz w:val="22"/>
      <w:szCs w:val="24"/>
    </w:rPr>
  </w:style>
  <w:style w:type="paragraph" w:customStyle="1" w:styleId="Bulletlist2">
    <w:name w:val="Bullet list 2"/>
    <w:basedOn w:val="Normal"/>
    <w:rsid w:val="008A4CA6"/>
    <w:pPr>
      <w:tabs>
        <w:tab w:val="clear" w:pos="1134"/>
        <w:tab w:val="clear" w:pos="1871"/>
        <w:tab w:val="clear" w:pos="2268"/>
      </w:tabs>
      <w:overflowPunct/>
      <w:autoSpaceDE/>
      <w:autoSpaceDN/>
      <w:adjustRightInd/>
      <w:spacing w:before="0" w:after="160" w:line="259" w:lineRule="auto"/>
      <w:contextualSpacing/>
      <w:jc w:val="left"/>
      <w:textAlignment w:val="auto"/>
    </w:pPr>
    <w:rPr>
      <w:rFonts w:eastAsiaTheme="minorEastAsia" w:cstheme="minorBidi"/>
      <w:sz w:val="22"/>
      <w:szCs w:val="56"/>
      <w:lang w:val="en-US" w:eastAsia="zh-CN"/>
    </w:rPr>
  </w:style>
  <w:style w:type="paragraph" w:customStyle="1" w:styleId="Bulletlist3">
    <w:name w:val="Bullet list 3"/>
    <w:basedOn w:val="Normal"/>
    <w:rsid w:val="008A4CA6"/>
    <w:pPr>
      <w:tabs>
        <w:tab w:val="clear" w:pos="1134"/>
        <w:tab w:val="clear" w:pos="1871"/>
        <w:tab w:val="clear" w:pos="2268"/>
      </w:tabs>
      <w:overflowPunct/>
      <w:autoSpaceDE/>
      <w:autoSpaceDN/>
      <w:adjustRightInd/>
      <w:spacing w:before="0" w:after="160" w:line="259" w:lineRule="auto"/>
      <w:contextualSpacing/>
      <w:jc w:val="right"/>
      <w:textAlignment w:val="auto"/>
    </w:pPr>
    <w:rPr>
      <w:rFonts w:eastAsiaTheme="minorEastAsia" w:cstheme="minorBidi"/>
      <w:sz w:val="22"/>
      <w:szCs w:val="56"/>
      <w:lang w:val="en-US" w:eastAsia="zh-CN"/>
    </w:rPr>
  </w:style>
  <w:style w:type="paragraph" w:customStyle="1" w:styleId="HeadingSum">
    <w:name w:val="Heading_Sum"/>
    <w:basedOn w:val="Normal"/>
    <w:next w:val="Normal"/>
    <w:autoRedefine/>
    <w:rsid w:val="00BF353A"/>
    <w:pPr>
      <w:keepNext/>
      <w:keepLines/>
      <w:tabs>
        <w:tab w:val="clear" w:pos="1134"/>
        <w:tab w:val="clear" w:pos="1871"/>
        <w:tab w:val="clear" w:pos="2268"/>
        <w:tab w:val="left" w:pos="794"/>
        <w:tab w:val="left" w:pos="1191"/>
        <w:tab w:val="left" w:pos="1588"/>
        <w:tab w:val="left" w:pos="1985"/>
      </w:tabs>
      <w:autoSpaceDE/>
      <w:autoSpaceDN/>
      <w:adjustRightInd/>
      <w:spacing w:before="240" w:after="160" w:line="259" w:lineRule="auto"/>
    </w:pPr>
    <w:rPr>
      <w:rFonts w:ascii="Times New Roman" w:hAnsi="Times New Roman" w:cstheme="minorBidi"/>
      <w:b/>
      <w:sz w:val="22"/>
      <w:lang w:val="es-ES_tradnl" w:eastAsia="zh-CN"/>
    </w:rPr>
  </w:style>
  <w:style w:type="paragraph" w:customStyle="1" w:styleId="Summary">
    <w:name w:val="Summary"/>
    <w:basedOn w:val="Normal"/>
    <w:next w:val="Normal"/>
    <w:autoRedefine/>
    <w:rsid w:val="00BF353A"/>
    <w:pPr>
      <w:tabs>
        <w:tab w:val="clear" w:pos="1134"/>
        <w:tab w:val="clear" w:pos="1871"/>
        <w:tab w:val="clear" w:pos="2268"/>
        <w:tab w:val="left" w:pos="794"/>
        <w:tab w:val="left" w:pos="1191"/>
        <w:tab w:val="left" w:pos="1588"/>
        <w:tab w:val="left" w:pos="1985"/>
      </w:tabs>
      <w:autoSpaceDE/>
      <w:autoSpaceDN/>
      <w:adjustRightInd/>
      <w:spacing w:before="0" w:after="480" w:line="259" w:lineRule="auto"/>
    </w:pPr>
    <w:rPr>
      <w:rFonts w:ascii="Times New Roman" w:hAnsi="Times New Roman" w:cstheme="minorBidi"/>
      <w:sz w:val="22"/>
      <w:lang w:val="es-ES_tradnl" w:eastAsia="zh-CN"/>
    </w:rPr>
  </w:style>
  <w:style w:type="paragraph" w:customStyle="1" w:styleId="Bulletlist1">
    <w:name w:val="Bullet list 1"/>
    <w:basedOn w:val="Normal"/>
    <w:autoRedefine/>
    <w:rsid w:val="00EA2213"/>
    <w:pPr>
      <w:tabs>
        <w:tab w:val="clear" w:pos="1134"/>
        <w:tab w:val="clear" w:pos="1871"/>
        <w:tab w:val="clear" w:pos="2268"/>
      </w:tabs>
      <w:overflowPunct/>
      <w:autoSpaceDE/>
      <w:autoSpaceDN/>
      <w:adjustRightInd/>
      <w:spacing w:before="0" w:after="160" w:line="259" w:lineRule="auto"/>
      <w:jc w:val="left"/>
      <w:textAlignment w:val="auto"/>
    </w:pPr>
    <w:rPr>
      <w:rFonts w:eastAsiaTheme="minorEastAsia" w:cstheme="minorHAnsi"/>
      <w:sz w:val="22"/>
      <w:szCs w:val="24"/>
      <w:lang w:val="en-US" w:eastAsia="zh-CN"/>
    </w:rPr>
  </w:style>
  <w:style w:type="paragraph" w:customStyle="1" w:styleId="Call">
    <w:name w:val="Call"/>
    <w:basedOn w:val="Normal"/>
    <w:next w:val="Normal"/>
    <w:link w:val="CallChar"/>
    <w:rsid w:val="00367EFD"/>
    <w:pPr>
      <w:keepNext/>
      <w:keepLines/>
      <w:spacing w:before="160"/>
      <w:ind w:left="1134"/>
    </w:pPr>
    <w:rPr>
      <w:i/>
    </w:rPr>
  </w:style>
  <w:style w:type="paragraph" w:customStyle="1" w:styleId="enumlev1">
    <w:name w:val="enumlev1"/>
    <w:basedOn w:val="Normal"/>
    <w:link w:val="enumlev1Char"/>
    <w:rsid w:val="00367EFD"/>
    <w:pPr>
      <w:tabs>
        <w:tab w:val="clear" w:pos="2268"/>
        <w:tab w:val="left" w:pos="2608"/>
        <w:tab w:val="left" w:pos="3345"/>
      </w:tabs>
      <w:spacing w:before="80"/>
      <w:ind w:left="1134" w:hanging="1134"/>
    </w:p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Style"/>
    <w:basedOn w:val="DefaultParagraphFont"/>
    <w:qFormat/>
    <w:rsid w:val="00367EFD"/>
    <w:rPr>
      <w:rFonts w:asciiTheme="minorHAnsi" w:hAnsiTheme="minorHAnsi"/>
      <w:position w:val="6"/>
      <w:sz w:val="18"/>
    </w:rPr>
  </w:style>
  <w:style w:type="paragraph" w:styleId="FootnoteText">
    <w:name w:val="footnote text"/>
    <w:basedOn w:val="Normal"/>
    <w:link w:val="FootnoteTextChar"/>
    <w:rsid w:val="00367EFD"/>
    <w:pPr>
      <w:keepLines/>
      <w:tabs>
        <w:tab w:val="left" w:pos="255"/>
      </w:tabs>
    </w:pPr>
    <w:rPr>
      <w:sz w:val="22"/>
    </w:rPr>
  </w:style>
  <w:style w:type="character" w:customStyle="1" w:styleId="FootnoteTextChar">
    <w:name w:val="Footnote Text Char"/>
    <w:basedOn w:val="DefaultParagraphFont"/>
    <w:link w:val="FootnoteText"/>
    <w:rsid w:val="00367EFD"/>
    <w:rPr>
      <w:rFonts w:eastAsia="Times New Roman" w:cs="Times New Roman"/>
      <w:szCs w:val="20"/>
    </w:rPr>
  </w:style>
  <w:style w:type="paragraph" w:customStyle="1" w:styleId="Normalaftertitle">
    <w:name w:val="Normal after title"/>
    <w:basedOn w:val="Normal"/>
    <w:next w:val="Normal"/>
    <w:link w:val="NormalaftertitleChar"/>
    <w:rsid w:val="00367EFD"/>
    <w:pPr>
      <w:spacing w:before="280"/>
    </w:pPr>
  </w:style>
  <w:style w:type="paragraph" w:customStyle="1" w:styleId="ResNo">
    <w:name w:val="Res_No"/>
    <w:basedOn w:val="Heading2"/>
    <w:next w:val="Normal"/>
    <w:link w:val="ResNoChar"/>
    <w:rsid w:val="00367EFD"/>
    <w:pPr>
      <w:keepLines/>
      <w:tabs>
        <w:tab w:val="left" w:pos="1134"/>
        <w:tab w:val="left" w:pos="1871"/>
        <w:tab w:val="left" w:pos="2268"/>
      </w:tabs>
      <w:overflowPunct w:val="0"/>
      <w:autoSpaceDE w:val="0"/>
      <w:autoSpaceDN w:val="0"/>
      <w:adjustRightInd w:val="0"/>
      <w:spacing w:before="200" w:after="0" w:line="240" w:lineRule="auto"/>
      <w:ind w:left="1134" w:hanging="1134"/>
      <w:jc w:val="center"/>
      <w:textAlignment w:val="baseline"/>
    </w:pPr>
    <w:rPr>
      <w:rFonts w:cs="Times New Roman"/>
      <w:bCs w:val="0"/>
      <w:iCs w:val="0"/>
      <w:color w:val="auto"/>
      <w:sz w:val="28"/>
      <w:szCs w:val="20"/>
      <w:lang w:val="en-GB" w:eastAsia="en-US"/>
    </w:rPr>
  </w:style>
  <w:style w:type="paragraph" w:customStyle="1" w:styleId="Restitle">
    <w:name w:val="Res_title"/>
    <w:basedOn w:val="Normal"/>
    <w:next w:val="Normal"/>
    <w:link w:val="RestitleChar"/>
    <w:rsid w:val="00367EFD"/>
    <w:pPr>
      <w:keepNext/>
      <w:keepLines/>
      <w:spacing w:before="240"/>
      <w:jc w:val="center"/>
    </w:pPr>
    <w:rPr>
      <w:b/>
      <w:sz w:val="28"/>
    </w:rPr>
  </w:style>
  <w:style w:type="character" w:customStyle="1" w:styleId="NormalaftertitleChar">
    <w:name w:val="Normal after title Char"/>
    <w:basedOn w:val="DefaultParagraphFont"/>
    <w:link w:val="Normalaftertitle"/>
    <w:locked/>
    <w:rsid w:val="00367EFD"/>
    <w:rPr>
      <w:rFonts w:eastAsia="Times New Roman" w:cs="Times New Roman"/>
      <w:sz w:val="24"/>
      <w:szCs w:val="20"/>
    </w:rPr>
  </w:style>
  <w:style w:type="character" w:customStyle="1" w:styleId="href">
    <w:name w:val="href"/>
    <w:basedOn w:val="DefaultParagraphFont"/>
    <w:rsid w:val="00367EFD"/>
    <w:rPr>
      <w:color w:val="auto"/>
    </w:rPr>
  </w:style>
  <w:style w:type="character" w:customStyle="1" w:styleId="enumlev1Char">
    <w:name w:val="enumlev1 Char"/>
    <w:basedOn w:val="DefaultParagraphFont"/>
    <w:link w:val="enumlev1"/>
    <w:qFormat/>
    <w:rsid w:val="00367EFD"/>
    <w:rPr>
      <w:rFonts w:eastAsia="Times New Roman" w:cs="Times New Roman"/>
      <w:sz w:val="24"/>
      <w:szCs w:val="20"/>
    </w:rPr>
  </w:style>
  <w:style w:type="character" w:customStyle="1" w:styleId="CallChar">
    <w:name w:val="Call Char"/>
    <w:basedOn w:val="DefaultParagraphFont"/>
    <w:link w:val="Call"/>
    <w:locked/>
    <w:rsid w:val="00367EFD"/>
    <w:rPr>
      <w:rFonts w:eastAsia="Times New Roman" w:cs="Times New Roman"/>
      <w:i/>
      <w:sz w:val="24"/>
      <w:szCs w:val="20"/>
    </w:rPr>
  </w:style>
  <w:style w:type="character" w:customStyle="1" w:styleId="RestitleChar">
    <w:name w:val="Res_title Char"/>
    <w:basedOn w:val="DefaultParagraphFont"/>
    <w:link w:val="Restitle"/>
    <w:rsid w:val="00367EFD"/>
    <w:rPr>
      <w:rFonts w:eastAsia="Times New Roman" w:cs="Times New Roman"/>
      <w:b/>
      <w:sz w:val="28"/>
      <w:szCs w:val="20"/>
    </w:rPr>
  </w:style>
  <w:style w:type="character" w:customStyle="1" w:styleId="ResNoChar">
    <w:name w:val="Res_No Char"/>
    <w:basedOn w:val="DefaultParagraphFont"/>
    <w:link w:val="ResNo"/>
    <w:rsid w:val="00367EFD"/>
    <w:rPr>
      <w:rFonts w:eastAsia="Times New Roman" w:cs="Times New Roman"/>
      <w:sz w:val="28"/>
      <w:szCs w:val="20"/>
    </w:rPr>
  </w:style>
  <w:style w:type="paragraph" w:styleId="Header">
    <w:name w:val="header"/>
    <w:basedOn w:val="Normal"/>
    <w:link w:val="HeaderChar"/>
    <w:uiPriority w:val="1"/>
    <w:unhideWhenUsed/>
    <w:rsid w:val="00C029B8"/>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C029B8"/>
    <w:rPr>
      <w:rFonts w:eastAsia="Times New Roman" w:cs="Times New Roman"/>
      <w:sz w:val="24"/>
      <w:szCs w:val="20"/>
    </w:rPr>
  </w:style>
  <w:style w:type="paragraph" w:styleId="Footer">
    <w:name w:val="footer"/>
    <w:basedOn w:val="Normal"/>
    <w:link w:val="FooterChar"/>
    <w:uiPriority w:val="99"/>
    <w:unhideWhenUsed/>
    <w:rsid w:val="00C029B8"/>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C029B8"/>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RESOLUCIÓN 10 (Rev. Hyderabad, 2010)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10 (Rev. Hyderabad, 2010) – Apoyo financiero a los programas nacionales de gestión del espectro</dc:title>
  <dc:subject/>
  <dc:creator>Catalano Moreira, Rossana</dc:creator>
  <cp:keywords/>
  <dc:description/>
  <cp:lastModifiedBy>Catalano Moreira, Rossana</cp:lastModifiedBy>
  <cp:revision>5</cp:revision>
  <dcterms:created xsi:type="dcterms:W3CDTF">2023-10-16T14:36:00Z</dcterms:created>
  <dcterms:modified xsi:type="dcterms:W3CDTF">2023-10-16T14:43:00Z</dcterms:modified>
</cp:coreProperties>
</file>