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5144" w14:textId="77777777" w:rsidR="00740E6D" w:rsidRPr="007D4F79" w:rsidRDefault="00740E6D" w:rsidP="00740E6D">
      <w:pPr>
        <w:pStyle w:val="ResNo"/>
        <w:rPr>
          <w:lang w:val="fr-FR"/>
        </w:rPr>
      </w:pPr>
      <w:bookmarkStart w:id="0" w:name="_Toc116542328"/>
      <w:r w:rsidRPr="007D4F79">
        <w:rPr>
          <w:caps w:val="0"/>
          <w:lang w:val="fr-FR"/>
        </w:rPr>
        <w:t xml:space="preserve">RÉSOLUTION </w:t>
      </w:r>
      <w:r w:rsidRPr="007D4F79">
        <w:rPr>
          <w:lang w:val="fr-FR"/>
        </w:rPr>
        <w:t>10 (R</w:t>
      </w:r>
      <w:r w:rsidRPr="007D4F79">
        <w:rPr>
          <w:caps w:val="0"/>
          <w:lang w:val="fr-FR"/>
        </w:rPr>
        <w:t>év</w:t>
      </w:r>
      <w:r w:rsidRPr="007D4F79">
        <w:rPr>
          <w:lang w:val="fr-FR"/>
        </w:rPr>
        <w:t>. H</w:t>
      </w:r>
      <w:r w:rsidRPr="007D4F79">
        <w:rPr>
          <w:caps w:val="0"/>
          <w:lang w:val="fr-FR"/>
        </w:rPr>
        <w:t>yderabad</w:t>
      </w:r>
      <w:r w:rsidRPr="007D4F79">
        <w:rPr>
          <w:lang w:val="fr-FR"/>
        </w:rPr>
        <w:t>, 2010)</w:t>
      </w:r>
      <w:bookmarkEnd w:id="0"/>
    </w:p>
    <w:p w14:paraId="5D75924A" w14:textId="77777777" w:rsidR="00740E6D" w:rsidRPr="007D4F79" w:rsidRDefault="00740E6D" w:rsidP="00740E6D">
      <w:pPr>
        <w:pStyle w:val="Restitle"/>
        <w:rPr>
          <w:lang w:val="fr-FR"/>
        </w:rPr>
      </w:pPr>
      <w:bookmarkStart w:id="1" w:name="_Toc116542329"/>
      <w:r w:rsidRPr="007D4F79">
        <w:rPr>
          <w:lang w:val="fr-FR"/>
        </w:rPr>
        <w:t xml:space="preserve">Assistance financière pour les programmes nationaux </w:t>
      </w:r>
      <w:r w:rsidRPr="007D4F79">
        <w:rPr>
          <w:lang w:val="fr-FR"/>
        </w:rPr>
        <w:br/>
        <w:t>de gestion du spectre</w:t>
      </w:r>
      <w:bookmarkEnd w:id="1"/>
    </w:p>
    <w:p w14:paraId="027A1301" w14:textId="77777777" w:rsidR="00740E6D" w:rsidRPr="007D4F79" w:rsidRDefault="00740E6D" w:rsidP="00740E6D">
      <w:pPr>
        <w:pStyle w:val="Normalaftertitle"/>
        <w:rPr>
          <w:lang w:val="fr-CH"/>
        </w:rPr>
      </w:pPr>
      <w:r w:rsidRPr="007D4F79">
        <w:rPr>
          <w:lang w:val="fr-CH"/>
        </w:rPr>
        <w:t>La Conférence mondiale de développement des télécommunications (Hyderabad, 2010),</w:t>
      </w:r>
    </w:p>
    <w:p w14:paraId="2037B2FB" w14:textId="77777777" w:rsidR="00740E6D" w:rsidRPr="007D4F79" w:rsidRDefault="00740E6D" w:rsidP="00740E6D">
      <w:pPr>
        <w:pStyle w:val="Call"/>
        <w:rPr>
          <w:lang w:val="fr-FR"/>
        </w:rPr>
      </w:pPr>
      <w:r w:rsidRPr="007D4F79">
        <w:rPr>
          <w:lang w:val="fr-FR"/>
        </w:rPr>
        <w:t>rappelant</w:t>
      </w:r>
    </w:p>
    <w:p w14:paraId="13DA01B5" w14:textId="77777777" w:rsidR="00740E6D" w:rsidRPr="007D4F79" w:rsidRDefault="00740E6D" w:rsidP="00740E6D">
      <w:pPr>
        <w:rPr>
          <w:lang w:val="fr-FR"/>
        </w:rPr>
      </w:pPr>
      <w:r w:rsidRPr="007D4F79">
        <w:rPr>
          <w:lang w:val="fr-FR"/>
        </w:rPr>
        <w:t>la Résolution 10 (Rév. Doha, 2006) de la Conférence mondiale de développement des télécommunications (CMDT),</w:t>
      </w:r>
    </w:p>
    <w:p w14:paraId="2D8041EA" w14:textId="77777777" w:rsidR="00740E6D" w:rsidRPr="007D4F79" w:rsidRDefault="00740E6D" w:rsidP="00740E6D">
      <w:pPr>
        <w:pStyle w:val="Call"/>
        <w:rPr>
          <w:lang w:val="fr-FR"/>
        </w:rPr>
      </w:pPr>
      <w:r w:rsidRPr="007D4F79">
        <w:rPr>
          <w:lang w:val="fr-FR"/>
        </w:rPr>
        <w:t>considérant</w:t>
      </w:r>
    </w:p>
    <w:p w14:paraId="2C6D7A96" w14:textId="77777777" w:rsidR="00740E6D" w:rsidRPr="007D4F79" w:rsidRDefault="00740E6D" w:rsidP="00740E6D">
      <w:pPr>
        <w:rPr>
          <w:lang w:val="fr-FR"/>
        </w:rPr>
      </w:pPr>
      <w:r w:rsidRPr="007D4F79">
        <w:rPr>
          <w:i/>
          <w:iCs/>
          <w:lang w:val="fr-FR"/>
        </w:rPr>
        <w:t>a)</w:t>
      </w:r>
      <w:r w:rsidRPr="007D4F79">
        <w:rPr>
          <w:lang w:val="fr-FR"/>
        </w:rPr>
        <w:tab/>
        <w:t>que l'on assiste actuellement à la mise en œuvre et à la mondialisation accélérées de différents services de radiocommunication et à l'apparition de nouvelles applications de radiocommunication efficaces;</w:t>
      </w:r>
    </w:p>
    <w:p w14:paraId="7F049864" w14:textId="77777777" w:rsidR="00740E6D" w:rsidRPr="007D4F79" w:rsidRDefault="00740E6D" w:rsidP="00740E6D">
      <w:pPr>
        <w:rPr>
          <w:lang w:val="fr-FR"/>
        </w:rPr>
      </w:pPr>
      <w:r w:rsidRPr="007D4F79">
        <w:rPr>
          <w:i/>
          <w:iCs/>
          <w:lang w:val="fr-FR"/>
        </w:rPr>
        <w:t>b)</w:t>
      </w:r>
      <w:r w:rsidRPr="007D4F79">
        <w:rPr>
          <w:lang w:val="fr-FR"/>
        </w:rPr>
        <w:tab/>
        <w:t>que, si l'on veut garantir que le développement des radiocommunications et que la mise en œuvre de ces nouvelles applications soient un succès, il faut disposer de bandes de fréquences exemptes de brouillage, aux niveaux national, régional et international, conformément au Règlement des radiocommunications ainsi qu'aux Recommandations et aux Résolutions du Secteur des radiocommunications de l'UIT (UIT</w:t>
      </w:r>
      <w:r w:rsidRPr="007D4F79">
        <w:rPr>
          <w:lang w:val="fr-FR"/>
        </w:rPr>
        <w:noBreakHyphen/>
        <w:t>R);</w:t>
      </w:r>
    </w:p>
    <w:p w14:paraId="6E57349A" w14:textId="77777777" w:rsidR="00740E6D" w:rsidRPr="007D4F79" w:rsidRDefault="00740E6D" w:rsidP="00740E6D">
      <w:pPr>
        <w:rPr>
          <w:lang w:val="fr-FR"/>
        </w:rPr>
      </w:pPr>
      <w:r w:rsidRPr="007D4F79">
        <w:rPr>
          <w:i/>
          <w:iCs/>
          <w:lang w:val="fr-FR"/>
        </w:rPr>
        <w:t>c)</w:t>
      </w:r>
      <w:r w:rsidRPr="007D4F79">
        <w:rPr>
          <w:lang w:val="fr-FR"/>
        </w:rPr>
        <w:tab/>
        <w:t>les résultats de la seconde phase du Sommet mondial sur la société de l'information (SMSI), et en particulier le paragraphe 96 de l'Agenda de Tunis, relatif au rôle de l'UIT s'agissant de prendre des mesures pour assurer une utilisation rationnelle, efficace et économique du spectre des fréquences radioélectriques par tous les pays et leur accès équitable à ce spectre;</w:t>
      </w:r>
    </w:p>
    <w:p w14:paraId="2289F6F3" w14:textId="77777777" w:rsidR="00740E6D" w:rsidRPr="007D4F79" w:rsidRDefault="00740E6D" w:rsidP="00740E6D">
      <w:pPr>
        <w:rPr>
          <w:lang w:val="fr-FR"/>
        </w:rPr>
      </w:pPr>
      <w:r w:rsidRPr="007D4F79">
        <w:rPr>
          <w:i/>
          <w:iCs/>
          <w:lang w:val="fr-FR"/>
        </w:rPr>
        <w:t>d)</w:t>
      </w:r>
      <w:r w:rsidRPr="007D4F79">
        <w:rPr>
          <w:lang w:val="fr-FR"/>
        </w:rPr>
        <w:tab/>
        <w:t>que la mise à disposition de bandes de fréquences et l'utilisation efficace du spectre, aux niveaux national, régional et international, dépendent de l'élaboration et de la mise en œuvre de programmes nationaux appropriés de gestion du spectre et de contrôle des émissions visant à éviter les brouillages;</w:t>
      </w:r>
    </w:p>
    <w:p w14:paraId="21D39D9F" w14:textId="77777777" w:rsidR="00740E6D" w:rsidRPr="007D4F79" w:rsidRDefault="00740E6D" w:rsidP="00740E6D">
      <w:pPr>
        <w:rPr>
          <w:lang w:val="fr-FR"/>
        </w:rPr>
      </w:pPr>
    </w:p>
    <w:p w14:paraId="4E52B254" w14:textId="77777777" w:rsidR="00740E6D" w:rsidRPr="007D4F79" w:rsidRDefault="00740E6D" w:rsidP="00740E6D">
      <w:pPr>
        <w:rPr>
          <w:lang w:val="fr-FR"/>
        </w:rPr>
      </w:pPr>
    </w:p>
    <w:p w14:paraId="55902AFD" w14:textId="77777777" w:rsidR="00740E6D" w:rsidRDefault="00740E6D" w:rsidP="00740E6D">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6CE0A06" w14:textId="77777777" w:rsidR="00740E6D" w:rsidRPr="007D4F79" w:rsidRDefault="00740E6D" w:rsidP="00740E6D">
      <w:pPr>
        <w:rPr>
          <w:lang w:val="fr-FR"/>
        </w:rPr>
      </w:pPr>
      <w:r w:rsidRPr="007D4F79">
        <w:rPr>
          <w:i/>
          <w:iCs/>
          <w:lang w:val="fr-FR"/>
        </w:rPr>
        <w:lastRenderedPageBreak/>
        <w:t>e)</w:t>
      </w:r>
      <w:r w:rsidRPr="007D4F79">
        <w:rPr>
          <w:lang w:val="fr-FR"/>
        </w:rPr>
        <w:tab/>
        <w:t>que des programmes nationaux de gestion du spectre efficaces sont indispensables à la libéralisation des radiocommunications et à la privatisation de certains services de radiocommunication ainsi qu'au développement de la concurrence, sachant que de tels programmes n'existent pas dans certains pays en développement</w:t>
      </w:r>
      <w:r>
        <w:rPr>
          <w:rStyle w:val="FootnoteReference"/>
          <w:lang w:val="fr-FR"/>
        </w:rPr>
        <w:footnoteReference w:customMarkFollows="1" w:id="1"/>
        <w:t>1</w:t>
      </w:r>
      <w:r w:rsidRPr="007D4F79">
        <w:rPr>
          <w:lang w:val="fr-FR"/>
        </w:rPr>
        <w:t>;</w:t>
      </w:r>
    </w:p>
    <w:p w14:paraId="7963410C" w14:textId="77777777" w:rsidR="00740E6D" w:rsidRPr="007D4F79" w:rsidRDefault="00740E6D" w:rsidP="00740E6D">
      <w:pPr>
        <w:rPr>
          <w:lang w:val="fr-FR"/>
        </w:rPr>
      </w:pPr>
      <w:r w:rsidRPr="007D4F79">
        <w:rPr>
          <w:i/>
          <w:iCs/>
          <w:lang w:val="fr-FR"/>
        </w:rPr>
        <w:t>f)</w:t>
      </w:r>
      <w:r w:rsidRPr="007D4F79">
        <w:rPr>
          <w:lang w:val="fr-FR"/>
        </w:rPr>
        <w:tab/>
        <w:t>que plusieurs pays cessent leurs transmissions de télévision analogiques et passent aux techniques de radiodiffusion numériques, ce qui permet de libérer une gamme de fréquences radioélectriques actuellement utilisées pour la télévision analogique;</w:t>
      </w:r>
    </w:p>
    <w:p w14:paraId="6FC36464" w14:textId="77777777" w:rsidR="00740E6D" w:rsidRPr="007D4F79" w:rsidRDefault="00740E6D" w:rsidP="00740E6D">
      <w:pPr>
        <w:rPr>
          <w:lang w:val="fr-FR"/>
        </w:rPr>
      </w:pPr>
      <w:r w:rsidRPr="007D4F79">
        <w:rPr>
          <w:i/>
          <w:iCs/>
          <w:lang w:val="fr-FR"/>
        </w:rPr>
        <w:t>g)</w:t>
      </w:r>
      <w:r w:rsidRPr="007D4F79">
        <w:rPr>
          <w:lang w:val="fr-FR"/>
        </w:rPr>
        <w:tab/>
        <w:t>que ces fréquences peuvent être utilisées pour réduire la fracture numérique,</w:t>
      </w:r>
    </w:p>
    <w:p w14:paraId="35EF340F" w14:textId="77777777" w:rsidR="00740E6D" w:rsidRPr="007D4F79" w:rsidRDefault="00740E6D" w:rsidP="00740E6D">
      <w:pPr>
        <w:pStyle w:val="Call"/>
        <w:rPr>
          <w:lang w:val="fr-FR"/>
        </w:rPr>
      </w:pPr>
      <w:r w:rsidRPr="007D4F79">
        <w:rPr>
          <w:lang w:val="fr-FR"/>
        </w:rPr>
        <w:t>reconnaissant</w:t>
      </w:r>
    </w:p>
    <w:p w14:paraId="34ACF44C" w14:textId="77777777" w:rsidR="00740E6D" w:rsidRPr="007D4F79" w:rsidRDefault="00740E6D" w:rsidP="00740E6D">
      <w:pPr>
        <w:keepNext/>
        <w:keepLines/>
        <w:rPr>
          <w:lang w:val="fr-FR"/>
        </w:rPr>
      </w:pPr>
      <w:r w:rsidRPr="007D4F79">
        <w:rPr>
          <w:i/>
          <w:iCs/>
          <w:lang w:val="fr-FR"/>
        </w:rPr>
        <w:t>a)</w:t>
      </w:r>
      <w:r w:rsidRPr="007D4F79">
        <w:rPr>
          <w:lang w:val="fr-FR"/>
        </w:rPr>
        <w:tab/>
        <w:t>l'importance de la mise en œuvre de programmes de gestion du spectre pour garantir le développement efficace des radiocommunications et le rôle que jouent celles-ci dans le développement de l'économie nationale, ainsi que le fait que ces programmes ne reçoivent pas toujours la priorité voulue;</w:t>
      </w:r>
    </w:p>
    <w:p w14:paraId="6A24E112" w14:textId="77777777" w:rsidR="00740E6D" w:rsidRPr="007D4F79" w:rsidRDefault="00740E6D" w:rsidP="00740E6D">
      <w:pPr>
        <w:rPr>
          <w:lang w:val="fr-FR"/>
        </w:rPr>
      </w:pPr>
      <w:r w:rsidRPr="007D4F79">
        <w:rPr>
          <w:i/>
          <w:iCs/>
          <w:lang w:val="fr-FR"/>
        </w:rPr>
        <w:t>b)</w:t>
      </w:r>
      <w:r w:rsidRPr="007D4F79">
        <w:rPr>
          <w:lang w:val="fr-FR"/>
        </w:rPr>
        <w:tab/>
        <w:t>que les organismes de financement nationaux et internationaux accordent fréquemment un rang de priorité plus élevé au financement de la mise en œuvre de systèmes de télécommunication (y compris de radiocommunication) qu'à l'exécution de programmes nationaux de gestion du spectre;</w:t>
      </w:r>
    </w:p>
    <w:p w14:paraId="23DB6B19" w14:textId="77777777" w:rsidR="00740E6D" w:rsidRPr="007D4F79" w:rsidRDefault="00740E6D" w:rsidP="00740E6D">
      <w:pPr>
        <w:rPr>
          <w:lang w:val="fr-FR"/>
        </w:rPr>
      </w:pPr>
      <w:r w:rsidRPr="007D4F79">
        <w:rPr>
          <w:i/>
          <w:iCs/>
          <w:lang w:val="fr-FR"/>
        </w:rPr>
        <w:t>c)</w:t>
      </w:r>
      <w:r w:rsidRPr="007D4F79">
        <w:rPr>
          <w:lang w:val="fr-FR"/>
        </w:rPr>
        <w:tab/>
        <w:t>le succès de la mise en œuvre de la Résolution 9 – "Participation des pays, en particulier des pays en développement, à la gestion du spectre radioélectrique" – depuis que cette Résolution a été adoptée pour la première fois par la CMDT (La Valette, 1998),</w:t>
      </w:r>
    </w:p>
    <w:p w14:paraId="33A865B7" w14:textId="77777777" w:rsidR="00740E6D" w:rsidRPr="007D4F79" w:rsidRDefault="00740E6D" w:rsidP="00740E6D">
      <w:pPr>
        <w:pStyle w:val="Call"/>
        <w:rPr>
          <w:lang w:val="fr-FR"/>
        </w:rPr>
      </w:pPr>
      <w:r w:rsidRPr="007D4F79">
        <w:rPr>
          <w:lang w:val="fr-FR"/>
        </w:rPr>
        <w:t>décide</w:t>
      </w:r>
    </w:p>
    <w:p w14:paraId="5E52E9D5" w14:textId="77777777" w:rsidR="00740E6D" w:rsidRPr="007D4F79" w:rsidRDefault="00740E6D" w:rsidP="00740E6D">
      <w:pPr>
        <w:rPr>
          <w:lang w:val="fr-FR"/>
        </w:rPr>
      </w:pPr>
      <w:r w:rsidRPr="007D4F79">
        <w:rPr>
          <w:lang w:val="fr-FR"/>
        </w:rPr>
        <w:t>1</w:t>
      </w:r>
      <w:r w:rsidRPr="007D4F79">
        <w:rPr>
          <w:lang w:val="fr-FR"/>
        </w:rPr>
        <w:tab/>
        <w:t>de continuer d'inviter les organismes de financement nationaux et internationaux à privilégier davantage la fourniture d'une assistance financière importante, y compris en octroyant des crédits à des conditions favorables, à des programmes nationaux de gestion du spectre (y compris de contrôle des émissions) et à une formation idoine pour les pays qui ne disposent pas de programmes appropriés de gestion du spectre, condition indispensable à l'utilisation efficace du spectre, au développement satisfaisant des services de radiocommunication et à la mise en œuvre d'applications novatrices et prometteuses, notamment de portée mondiale, aux niveaux national, régional et international;</w:t>
      </w:r>
    </w:p>
    <w:p w14:paraId="2DE16DBE" w14:textId="77777777" w:rsidR="00740E6D" w:rsidRDefault="00740E6D" w:rsidP="00740E6D">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3C3BD1F0" w14:textId="77777777" w:rsidR="00740E6D" w:rsidRPr="007D4F79" w:rsidRDefault="00740E6D" w:rsidP="00740E6D">
      <w:pPr>
        <w:rPr>
          <w:lang w:val="fr-FR"/>
        </w:rPr>
      </w:pPr>
      <w:r w:rsidRPr="007D4F79">
        <w:rPr>
          <w:lang w:val="fr-FR"/>
        </w:rPr>
        <w:lastRenderedPageBreak/>
        <w:t>2</w:t>
      </w:r>
      <w:r w:rsidRPr="007D4F79">
        <w:rPr>
          <w:lang w:val="fr-FR"/>
        </w:rPr>
        <w:tab/>
        <w:t>de continuer d'inviter le Bureau de développement des télécommunications (BDT) à prévoir dans son budget, la tenue d'une réunion annuelle pour étudier la question de la gestion nationale du spectre, en parfaite coordination avec le Bureau des radiocommunications, dans le cadre des activités menées au titre du Programme 1, aux niveaux régional et international;</w:t>
      </w:r>
    </w:p>
    <w:p w14:paraId="5DF1BBB4" w14:textId="77777777" w:rsidR="00740E6D" w:rsidRPr="007D4F79" w:rsidRDefault="00740E6D" w:rsidP="00740E6D">
      <w:pPr>
        <w:rPr>
          <w:lang w:val="fr-FR"/>
        </w:rPr>
      </w:pPr>
      <w:r w:rsidRPr="007D4F79">
        <w:rPr>
          <w:lang w:val="fr-FR"/>
        </w:rPr>
        <w:t>3</w:t>
      </w:r>
      <w:r w:rsidRPr="007D4F79">
        <w:rPr>
          <w:lang w:val="fr-FR"/>
        </w:rPr>
        <w:tab/>
        <w:t>d'inviter le BDT à donner suite au développement du système de gestion nationale du spectre pour les pays en développement (SMS4DC), en coopération avec le BR et la Commission d'études 1 de l'UIT</w:t>
      </w:r>
      <w:r w:rsidRPr="007D4F79">
        <w:rPr>
          <w:lang w:val="fr-FR"/>
        </w:rPr>
        <w:noBreakHyphen/>
        <w:t>R;</w:t>
      </w:r>
    </w:p>
    <w:p w14:paraId="1DBAC83A" w14:textId="77777777" w:rsidR="00740E6D" w:rsidRPr="007D4F79" w:rsidRDefault="00740E6D" w:rsidP="00740E6D">
      <w:pPr>
        <w:rPr>
          <w:lang w:val="fr-FR"/>
        </w:rPr>
      </w:pPr>
      <w:r w:rsidRPr="007D4F79">
        <w:rPr>
          <w:lang w:val="fr-FR"/>
        </w:rPr>
        <w:t>4</w:t>
      </w:r>
      <w:r w:rsidRPr="007D4F79">
        <w:rPr>
          <w:lang w:val="fr-FR"/>
        </w:rPr>
        <w:tab/>
        <w:t>d'inviter le BDT à envisager la possibilité:</w:t>
      </w:r>
    </w:p>
    <w:p w14:paraId="21A018C3" w14:textId="77777777" w:rsidR="00740E6D" w:rsidRPr="007D4F79" w:rsidRDefault="00740E6D" w:rsidP="00740E6D">
      <w:pPr>
        <w:pStyle w:val="enumlev1"/>
        <w:rPr>
          <w:lang w:val="fr-FR"/>
        </w:rPr>
      </w:pPr>
      <w:r w:rsidRPr="007D4F79">
        <w:rPr>
          <w:lang w:val="fr-FR"/>
        </w:rPr>
        <w:t>i)</w:t>
      </w:r>
      <w:r w:rsidRPr="007D4F79">
        <w:rPr>
          <w:lang w:val="fr-FR"/>
        </w:rPr>
        <w:tab/>
        <w:t>d'étudier le meilleur moyen de supprimer progressivement la télévision analogique dans les pays en développement; et</w:t>
      </w:r>
    </w:p>
    <w:p w14:paraId="15E2B374" w14:textId="77777777" w:rsidR="00740E6D" w:rsidRPr="007D4F79" w:rsidRDefault="00740E6D" w:rsidP="00740E6D">
      <w:pPr>
        <w:pStyle w:val="enumlev1"/>
        <w:rPr>
          <w:lang w:val="fr-FR"/>
        </w:rPr>
      </w:pPr>
      <w:r w:rsidRPr="007D4F79">
        <w:rPr>
          <w:lang w:val="fr-FR"/>
        </w:rPr>
        <w:t>ii)</w:t>
      </w:r>
      <w:r w:rsidRPr="007D4F79">
        <w:rPr>
          <w:lang w:val="fr-FR"/>
        </w:rPr>
        <w:tab/>
        <w:t>d'améliorer l'utilisation des fréquences libérées par la télévision analogique,</w:t>
      </w:r>
    </w:p>
    <w:p w14:paraId="350B2EFA" w14:textId="77777777" w:rsidR="00740E6D" w:rsidRPr="007D4F79" w:rsidRDefault="00740E6D" w:rsidP="00740E6D">
      <w:pPr>
        <w:pStyle w:val="Call"/>
        <w:rPr>
          <w:lang w:val="fr-FR"/>
        </w:rPr>
      </w:pPr>
      <w:r w:rsidRPr="007D4F79">
        <w:rPr>
          <w:lang w:val="fr-FR"/>
        </w:rPr>
        <w:t>prie le Bureau de développement des télécommunications</w:t>
      </w:r>
    </w:p>
    <w:p w14:paraId="0915EB64" w14:textId="77777777" w:rsidR="00740E6D" w:rsidRPr="007D4F79" w:rsidRDefault="00740E6D" w:rsidP="00740E6D">
      <w:pPr>
        <w:rPr>
          <w:lang w:val="fr-FR"/>
        </w:rPr>
      </w:pPr>
      <w:r w:rsidRPr="007D4F79">
        <w:rPr>
          <w:lang w:val="fr-FR"/>
        </w:rPr>
        <w:t>de porter la présente Résolution à l'attention des organisations internationales et régionales compétentes de financement et de développement,</w:t>
      </w:r>
    </w:p>
    <w:p w14:paraId="28F40225" w14:textId="77777777" w:rsidR="00740E6D" w:rsidRPr="007D4F79" w:rsidRDefault="00740E6D" w:rsidP="00740E6D">
      <w:pPr>
        <w:pStyle w:val="Call"/>
        <w:rPr>
          <w:lang w:val="fr-FR"/>
        </w:rPr>
      </w:pPr>
      <w:r w:rsidRPr="007D4F79">
        <w:rPr>
          <w:lang w:val="fr-FR"/>
        </w:rPr>
        <w:t>invite le Directeur du Bureau des radiocommunications</w:t>
      </w:r>
    </w:p>
    <w:p w14:paraId="3402FC5D" w14:textId="77777777" w:rsidR="00740E6D" w:rsidRPr="007D4F79" w:rsidRDefault="00740E6D" w:rsidP="00740E6D">
      <w:pPr>
        <w:rPr>
          <w:lang w:val="fr-FR"/>
        </w:rPr>
      </w:pPr>
      <w:r w:rsidRPr="007D4F79">
        <w:rPr>
          <w:lang w:val="fr-FR"/>
        </w:rPr>
        <w:t>à poursuivre la coopération avec le BDT en ce qui concerne le développement du système de gestion nationale du spectre pour les pays en développement (SMS4DC) et la formation idoine,</w:t>
      </w:r>
    </w:p>
    <w:p w14:paraId="71985B17" w14:textId="77777777" w:rsidR="00740E6D" w:rsidRPr="007D4F79" w:rsidRDefault="00740E6D" w:rsidP="00740E6D">
      <w:pPr>
        <w:pStyle w:val="Call"/>
        <w:rPr>
          <w:lang w:val="fr-FR"/>
        </w:rPr>
      </w:pPr>
      <w:r w:rsidRPr="007D4F79">
        <w:rPr>
          <w:lang w:val="fr-FR"/>
        </w:rPr>
        <w:t>invite les Commissions d'études 5 et 6 de l'UIT-R</w:t>
      </w:r>
    </w:p>
    <w:p w14:paraId="7CEB835A" w14:textId="77777777" w:rsidR="00740E6D" w:rsidRPr="007D4F79" w:rsidRDefault="00740E6D" w:rsidP="00740E6D">
      <w:pPr>
        <w:keepNext/>
        <w:keepLines/>
        <w:rPr>
          <w:lang w:val="fr-FR"/>
        </w:rPr>
      </w:pPr>
      <w:r w:rsidRPr="007D4F79">
        <w:rPr>
          <w:lang w:val="fr-FR"/>
        </w:rPr>
        <w:t>à poursuivre la coopération avec la Commission d'études 2 de l'UIT-D, en donnant des renseignements sur l'utilisation actuelle et future des bandes de fréquences libérées par la télévision analogique et en présentant un rapport sur la manière dont les pays développés et les pays en développement utilisent ou projettent d'utiliser le dividende du numérique.</w:t>
      </w:r>
    </w:p>
    <w:p w14:paraId="721B1997" w14:textId="77777777" w:rsidR="00740E6D" w:rsidRPr="007D4F79" w:rsidRDefault="00740E6D" w:rsidP="00740E6D">
      <w:pPr>
        <w:pStyle w:val="Reasons"/>
        <w:rPr>
          <w:lang w:val="fr-FR"/>
        </w:rPr>
      </w:pPr>
    </w:p>
    <w:p w14:paraId="14B1A67A" w14:textId="77777777" w:rsidR="00740E6D" w:rsidRPr="007D4F79" w:rsidRDefault="00740E6D" w:rsidP="00740E6D">
      <w:pPr>
        <w:pStyle w:val="Reasons"/>
        <w:rPr>
          <w:lang w:val="fr-FR"/>
        </w:rPr>
      </w:pPr>
    </w:p>
    <w:p w14:paraId="7E4C4A18" w14:textId="77777777" w:rsidR="00740E6D" w:rsidRPr="007D4F79" w:rsidRDefault="00740E6D" w:rsidP="00740E6D">
      <w:pPr>
        <w:pStyle w:val="Reasons"/>
        <w:rPr>
          <w:lang w:val="fr-FR"/>
        </w:rPr>
      </w:pPr>
    </w:p>
    <w:p w14:paraId="19CF2B9F" w14:textId="77777777" w:rsidR="00F16487" w:rsidRDefault="00F16487"/>
    <w:sectPr w:rsidR="00F16487" w:rsidSect="00740E6D">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31E5" w14:textId="77777777" w:rsidR="00740E6D" w:rsidRDefault="00740E6D" w:rsidP="00740E6D">
      <w:pPr>
        <w:spacing w:before="0" w:after="0"/>
      </w:pPr>
      <w:r>
        <w:separator/>
      </w:r>
    </w:p>
  </w:endnote>
  <w:endnote w:type="continuationSeparator" w:id="0">
    <w:p w14:paraId="2122F756" w14:textId="77777777" w:rsidR="00740E6D" w:rsidRDefault="00740E6D" w:rsidP="00740E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BF92" w14:textId="77777777" w:rsidR="00740E6D" w:rsidRDefault="00740E6D" w:rsidP="00740E6D">
      <w:pPr>
        <w:spacing w:before="0" w:after="0"/>
      </w:pPr>
      <w:r>
        <w:separator/>
      </w:r>
    </w:p>
  </w:footnote>
  <w:footnote w:type="continuationSeparator" w:id="0">
    <w:p w14:paraId="58301326" w14:textId="77777777" w:rsidR="00740E6D" w:rsidRDefault="00740E6D" w:rsidP="00740E6D">
      <w:pPr>
        <w:spacing w:before="0" w:after="0"/>
      </w:pPr>
      <w:r>
        <w:continuationSeparator/>
      </w:r>
    </w:p>
  </w:footnote>
  <w:footnote w:id="1">
    <w:p w14:paraId="4FC36843" w14:textId="77777777" w:rsidR="00740E6D" w:rsidRPr="001F22C0" w:rsidRDefault="00740E6D" w:rsidP="00740E6D">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240606227"/>
      <w:docPartObj>
        <w:docPartGallery w:val="Page Numbers (Top of Page)"/>
        <w:docPartUnique/>
      </w:docPartObj>
    </w:sdtPr>
    <w:sdtEndPr>
      <w:rPr>
        <w:noProof/>
      </w:rPr>
    </w:sdtEndPr>
    <w:sdtContent>
      <w:p w14:paraId="6EE72FF4" w14:textId="77777777" w:rsidR="00740E6D" w:rsidRPr="00740E6D" w:rsidRDefault="00740E6D" w:rsidP="00740E6D">
        <w:pPr>
          <w:tabs>
            <w:tab w:val="left" w:pos="567"/>
          </w:tabs>
          <w:spacing w:before="0"/>
          <w:jc w:val="left"/>
          <w:rPr>
            <w:rFonts w:ascii="Calibri" w:hAnsi="Calibri"/>
            <w:sz w:val="16"/>
            <w:szCs w:val="16"/>
            <w:lang w:val="fr-FR"/>
          </w:rPr>
        </w:pPr>
        <w:r w:rsidRPr="00740E6D">
          <w:rPr>
            <w:rFonts w:ascii="Calibri" w:hAnsi="Calibri"/>
            <w:sz w:val="16"/>
            <w:szCs w:val="16"/>
          </w:rPr>
          <w:fldChar w:fldCharType="begin"/>
        </w:r>
        <w:r w:rsidRPr="00740E6D">
          <w:rPr>
            <w:rFonts w:ascii="Calibri" w:hAnsi="Calibri"/>
            <w:sz w:val="16"/>
            <w:szCs w:val="16"/>
            <w:lang w:val="fr-FR"/>
          </w:rPr>
          <w:instrText xml:space="preserve"> PAGE   \* MERGEFORMAT </w:instrText>
        </w:r>
        <w:r w:rsidRPr="00740E6D">
          <w:rPr>
            <w:rFonts w:ascii="Calibri" w:hAnsi="Calibri"/>
            <w:sz w:val="16"/>
            <w:szCs w:val="16"/>
          </w:rPr>
          <w:fldChar w:fldCharType="separate"/>
        </w:r>
        <w:r w:rsidRPr="00740E6D">
          <w:rPr>
            <w:rFonts w:ascii="Calibri" w:hAnsi="Calibri"/>
            <w:sz w:val="16"/>
            <w:szCs w:val="16"/>
          </w:rPr>
          <w:t>88</w:t>
        </w:r>
        <w:r w:rsidRPr="00740E6D">
          <w:rPr>
            <w:rFonts w:ascii="Calibri" w:hAnsi="Calibri"/>
            <w:noProof/>
            <w:sz w:val="16"/>
            <w:szCs w:val="16"/>
          </w:rPr>
          <w:fldChar w:fldCharType="end"/>
        </w:r>
        <w:r w:rsidRPr="00740E6D">
          <w:rPr>
            <w:rFonts w:ascii="Calibri" w:hAnsi="Calibri"/>
            <w:sz w:val="16"/>
            <w:szCs w:val="16"/>
            <w:lang w:val="fr-FR"/>
          </w:rPr>
          <w:tab/>
          <w:t>Rapport final de la CMDT-22 – Partie IV – Résolution 10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479159835"/>
      <w:docPartObj>
        <w:docPartGallery w:val="Page Numbers (Top of Page)"/>
        <w:docPartUnique/>
      </w:docPartObj>
    </w:sdtPr>
    <w:sdtEndPr>
      <w:rPr>
        <w:noProof/>
      </w:rPr>
    </w:sdtEndPr>
    <w:sdtContent>
      <w:p w14:paraId="40C4BCBB" w14:textId="77777777" w:rsidR="00740E6D" w:rsidRPr="00740E6D" w:rsidRDefault="00740E6D" w:rsidP="00740E6D">
        <w:pPr>
          <w:tabs>
            <w:tab w:val="clear" w:pos="1134"/>
            <w:tab w:val="clear" w:pos="1871"/>
            <w:tab w:val="clear" w:pos="2268"/>
            <w:tab w:val="left" w:pos="5387"/>
            <w:tab w:val="left" w:pos="9356"/>
          </w:tabs>
          <w:spacing w:before="0"/>
          <w:jc w:val="right"/>
          <w:rPr>
            <w:rFonts w:ascii="Calibri" w:hAnsi="Calibri"/>
            <w:sz w:val="16"/>
            <w:szCs w:val="16"/>
            <w:lang w:val="fr-FR"/>
          </w:rPr>
        </w:pPr>
        <w:r w:rsidRPr="00740E6D">
          <w:rPr>
            <w:rFonts w:ascii="Calibri" w:hAnsi="Calibri"/>
            <w:sz w:val="16"/>
            <w:szCs w:val="16"/>
            <w:lang w:val="fr-FR"/>
          </w:rPr>
          <w:tab/>
          <w:t>Rapport final de la CMDT-22 – Partie IV – Résolution 10</w:t>
        </w:r>
        <w:r w:rsidRPr="00740E6D">
          <w:rPr>
            <w:rFonts w:ascii="Calibri" w:hAnsi="Calibri"/>
            <w:sz w:val="16"/>
            <w:szCs w:val="16"/>
            <w:lang w:val="fr-FR"/>
          </w:rPr>
          <w:tab/>
        </w:r>
        <w:r w:rsidRPr="00740E6D">
          <w:rPr>
            <w:rFonts w:ascii="Calibri" w:hAnsi="Calibri"/>
            <w:sz w:val="16"/>
            <w:szCs w:val="16"/>
          </w:rPr>
          <w:fldChar w:fldCharType="begin"/>
        </w:r>
        <w:r w:rsidRPr="00740E6D">
          <w:rPr>
            <w:rFonts w:ascii="Calibri" w:hAnsi="Calibri"/>
            <w:sz w:val="16"/>
            <w:szCs w:val="16"/>
            <w:lang w:val="fr-FR"/>
          </w:rPr>
          <w:instrText xml:space="preserve"> PAGE   \* MERGEFORMAT </w:instrText>
        </w:r>
        <w:r w:rsidRPr="00740E6D">
          <w:rPr>
            <w:rFonts w:ascii="Calibri" w:hAnsi="Calibri"/>
            <w:sz w:val="16"/>
            <w:szCs w:val="16"/>
          </w:rPr>
          <w:fldChar w:fldCharType="separate"/>
        </w:r>
        <w:r w:rsidRPr="00740E6D">
          <w:rPr>
            <w:rFonts w:ascii="Calibri" w:hAnsi="Calibri"/>
            <w:sz w:val="16"/>
            <w:szCs w:val="16"/>
          </w:rPr>
          <w:t>89</w:t>
        </w:r>
        <w:r w:rsidRPr="00740E6D">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D"/>
    <w:rsid w:val="00400A99"/>
    <w:rsid w:val="0045258F"/>
    <w:rsid w:val="004A0B3D"/>
    <w:rsid w:val="0051703C"/>
    <w:rsid w:val="005C0E4B"/>
    <w:rsid w:val="007359FB"/>
    <w:rsid w:val="00740E6D"/>
    <w:rsid w:val="0076311C"/>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0F79"/>
  <w15:chartTrackingRefBased/>
  <w15:docId w15:val="{44B7B34B-A22D-4370-BFA2-5D0A2F4A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E6D"/>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740E6D"/>
    <w:pPr>
      <w:keepNext/>
      <w:keepLines/>
      <w:spacing w:before="160"/>
      <w:ind w:left="1134"/>
    </w:pPr>
    <w:rPr>
      <w:i/>
    </w:rPr>
  </w:style>
  <w:style w:type="paragraph" w:customStyle="1" w:styleId="enumlev1">
    <w:name w:val="enumlev1"/>
    <w:basedOn w:val="Normal"/>
    <w:link w:val="enumlev1Char"/>
    <w:rsid w:val="00740E6D"/>
    <w:pPr>
      <w:tabs>
        <w:tab w:val="clear" w:pos="2268"/>
        <w:tab w:val="left" w:pos="2608"/>
        <w:tab w:val="left" w:pos="3345"/>
      </w:tabs>
      <w:spacing w:before="40"/>
      <w:ind w:left="1134" w:hanging="1134"/>
    </w:pPr>
  </w:style>
  <w:style w:type="character" w:styleId="FootnoteReference">
    <w:name w:val="footnote reference"/>
    <w:basedOn w:val="DefaultParagraphFont"/>
    <w:rsid w:val="00740E6D"/>
    <w:rPr>
      <w:rFonts w:asciiTheme="minorHAnsi" w:hAnsiTheme="minorHAnsi"/>
      <w:position w:val="6"/>
      <w:sz w:val="18"/>
    </w:rPr>
  </w:style>
  <w:style w:type="paragraph" w:styleId="FootnoteText">
    <w:name w:val="footnote text"/>
    <w:basedOn w:val="Normal"/>
    <w:link w:val="FootnoteTextChar"/>
    <w:rsid w:val="00740E6D"/>
    <w:pPr>
      <w:keepLines/>
      <w:tabs>
        <w:tab w:val="left" w:pos="255"/>
      </w:tabs>
    </w:pPr>
    <w:rPr>
      <w:sz w:val="22"/>
    </w:rPr>
  </w:style>
  <w:style w:type="character" w:customStyle="1" w:styleId="FootnoteTextChar">
    <w:name w:val="Footnote Text Char"/>
    <w:basedOn w:val="DefaultParagraphFont"/>
    <w:link w:val="FootnoteText"/>
    <w:rsid w:val="00740E6D"/>
    <w:rPr>
      <w:rFonts w:eastAsia="Times New Roman" w:cs="Times New Roman"/>
      <w:szCs w:val="20"/>
      <w:lang w:val="en-GB"/>
    </w:rPr>
  </w:style>
  <w:style w:type="paragraph" w:customStyle="1" w:styleId="Normalaftertitle">
    <w:name w:val="Normal after title"/>
    <w:basedOn w:val="Normal"/>
    <w:next w:val="Normal"/>
    <w:link w:val="NormalaftertitleChar"/>
    <w:rsid w:val="00740E6D"/>
    <w:pPr>
      <w:spacing w:before="280"/>
    </w:pPr>
  </w:style>
  <w:style w:type="paragraph" w:customStyle="1" w:styleId="Reasons">
    <w:name w:val="Reasons"/>
    <w:basedOn w:val="Normal"/>
    <w:qFormat/>
    <w:rsid w:val="00740E6D"/>
    <w:pPr>
      <w:tabs>
        <w:tab w:val="clear" w:pos="2268"/>
        <w:tab w:val="left" w:pos="1588"/>
        <w:tab w:val="left" w:pos="1985"/>
      </w:tabs>
    </w:pPr>
  </w:style>
  <w:style w:type="paragraph" w:customStyle="1" w:styleId="ResNo">
    <w:name w:val="Res_No"/>
    <w:basedOn w:val="Normal"/>
    <w:next w:val="Normal"/>
    <w:rsid w:val="00740E6D"/>
    <w:pPr>
      <w:keepNext/>
      <w:keepLines/>
      <w:spacing w:before="480"/>
      <w:jc w:val="center"/>
      <w:outlineLvl w:val="0"/>
    </w:pPr>
    <w:rPr>
      <w:caps/>
      <w:sz w:val="28"/>
    </w:rPr>
  </w:style>
  <w:style w:type="paragraph" w:customStyle="1" w:styleId="Restitle">
    <w:name w:val="Res_title"/>
    <w:basedOn w:val="Normal"/>
    <w:next w:val="Normal"/>
    <w:rsid w:val="00740E6D"/>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740E6D"/>
    <w:rPr>
      <w:rFonts w:eastAsia="Times New Roman" w:cs="Times New Roman"/>
      <w:sz w:val="24"/>
      <w:szCs w:val="20"/>
      <w:lang w:val="en-GB"/>
    </w:rPr>
  </w:style>
  <w:style w:type="character" w:customStyle="1" w:styleId="enumlev1Char">
    <w:name w:val="enumlev1 Char"/>
    <w:link w:val="enumlev1"/>
    <w:qFormat/>
    <w:locked/>
    <w:rsid w:val="00740E6D"/>
    <w:rPr>
      <w:rFonts w:eastAsia="Times New Roman" w:cs="Times New Roman"/>
      <w:sz w:val="24"/>
      <w:szCs w:val="20"/>
      <w:lang w:val="en-GB"/>
    </w:rPr>
  </w:style>
  <w:style w:type="paragraph" w:styleId="Header">
    <w:name w:val="header"/>
    <w:basedOn w:val="Normal"/>
    <w:link w:val="HeaderChar"/>
    <w:uiPriority w:val="99"/>
    <w:unhideWhenUsed/>
    <w:rsid w:val="00740E6D"/>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740E6D"/>
    <w:rPr>
      <w:rFonts w:eastAsia="Times New Roman" w:cs="Times New Roman"/>
      <w:sz w:val="24"/>
      <w:szCs w:val="20"/>
      <w:lang w:val="en-GB"/>
    </w:rPr>
  </w:style>
  <w:style w:type="paragraph" w:styleId="Footer">
    <w:name w:val="footer"/>
    <w:basedOn w:val="Normal"/>
    <w:link w:val="FooterChar"/>
    <w:uiPriority w:val="99"/>
    <w:unhideWhenUsed/>
    <w:rsid w:val="00740E6D"/>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740E6D"/>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4662</Characters>
  <Application>Microsoft Office Word</Application>
  <DocSecurity>0</DocSecurity>
  <Lines>38</Lines>
  <Paragraphs>10</Paragraphs>
  <ScaleCrop>false</ScaleCrop>
  <Company>ITU</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2023-10-16T11:50:00Z</dcterms:created>
  <dcterms:modified xsi:type="dcterms:W3CDTF">2023-10-16T11:52:00Z</dcterms:modified>
</cp:coreProperties>
</file>