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D5883" w14:textId="77777777" w:rsidR="008460E4" w:rsidRPr="00A55C0D" w:rsidRDefault="008460E4" w:rsidP="008460E4">
      <w:pPr>
        <w:pStyle w:val="ResNo"/>
      </w:pPr>
      <w:bookmarkStart w:id="0" w:name="_Toc116556666"/>
      <w:bookmarkStart w:id="1" w:name="_Toc116557219"/>
      <w:bookmarkStart w:id="2" w:name="_Toc116636462"/>
      <w:r w:rsidRPr="00A55C0D">
        <w:t xml:space="preserve">RESOLUTION </w:t>
      </w:r>
      <w:r w:rsidRPr="00A55C0D">
        <w:rPr>
          <w:rStyle w:val="href"/>
        </w:rPr>
        <w:t>10</w:t>
      </w:r>
      <w:r w:rsidRPr="00A55C0D">
        <w:t xml:space="preserve"> (Rev. Hyderabad, 2010)</w:t>
      </w:r>
      <w:bookmarkEnd w:id="0"/>
      <w:bookmarkEnd w:id="1"/>
      <w:bookmarkEnd w:id="2"/>
    </w:p>
    <w:p w14:paraId="7A497C7E" w14:textId="77777777" w:rsidR="008460E4" w:rsidRPr="00A55C0D" w:rsidRDefault="008460E4" w:rsidP="008460E4">
      <w:pPr>
        <w:pStyle w:val="Restitle"/>
      </w:pPr>
      <w:bookmarkStart w:id="3" w:name="_Toc116556667"/>
      <w:bookmarkStart w:id="4" w:name="_Toc116557220"/>
      <w:bookmarkStart w:id="5" w:name="_Toc116636463"/>
      <w:r w:rsidRPr="00A55C0D">
        <w:t>Financial support for national spectrum-management programmes</w:t>
      </w:r>
      <w:bookmarkEnd w:id="3"/>
      <w:bookmarkEnd w:id="4"/>
      <w:bookmarkEnd w:id="5"/>
    </w:p>
    <w:p w14:paraId="7039E4FB" w14:textId="77777777" w:rsidR="008460E4" w:rsidRPr="00A55C0D" w:rsidRDefault="008460E4" w:rsidP="008460E4">
      <w:pPr>
        <w:pStyle w:val="Normalaftertitle"/>
      </w:pPr>
      <w:r w:rsidRPr="00A55C0D">
        <w:t>The World Telecommunication Development Conference (Hyderabad, 2010),</w:t>
      </w:r>
    </w:p>
    <w:p w14:paraId="78127115" w14:textId="77777777" w:rsidR="008460E4" w:rsidRPr="00A55C0D" w:rsidRDefault="008460E4" w:rsidP="008460E4">
      <w:pPr>
        <w:pStyle w:val="Call"/>
      </w:pPr>
      <w:r w:rsidRPr="00A55C0D">
        <w:t>recalling</w:t>
      </w:r>
    </w:p>
    <w:p w14:paraId="7689353A" w14:textId="77777777" w:rsidR="008460E4" w:rsidRPr="00A55C0D" w:rsidRDefault="008460E4" w:rsidP="008460E4">
      <w:r w:rsidRPr="00A55C0D">
        <w:t>Resolution 10 (Rev. Doha, 2006) of the World Telecommunication Development Conference (WTDC),</w:t>
      </w:r>
    </w:p>
    <w:p w14:paraId="08CBE2FE" w14:textId="77777777" w:rsidR="008460E4" w:rsidRPr="00A55C0D" w:rsidRDefault="008460E4" w:rsidP="008460E4">
      <w:pPr>
        <w:pStyle w:val="Call"/>
      </w:pPr>
      <w:r w:rsidRPr="00A55C0D">
        <w:t>considering</w:t>
      </w:r>
    </w:p>
    <w:p w14:paraId="10CFD390" w14:textId="77777777" w:rsidR="008460E4" w:rsidRPr="00A55C0D" w:rsidRDefault="008460E4" w:rsidP="008460E4">
      <w:r w:rsidRPr="00A55C0D">
        <w:rPr>
          <w:i/>
          <w:iCs/>
        </w:rPr>
        <w:t>a)</w:t>
      </w:r>
      <w:r w:rsidRPr="00A55C0D">
        <w:tab/>
        <w:t xml:space="preserve">that we are currently witnessing the accelerated implementation and globalization of different radiocommunication services, and the emergence of new efficient radio </w:t>
      </w:r>
      <w:proofErr w:type="gramStart"/>
      <w:r w:rsidRPr="00A55C0D">
        <w:t>applications;</w:t>
      </w:r>
      <w:proofErr w:type="gramEnd"/>
    </w:p>
    <w:p w14:paraId="0FF3F203" w14:textId="77777777" w:rsidR="008460E4" w:rsidRPr="00A55C0D" w:rsidRDefault="008460E4" w:rsidP="008460E4">
      <w:r w:rsidRPr="00A55C0D">
        <w:rPr>
          <w:i/>
          <w:iCs/>
        </w:rPr>
        <w:t>b)</w:t>
      </w:r>
      <w:r w:rsidRPr="00A55C0D">
        <w:tab/>
        <w:t>that guaranteeing successful development of radiocommunications and implementation of these new applications calls for the availability of appropriate interference-free frequency bands, at the national, regional and international levels, in accordance with the Radio Regulations and Recommendations and resolutions of the ITU Radiocommunication Sector (ITU</w:t>
      </w:r>
      <w:r w:rsidRPr="00A55C0D">
        <w:noBreakHyphen/>
        <w:t>R</w:t>
      </w:r>
      <w:proofErr w:type="gramStart"/>
      <w:r w:rsidRPr="00A55C0D">
        <w:t>);</w:t>
      </w:r>
      <w:proofErr w:type="gramEnd"/>
    </w:p>
    <w:p w14:paraId="1C98277F" w14:textId="77777777" w:rsidR="008460E4" w:rsidRPr="00A55C0D" w:rsidRDefault="008460E4" w:rsidP="008460E4">
      <w:r w:rsidRPr="00A55C0D">
        <w:rPr>
          <w:i/>
          <w:iCs/>
        </w:rPr>
        <w:t>c)</w:t>
      </w:r>
      <w:r w:rsidRPr="00A55C0D">
        <w:tab/>
        <w:t xml:space="preserve">the outputs from the second phase of the World Summit on the Information Society (WSIS), particularly § 96 of the Tunis Agenda for the Information Society pertaining to the role of ITU in taking steps to ensure the rational, efficient and economic use of, and equitable access to, the radio-frequency spectrum by all </w:t>
      </w:r>
      <w:proofErr w:type="gramStart"/>
      <w:r w:rsidRPr="00A55C0D">
        <w:t>countries;</w:t>
      </w:r>
      <w:proofErr w:type="gramEnd"/>
    </w:p>
    <w:p w14:paraId="142FF4C7" w14:textId="77777777" w:rsidR="008460E4" w:rsidRPr="00A55C0D" w:rsidRDefault="008460E4" w:rsidP="008460E4">
      <w:r w:rsidRPr="00A55C0D">
        <w:rPr>
          <w:i/>
          <w:iCs/>
        </w:rPr>
        <w:t>d)</w:t>
      </w:r>
      <w:r w:rsidRPr="00A55C0D">
        <w:tab/>
        <w:t>that the provision of frequency bands and more efficient use of the spectrum, at the national, regional and international levels, depend on the establishment and implementation of relevant national spectrum-management, including radio</w:t>
      </w:r>
      <w:r w:rsidRPr="00A55C0D">
        <w:noBreakHyphen/>
        <w:t xml:space="preserve">monitoring, programmes to prevent </w:t>
      </w:r>
      <w:proofErr w:type="gramStart"/>
      <w:r w:rsidRPr="00A55C0D">
        <w:t>interference;</w:t>
      </w:r>
      <w:proofErr w:type="gramEnd"/>
    </w:p>
    <w:p w14:paraId="0ECE2E45" w14:textId="77777777" w:rsidR="008460E4" w:rsidRPr="00A55C0D" w:rsidRDefault="008460E4" w:rsidP="008460E4">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16D1B47B" w14:textId="77777777" w:rsidR="008460E4" w:rsidRPr="00A55C0D" w:rsidRDefault="008460E4" w:rsidP="008460E4">
      <w:pPr>
        <w:rPr>
          <w:bCs/>
        </w:rPr>
      </w:pPr>
      <w:r w:rsidRPr="00A55C0D">
        <w:rPr>
          <w:i/>
          <w:iCs/>
        </w:rPr>
        <w:lastRenderedPageBreak/>
        <w:t>e)</w:t>
      </w:r>
      <w:r w:rsidRPr="00A55C0D">
        <w:tab/>
        <w:t xml:space="preserve">that efficient national spectrum-management programmes are essential to the liberalization of radiocommunications and the privatization of some radiocommunication services and to promoting competition, </w:t>
      </w:r>
      <w:r w:rsidRPr="00A55C0D">
        <w:rPr>
          <w:bCs/>
        </w:rPr>
        <w:t>realizing that such programmes are not available in some developing countries</w:t>
      </w:r>
      <w:r w:rsidRPr="00A55C0D">
        <w:rPr>
          <w:rStyle w:val="FootnoteReference"/>
          <w:bCs/>
        </w:rPr>
        <w:footnoteReference w:id="1"/>
      </w:r>
      <w:r w:rsidRPr="00A55C0D">
        <w:rPr>
          <w:bCs/>
        </w:rPr>
        <w:t>;</w:t>
      </w:r>
    </w:p>
    <w:p w14:paraId="06059AFE" w14:textId="77777777" w:rsidR="008460E4" w:rsidRPr="00A55C0D" w:rsidRDefault="008460E4" w:rsidP="008460E4">
      <w:pPr>
        <w:rPr>
          <w:b/>
          <w:bCs/>
          <w:szCs w:val="22"/>
          <w:u w:val="single"/>
        </w:rPr>
      </w:pPr>
      <w:r w:rsidRPr="00A55C0D">
        <w:rPr>
          <w:i/>
          <w:iCs/>
        </w:rPr>
        <w:t>f)</w:t>
      </w:r>
      <w:r w:rsidRPr="00A55C0D">
        <w:tab/>
        <w:t xml:space="preserve">that several countries are switching off their analogue television transmissions and migrating to digital broadcasting technologies, freeing a range of radio frequencies currently used for analogue </w:t>
      </w:r>
      <w:proofErr w:type="gramStart"/>
      <w:r w:rsidRPr="00A55C0D">
        <w:t>television;</w:t>
      </w:r>
      <w:proofErr w:type="gramEnd"/>
    </w:p>
    <w:p w14:paraId="2017C09E" w14:textId="77777777" w:rsidR="008460E4" w:rsidRPr="00A55C0D" w:rsidRDefault="008460E4" w:rsidP="008460E4">
      <w:pPr>
        <w:rPr>
          <w:b/>
          <w:szCs w:val="22"/>
          <w:u w:val="single"/>
        </w:rPr>
      </w:pPr>
      <w:r w:rsidRPr="00A55C0D">
        <w:rPr>
          <w:i/>
          <w:iCs/>
        </w:rPr>
        <w:t>g)</w:t>
      </w:r>
      <w:r w:rsidRPr="00A55C0D">
        <w:tab/>
        <w:t>that spectrum can be used for efforts to bridge the digital divide,</w:t>
      </w:r>
    </w:p>
    <w:p w14:paraId="4A4525AB" w14:textId="77777777" w:rsidR="008460E4" w:rsidRPr="00A55C0D" w:rsidRDefault="008460E4" w:rsidP="008460E4">
      <w:pPr>
        <w:pStyle w:val="Call"/>
      </w:pPr>
      <w:r w:rsidRPr="00A55C0D">
        <w:t>recognizing</w:t>
      </w:r>
    </w:p>
    <w:p w14:paraId="59C2FAC5" w14:textId="77777777" w:rsidR="008460E4" w:rsidRPr="00A55C0D" w:rsidRDefault="008460E4" w:rsidP="008460E4">
      <w:r w:rsidRPr="00A55C0D">
        <w:rPr>
          <w:i/>
          <w:iCs/>
        </w:rPr>
        <w:t>a)</w:t>
      </w:r>
      <w:r w:rsidRPr="00A55C0D">
        <w:tab/>
        <w:t xml:space="preserve">the importance of implementing spectrum-management programmes in ensuring effective development of radiocommunications and the role played by radiocommunications in developing a country's economy, and that such programmes are sometimes not given the necessary </w:t>
      </w:r>
      <w:proofErr w:type="gramStart"/>
      <w:r w:rsidRPr="00A55C0D">
        <w:t>priority;</w:t>
      </w:r>
      <w:proofErr w:type="gramEnd"/>
    </w:p>
    <w:p w14:paraId="281B35C1" w14:textId="77777777" w:rsidR="008460E4" w:rsidRPr="00A55C0D" w:rsidRDefault="008460E4" w:rsidP="008460E4">
      <w:r w:rsidRPr="00A55C0D">
        <w:rPr>
          <w:i/>
          <w:iCs/>
        </w:rPr>
        <w:t>b)</w:t>
      </w:r>
      <w:r w:rsidRPr="00A55C0D">
        <w:tab/>
        <w:t xml:space="preserve">that national and international finance organizations frequently accord much more priority to supporting the implementation of telecommunication (including radiocommunication) systems than to the implementation of national spectrum-management </w:t>
      </w:r>
      <w:proofErr w:type="gramStart"/>
      <w:r w:rsidRPr="00A55C0D">
        <w:t>programmes;</w:t>
      </w:r>
      <w:proofErr w:type="gramEnd"/>
    </w:p>
    <w:p w14:paraId="36E9ECF4" w14:textId="77777777" w:rsidR="008460E4" w:rsidRPr="00A55C0D" w:rsidRDefault="008460E4" w:rsidP="008460E4">
      <w:r w:rsidRPr="00A55C0D">
        <w:rPr>
          <w:i/>
          <w:iCs/>
        </w:rPr>
        <w:t>c)</w:t>
      </w:r>
      <w:r w:rsidRPr="00A55C0D">
        <w:tab/>
        <w:t>the success achieved in the implementation of Resolution 9 "Participation of countries, particularly developing countries, in spectrum management" since it was first adopted at WTDC (Valletta, 1998),</w:t>
      </w:r>
    </w:p>
    <w:p w14:paraId="47341D30" w14:textId="77777777" w:rsidR="008460E4" w:rsidRPr="00A55C0D" w:rsidRDefault="008460E4" w:rsidP="008460E4">
      <w:pPr>
        <w:pStyle w:val="Call"/>
      </w:pPr>
      <w:r w:rsidRPr="00A55C0D">
        <w:t>resolves</w:t>
      </w:r>
    </w:p>
    <w:p w14:paraId="35509E65" w14:textId="77777777" w:rsidR="008460E4" w:rsidRPr="00A55C0D" w:rsidRDefault="008460E4" w:rsidP="008460E4">
      <w:r w:rsidRPr="00A55C0D">
        <w:t>1</w:t>
      </w:r>
      <w:r w:rsidRPr="00A55C0D">
        <w:tab/>
        <w:t>to continue to invite national and international finance organizations to pay more attention to giving substantial financial support, including through favourable credit arrangements, to national spectrum-management – including radio</w:t>
      </w:r>
      <w:r w:rsidRPr="00A55C0D">
        <w:noBreakHyphen/>
        <w:t>monitoring – programmes and training therein for those countries that lack appropriate spectrum-management programmes, as a prerequisite for efficient spectrum utilization, the successful development of radio services and the implementation of new and promising applications, including global ones, at the national, regional and international levels;</w:t>
      </w:r>
    </w:p>
    <w:p w14:paraId="70D94801" w14:textId="77777777" w:rsidR="008460E4" w:rsidRPr="00A55C0D" w:rsidRDefault="008460E4" w:rsidP="008460E4">
      <w:pPr>
        <w:tabs>
          <w:tab w:val="clear" w:pos="1134"/>
          <w:tab w:val="clear" w:pos="1871"/>
          <w:tab w:val="clear" w:pos="2268"/>
        </w:tabs>
        <w:overflowPunct/>
        <w:autoSpaceDE/>
        <w:autoSpaceDN/>
        <w:adjustRightInd/>
        <w:spacing w:before="0"/>
        <w:textAlignment w:val="auto"/>
      </w:pPr>
      <w:r w:rsidRPr="00A55C0D">
        <w:br w:type="page"/>
      </w:r>
    </w:p>
    <w:p w14:paraId="5AAC3ADC" w14:textId="77777777" w:rsidR="008460E4" w:rsidRPr="00A55C0D" w:rsidRDefault="008460E4" w:rsidP="008460E4">
      <w:r w:rsidRPr="00A55C0D">
        <w:lastRenderedPageBreak/>
        <w:t>2</w:t>
      </w:r>
      <w:r w:rsidRPr="00A55C0D">
        <w:tab/>
        <w:t xml:space="preserve">to continue to invite the Telecommunication Development Bureau (BDT) to provide, in its budget, for the holding of an annual meeting to study the question of national spectrum management, in full coordination with the Radiocommunication Bureau (BR), within the activities of Programme 1, at the regional and international </w:t>
      </w:r>
      <w:proofErr w:type="gramStart"/>
      <w:r w:rsidRPr="00A55C0D">
        <w:t>levels;</w:t>
      </w:r>
      <w:proofErr w:type="gramEnd"/>
    </w:p>
    <w:p w14:paraId="1C5AE45D" w14:textId="77777777" w:rsidR="008460E4" w:rsidRPr="00A55C0D" w:rsidRDefault="008460E4" w:rsidP="008460E4">
      <w:r w:rsidRPr="00A55C0D">
        <w:t>3</w:t>
      </w:r>
      <w:r w:rsidRPr="00A55C0D">
        <w:tab/>
        <w:t>to invite BDT to follow up development of the national spectrum-management system for developing countries (SMS4DC), in cooperation with BR and ITU-R Study Group </w:t>
      </w:r>
      <w:proofErr w:type="gramStart"/>
      <w:r w:rsidRPr="00A55C0D">
        <w:t>1;</w:t>
      </w:r>
      <w:proofErr w:type="gramEnd"/>
    </w:p>
    <w:p w14:paraId="65F7807A" w14:textId="77777777" w:rsidR="008460E4" w:rsidRPr="00A55C0D" w:rsidRDefault="008460E4" w:rsidP="008460E4">
      <w:r w:rsidRPr="00A55C0D">
        <w:t>4</w:t>
      </w:r>
      <w:r w:rsidRPr="00A55C0D">
        <w:tab/>
        <w:t>to invite BDT to evaluate the possibility of:</w:t>
      </w:r>
    </w:p>
    <w:p w14:paraId="6308A71A" w14:textId="77777777" w:rsidR="008460E4" w:rsidRPr="00A55C0D" w:rsidRDefault="008460E4" w:rsidP="008460E4">
      <w:pPr>
        <w:pStyle w:val="enumlev1"/>
      </w:pPr>
      <w:proofErr w:type="spellStart"/>
      <w:r w:rsidRPr="00A55C0D">
        <w:t>i</w:t>
      </w:r>
      <w:proofErr w:type="spellEnd"/>
      <w:r w:rsidRPr="00A55C0D">
        <w:t>)</w:t>
      </w:r>
      <w:r w:rsidRPr="00A55C0D">
        <w:tab/>
        <w:t xml:space="preserve">studying optimal ways of phasing out analogue TV in developing countries; and </w:t>
      </w:r>
    </w:p>
    <w:p w14:paraId="5DFF8808" w14:textId="77777777" w:rsidR="008460E4" w:rsidRPr="00A55C0D" w:rsidRDefault="008460E4" w:rsidP="008460E4">
      <w:pPr>
        <w:pStyle w:val="enumlev1"/>
      </w:pPr>
      <w:r w:rsidRPr="00A55C0D">
        <w:t>ii)</w:t>
      </w:r>
      <w:r w:rsidRPr="00A55C0D">
        <w:tab/>
        <w:t>better utilizing the phased-out analogue TV frequencies,</w:t>
      </w:r>
    </w:p>
    <w:p w14:paraId="2F1270DA" w14:textId="77777777" w:rsidR="008460E4" w:rsidRPr="00A55C0D" w:rsidRDefault="008460E4" w:rsidP="008460E4">
      <w:pPr>
        <w:pStyle w:val="Call"/>
      </w:pPr>
      <w:r w:rsidRPr="00A55C0D">
        <w:t>requests the Telecommunication Development Bureau</w:t>
      </w:r>
    </w:p>
    <w:p w14:paraId="71801BC8" w14:textId="77777777" w:rsidR="008460E4" w:rsidRPr="00A55C0D" w:rsidRDefault="008460E4" w:rsidP="008460E4">
      <w:r w:rsidRPr="00A55C0D">
        <w:t>to bring this resolution to the attention of relevant international and regional financing and development organizations,</w:t>
      </w:r>
    </w:p>
    <w:p w14:paraId="5AB6B786" w14:textId="77777777" w:rsidR="008460E4" w:rsidRPr="00A55C0D" w:rsidRDefault="008460E4" w:rsidP="008460E4">
      <w:pPr>
        <w:pStyle w:val="Call"/>
      </w:pPr>
      <w:r w:rsidRPr="00A55C0D">
        <w:t>invites the Director of the Radiocommunication Bureau</w:t>
      </w:r>
    </w:p>
    <w:p w14:paraId="2EAB70DD" w14:textId="77777777" w:rsidR="008460E4" w:rsidRPr="00A55C0D" w:rsidRDefault="008460E4" w:rsidP="008460E4">
      <w:r w:rsidRPr="00A55C0D">
        <w:t xml:space="preserve">to continue the cooperation with BDT in developing the national spectrum-management system for developing countries (SMS4DC), and training therein, </w:t>
      </w:r>
    </w:p>
    <w:p w14:paraId="02159852" w14:textId="77777777" w:rsidR="008460E4" w:rsidRPr="00A55C0D" w:rsidRDefault="008460E4" w:rsidP="008460E4">
      <w:pPr>
        <w:pStyle w:val="Call"/>
      </w:pPr>
      <w:r w:rsidRPr="00A55C0D">
        <w:t>invites ITU-R Study Groups 5 and 6</w:t>
      </w:r>
    </w:p>
    <w:p w14:paraId="11812096" w14:textId="77777777" w:rsidR="008460E4" w:rsidRPr="00A55C0D" w:rsidRDefault="008460E4" w:rsidP="008460E4">
      <w:r w:rsidRPr="00A55C0D">
        <w:t>to continue the cooperation with ITU-D Study Group 2, providing information on the current and future use of the spectrum with the phased-out analogue TV frequencies and reporting how the developed and developing countries are using or planning to use the digital dividend.</w:t>
      </w:r>
    </w:p>
    <w:p w14:paraId="21CBE713" w14:textId="77777777" w:rsidR="008460E4" w:rsidRPr="00A55C0D" w:rsidRDefault="008460E4" w:rsidP="008460E4">
      <w:pPr>
        <w:tabs>
          <w:tab w:val="clear" w:pos="1134"/>
          <w:tab w:val="clear" w:pos="1871"/>
          <w:tab w:val="clear" w:pos="2268"/>
        </w:tabs>
        <w:overflowPunct/>
        <w:autoSpaceDE/>
        <w:autoSpaceDN/>
        <w:adjustRightInd/>
        <w:spacing w:before="0"/>
        <w:textAlignment w:val="auto"/>
      </w:pPr>
    </w:p>
    <w:p w14:paraId="266C8072" w14:textId="77777777" w:rsidR="008460E4" w:rsidRPr="00A55C0D" w:rsidRDefault="008460E4" w:rsidP="008460E4">
      <w:pPr>
        <w:tabs>
          <w:tab w:val="clear" w:pos="1134"/>
          <w:tab w:val="clear" w:pos="1871"/>
          <w:tab w:val="clear" w:pos="2268"/>
        </w:tabs>
        <w:overflowPunct/>
        <w:autoSpaceDE/>
        <w:autoSpaceDN/>
        <w:adjustRightInd/>
        <w:spacing w:before="0"/>
        <w:textAlignment w:val="auto"/>
      </w:pPr>
    </w:p>
    <w:p w14:paraId="2B886643" w14:textId="77777777" w:rsidR="008460E4" w:rsidRPr="00A55C0D" w:rsidRDefault="008460E4" w:rsidP="008460E4">
      <w:pPr>
        <w:tabs>
          <w:tab w:val="clear" w:pos="1134"/>
          <w:tab w:val="clear" w:pos="1871"/>
          <w:tab w:val="clear" w:pos="2268"/>
        </w:tabs>
        <w:overflowPunct/>
        <w:autoSpaceDE/>
        <w:autoSpaceDN/>
        <w:adjustRightInd/>
        <w:spacing w:before="0"/>
        <w:textAlignment w:val="auto"/>
      </w:pPr>
    </w:p>
    <w:p w14:paraId="79445EC5" w14:textId="77777777" w:rsidR="00542A8B" w:rsidRDefault="00542A8B"/>
    <w:sectPr w:rsidR="00542A8B" w:rsidSect="00B85719">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A7ED7" w14:textId="77777777" w:rsidR="008460E4" w:rsidRDefault="008460E4" w:rsidP="008460E4">
      <w:pPr>
        <w:spacing w:before="0"/>
      </w:pPr>
      <w:r>
        <w:separator/>
      </w:r>
    </w:p>
  </w:endnote>
  <w:endnote w:type="continuationSeparator" w:id="0">
    <w:p w14:paraId="4CEE2D51" w14:textId="77777777" w:rsidR="008460E4" w:rsidRDefault="008460E4" w:rsidP="008460E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841B" w14:textId="77777777" w:rsidR="00B85719" w:rsidRDefault="00B85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3928" w14:textId="77777777" w:rsidR="00B85719" w:rsidRDefault="00B857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9465" w14:textId="77777777" w:rsidR="00B85719" w:rsidRDefault="00B85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6349B" w14:textId="77777777" w:rsidR="008460E4" w:rsidRDefault="008460E4" w:rsidP="008460E4">
      <w:pPr>
        <w:spacing w:before="0"/>
      </w:pPr>
      <w:r>
        <w:separator/>
      </w:r>
    </w:p>
  </w:footnote>
  <w:footnote w:type="continuationSeparator" w:id="0">
    <w:p w14:paraId="18DD8870" w14:textId="77777777" w:rsidR="008460E4" w:rsidRDefault="008460E4" w:rsidP="008460E4">
      <w:pPr>
        <w:spacing w:before="0"/>
      </w:pPr>
      <w:r>
        <w:continuationSeparator/>
      </w:r>
    </w:p>
  </w:footnote>
  <w:footnote w:id="1">
    <w:p w14:paraId="2AC7F1CE" w14:textId="77777777" w:rsidR="008460E4" w:rsidRPr="00600D3F" w:rsidRDefault="008460E4" w:rsidP="008460E4">
      <w:pPr>
        <w:pStyle w:val="FootnoteText"/>
        <w:rPr>
          <w:lang w:val="en-US"/>
        </w:rPr>
      </w:pPr>
      <w:r>
        <w:rPr>
          <w:rStyle w:val="FootnoteReference"/>
        </w:rPr>
        <w:footnoteRef/>
      </w:r>
      <w:r>
        <w:t xml:space="preserve"> </w:t>
      </w:r>
      <w:r>
        <w:tab/>
      </w:r>
      <w:r>
        <w:rPr>
          <w:lang w:val="en-US"/>
        </w:rPr>
        <w:t xml:space="preserve">These include the least developed countries, small island developing states, landlocked developing </w:t>
      </w:r>
      <w:proofErr w:type="gramStart"/>
      <w:r>
        <w:rPr>
          <w:lang w:val="en-US"/>
        </w:rPr>
        <w:t>countries</w:t>
      </w:r>
      <w:proofErr w:type="gramEnd"/>
      <w:r>
        <w:rPr>
          <w:lang w:val="en-US"/>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6188793"/>
      <w:docPartObj>
        <w:docPartGallery w:val="Page Numbers (Top of Page)"/>
        <w:docPartUnique/>
      </w:docPartObj>
    </w:sdtPr>
    <w:sdtContent>
      <w:p w14:paraId="42DC5037" w14:textId="0ED814FE" w:rsidR="00B85719" w:rsidRPr="00B85719" w:rsidRDefault="00B85719" w:rsidP="00B85719">
        <w:pPr>
          <w:pStyle w:val="Header"/>
          <w:tabs>
            <w:tab w:val="clear" w:pos="4513"/>
            <w:tab w:val="clear" w:pos="9026"/>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sidRPr="00690486">
          <w:rPr>
            <w:sz w:val="16"/>
            <w:szCs w:val="16"/>
          </w:rPr>
          <w:tab/>
        </w:r>
        <w:r w:rsidRPr="00FE7DF3">
          <w:rPr>
            <w:sz w:val="16"/>
            <w:szCs w:val="16"/>
          </w:rPr>
          <w:t>WTDC-22 Final Report – Part I</w:t>
        </w:r>
        <w:r>
          <w:rPr>
            <w:sz w:val="16"/>
            <w:szCs w:val="16"/>
          </w:rPr>
          <w:t>V</w:t>
        </w:r>
        <w:r w:rsidRPr="00FE7DF3">
          <w:rPr>
            <w:sz w:val="16"/>
            <w:szCs w:val="16"/>
          </w:rPr>
          <w:t xml:space="preserve">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Pr>
            <w:noProof/>
            <w:sz w:val="16"/>
            <w:szCs w:val="16"/>
          </w:rPr>
          <w:t>10</w:t>
        </w:r>
        <w:r w:rsidRPr="00642CD3">
          <w:rPr>
            <w:sz w:val="16"/>
            <w:szCs w:val="16"/>
          </w:rPr>
          <w:fldChar w:fldCharType="end"/>
        </w:r>
        <w:r>
          <w:rPr>
            <w:sz w:val="16"/>
            <w:szCs w:val="16"/>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83357649"/>
      <w:docPartObj>
        <w:docPartGallery w:val="Page Numbers (Top of Page)"/>
        <w:docPartUnique/>
      </w:docPartObj>
    </w:sdtPr>
    <w:sdtContent>
      <w:p w14:paraId="687B7E45" w14:textId="221D29B9" w:rsidR="00B85719" w:rsidRPr="00B85719" w:rsidRDefault="00B85719" w:rsidP="00B85719">
        <w:pPr>
          <w:pStyle w:val="Header"/>
          <w:tabs>
            <w:tab w:val="clear" w:pos="4513"/>
            <w:tab w:val="clear" w:pos="9026"/>
            <w:tab w:val="left" w:pos="567"/>
            <w:tab w:val="right" w:pos="9072"/>
            <w:tab w:val="right" w:pos="9639"/>
          </w:tabs>
          <w:jc w:val="left"/>
          <w:rPr>
            <w:sz w:val="16"/>
            <w:szCs w:val="16"/>
          </w:rPr>
        </w:pPr>
        <w:r w:rsidRPr="00690486">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Pr>
            <w:noProof/>
            <w:sz w:val="16"/>
            <w:szCs w:val="16"/>
          </w:rPr>
          <w:t>10</w:t>
        </w:r>
        <w:r w:rsidRPr="00642CD3">
          <w:rPr>
            <w:sz w:val="16"/>
            <w:szCs w:val="16"/>
          </w:rPr>
          <w:fldChar w:fldCharType="end"/>
        </w:r>
        <w:r>
          <w:rPr>
            <w:sz w:val="16"/>
            <w:szCs w:val="16"/>
          </w:rP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191</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5CE9" w14:textId="77777777" w:rsidR="00B85719" w:rsidRDefault="00B857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E4"/>
    <w:rsid w:val="00542A8B"/>
    <w:rsid w:val="00566FD7"/>
    <w:rsid w:val="008460E4"/>
    <w:rsid w:val="00B85719"/>
    <w:rsid w:val="00D51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6E7651"/>
  <w14:defaultImageDpi w14:val="32767"/>
  <w15:chartTrackingRefBased/>
  <w15:docId w15:val="{B6EABDD3-21EE-4531-B2FC-32DE3751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E4"/>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8460E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8460E4"/>
    <w:pPr>
      <w:keepNext/>
      <w:keepLines/>
      <w:spacing w:before="160"/>
      <w:ind w:left="1134"/>
    </w:pPr>
    <w:rPr>
      <w:i/>
    </w:rPr>
  </w:style>
  <w:style w:type="paragraph" w:customStyle="1" w:styleId="enumlev1">
    <w:name w:val="enumlev1"/>
    <w:basedOn w:val="Normal"/>
    <w:link w:val="enumlev1Char"/>
    <w:rsid w:val="008460E4"/>
    <w:pPr>
      <w:tabs>
        <w:tab w:val="clear" w:pos="2268"/>
        <w:tab w:val="left" w:pos="2608"/>
        <w:tab w:val="left" w:pos="3345"/>
      </w:tabs>
      <w:spacing w:before="80"/>
      <w:ind w:left="1134" w:hanging="1134"/>
    </w:pPr>
  </w:style>
  <w:style w:type="character" w:styleId="FootnoteReference">
    <w:name w:val="footnote reference"/>
    <w:basedOn w:val="DefaultParagraphFont"/>
    <w:rsid w:val="008460E4"/>
    <w:rPr>
      <w:rFonts w:asciiTheme="minorHAnsi" w:hAnsiTheme="minorHAnsi"/>
      <w:position w:val="6"/>
      <w:sz w:val="18"/>
    </w:rPr>
  </w:style>
  <w:style w:type="paragraph" w:styleId="FootnoteText">
    <w:name w:val="footnote text"/>
    <w:basedOn w:val="Normal"/>
    <w:link w:val="FootnoteTextChar"/>
    <w:rsid w:val="008460E4"/>
    <w:pPr>
      <w:keepLines/>
      <w:tabs>
        <w:tab w:val="left" w:pos="255"/>
      </w:tabs>
    </w:pPr>
    <w:rPr>
      <w:sz w:val="22"/>
    </w:rPr>
  </w:style>
  <w:style w:type="character" w:customStyle="1" w:styleId="FootnoteTextChar">
    <w:name w:val="Footnote Text Char"/>
    <w:basedOn w:val="DefaultParagraphFont"/>
    <w:link w:val="FootnoteText"/>
    <w:rsid w:val="008460E4"/>
    <w:rPr>
      <w:rFonts w:eastAsia="Times New Roman" w:cs="Times New Roman"/>
      <w:kern w:val="0"/>
      <w:szCs w:val="20"/>
      <w14:ligatures w14:val="none"/>
    </w:rPr>
  </w:style>
  <w:style w:type="paragraph" w:customStyle="1" w:styleId="Normalaftertitle">
    <w:name w:val="Normal after title"/>
    <w:basedOn w:val="Normal"/>
    <w:next w:val="Normal"/>
    <w:link w:val="NormalaftertitleChar"/>
    <w:rsid w:val="008460E4"/>
    <w:pPr>
      <w:spacing w:before="280"/>
    </w:pPr>
  </w:style>
  <w:style w:type="paragraph" w:customStyle="1" w:styleId="ResNo">
    <w:name w:val="Res_No"/>
    <w:basedOn w:val="Heading2"/>
    <w:next w:val="Normal"/>
    <w:link w:val="ResNoChar"/>
    <w:rsid w:val="008460E4"/>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8460E4"/>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8460E4"/>
    <w:rPr>
      <w:rFonts w:eastAsia="Times New Roman" w:cs="Times New Roman"/>
      <w:kern w:val="0"/>
      <w:sz w:val="24"/>
      <w:szCs w:val="20"/>
      <w14:ligatures w14:val="none"/>
    </w:rPr>
  </w:style>
  <w:style w:type="character" w:customStyle="1" w:styleId="href">
    <w:name w:val="href"/>
    <w:basedOn w:val="DefaultParagraphFont"/>
    <w:rsid w:val="008460E4"/>
    <w:rPr>
      <w:color w:val="auto"/>
    </w:rPr>
  </w:style>
  <w:style w:type="character" w:customStyle="1" w:styleId="enumlev1Char">
    <w:name w:val="enumlev1 Char"/>
    <w:basedOn w:val="DefaultParagraphFont"/>
    <w:link w:val="enumlev1"/>
    <w:locked/>
    <w:rsid w:val="008460E4"/>
    <w:rPr>
      <w:rFonts w:eastAsia="Times New Roman" w:cs="Times New Roman"/>
      <w:kern w:val="0"/>
      <w:sz w:val="24"/>
      <w:szCs w:val="20"/>
      <w14:ligatures w14:val="none"/>
    </w:rPr>
  </w:style>
  <w:style w:type="character" w:customStyle="1" w:styleId="CallChar">
    <w:name w:val="Call Char"/>
    <w:basedOn w:val="DefaultParagraphFont"/>
    <w:link w:val="Call"/>
    <w:locked/>
    <w:rsid w:val="008460E4"/>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8460E4"/>
    <w:rPr>
      <w:rFonts w:eastAsia="Times New Roman" w:cs="Times New Roman"/>
      <w:b/>
      <w:kern w:val="0"/>
      <w:sz w:val="28"/>
      <w:szCs w:val="20"/>
      <w14:ligatures w14:val="none"/>
    </w:rPr>
  </w:style>
  <w:style w:type="character" w:customStyle="1" w:styleId="ResNoChar">
    <w:name w:val="Res_No Char"/>
    <w:basedOn w:val="DefaultParagraphFont"/>
    <w:link w:val="ResNo"/>
    <w:rsid w:val="008460E4"/>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8460E4"/>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B85719"/>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B85719"/>
    <w:rPr>
      <w:rFonts w:eastAsia="Times New Roman" w:cs="Times New Roman"/>
      <w:kern w:val="0"/>
      <w:sz w:val="24"/>
      <w:szCs w:val="20"/>
      <w14:ligatures w14:val="none"/>
    </w:rPr>
  </w:style>
  <w:style w:type="paragraph" w:styleId="Footer">
    <w:name w:val="footer"/>
    <w:basedOn w:val="Normal"/>
    <w:link w:val="FooterChar"/>
    <w:uiPriority w:val="99"/>
    <w:unhideWhenUsed/>
    <w:rsid w:val="00B85719"/>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B85719"/>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4049</Characters>
  <Application>Microsoft Office Word</Application>
  <DocSecurity>0</DocSecurity>
  <Lines>56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10 (Rev. Hyderabad, 2010)</dc:title>
  <dc:subject/>
  <dc:creator>Gachet, Christelle</dc:creator>
  <cp:keywords/>
  <dc:description/>
  <cp:lastModifiedBy>Gachet, Christelle</cp:lastModifiedBy>
  <cp:revision>2</cp:revision>
  <dcterms:created xsi:type="dcterms:W3CDTF">2023-10-16T12:05:00Z</dcterms:created>
  <dcterms:modified xsi:type="dcterms:W3CDTF">2023-10-16T12:06:00Z</dcterms:modified>
</cp:coreProperties>
</file>