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79C1" w14:textId="77777777" w:rsidR="00A335AD" w:rsidRPr="007D4F79" w:rsidRDefault="00A335AD" w:rsidP="00A335AD">
      <w:pPr>
        <w:pStyle w:val="ResNo"/>
        <w:rPr>
          <w:lang w:val="fr-FR"/>
        </w:rPr>
      </w:pPr>
      <w:bookmarkStart w:id="0" w:name="_Toc116542299"/>
      <w:r w:rsidRPr="007D4F79">
        <w:rPr>
          <w:lang w:val="fr-FR"/>
        </w:rPr>
        <w:t>RÉSOLUTION 2 (</w:t>
      </w:r>
      <w:r w:rsidRPr="007D4F79">
        <w:rPr>
          <w:caps w:val="0"/>
          <w:lang w:val="fr-FR"/>
        </w:rPr>
        <w:t>Rév. Kigali, 2022</w:t>
      </w:r>
      <w:r w:rsidRPr="007D4F79">
        <w:rPr>
          <w:lang w:val="fr-FR"/>
        </w:rPr>
        <w:t>)</w:t>
      </w:r>
      <w:bookmarkEnd w:id="0"/>
    </w:p>
    <w:p w14:paraId="2DBEB795" w14:textId="77777777" w:rsidR="00A335AD" w:rsidRPr="007D4F79" w:rsidRDefault="00A335AD" w:rsidP="00A335AD">
      <w:pPr>
        <w:pStyle w:val="Restitle"/>
        <w:rPr>
          <w:lang w:val="fr-FR"/>
        </w:rPr>
      </w:pPr>
      <w:bookmarkStart w:id="1" w:name="_Toc116542300"/>
      <w:r w:rsidRPr="007D4F79">
        <w:rPr>
          <w:lang w:val="fr-FR"/>
        </w:rPr>
        <w:t>Établissement de commissions d'études</w:t>
      </w:r>
      <w:bookmarkEnd w:id="1"/>
    </w:p>
    <w:p w14:paraId="08959A23" w14:textId="77777777" w:rsidR="00A335AD" w:rsidRPr="007D4F79" w:rsidRDefault="00A335AD" w:rsidP="00A335AD">
      <w:pPr>
        <w:pStyle w:val="Normalaftertitle"/>
        <w:rPr>
          <w:lang w:val="fr-FR"/>
        </w:rPr>
      </w:pPr>
      <w:r w:rsidRPr="007D4F79">
        <w:rPr>
          <w:lang w:val="fr-FR"/>
        </w:rPr>
        <w:t>La Conférence mondiale de développement des télécommunications (Kigali, 2022),</w:t>
      </w:r>
    </w:p>
    <w:p w14:paraId="6E46DD5F" w14:textId="77777777" w:rsidR="00A335AD" w:rsidRPr="007D4F79" w:rsidRDefault="00A335AD" w:rsidP="00A335AD">
      <w:pPr>
        <w:pStyle w:val="Call"/>
        <w:rPr>
          <w:lang w:val="fr-FR"/>
        </w:rPr>
      </w:pPr>
      <w:r w:rsidRPr="007D4F79">
        <w:rPr>
          <w:lang w:val="fr-FR"/>
        </w:rPr>
        <w:t>considérant</w:t>
      </w:r>
    </w:p>
    <w:p w14:paraId="2FA7693E" w14:textId="77777777" w:rsidR="00A335AD" w:rsidRPr="007D4F79" w:rsidRDefault="00A335AD" w:rsidP="00A335AD">
      <w:pPr>
        <w:rPr>
          <w:lang w:val="fr-FR"/>
        </w:rPr>
      </w:pPr>
      <w:r w:rsidRPr="007D4F79">
        <w:rPr>
          <w:i/>
          <w:iCs/>
          <w:lang w:val="fr-FR"/>
        </w:rPr>
        <w:t>a)</w:t>
      </w:r>
      <w:r w:rsidRPr="007D4F79">
        <w:rPr>
          <w:lang w:val="fr-FR"/>
        </w:rPr>
        <w:tab/>
        <w:t>que le mandat de chaque commission d'études doit être clairement défini afin d'éviter tout double emploi entre les commissions d'études et d'autres groupes du Secteur du développement des télécommunications (UIT</w:t>
      </w:r>
      <w:r w:rsidRPr="007D4F79">
        <w:rPr>
          <w:lang w:val="fr-FR"/>
        </w:rPr>
        <w:noBreakHyphen/>
        <w:t>D) créés conformément au numéro 209A de la Convention de l'UIT et d'assurer la cohérence du programme de travail global du Secteur, conformément aux dispositions de l'article 16 de la Convention;</w:t>
      </w:r>
    </w:p>
    <w:p w14:paraId="447D405F" w14:textId="77777777" w:rsidR="00A335AD" w:rsidRPr="007D4F79" w:rsidRDefault="00A335AD" w:rsidP="00A335AD">
      <w:pPr>
        <w:rPr>
          <w:lang w:val="fr-FR"/>
        </w:rPr>
      </w:pPr>
      <w:r w:rsidRPr="007D4F79">
        <w:rPr>
          <w:i/>
          <w:iCs/>
          <w:lang w:val="fr-FR"/>
        </w:rPr>
        <w:t>b)</w:t>
      </w:r>
      <w:r w:rsidRPr="007D4F79">
        <w:rPr>
          <w:lang w:val="fr-FR"/>
        </w:rPr>
        <w:tab/>
        <w:t>que, pour pouvoir s'acquitter des études qui sont confiées à l'UIT</w:t>
      </w:r>
      <w:r w:rsidRPr="007D4F79">
        <w:rPr>
          <w:lang w:val="fr-FR"/>
        </w:rPr>
        <w:noBreakHyphen/>
        <w:t>D, il y a lieu de créer des commissions d'études, comme cela est prévu dans l'article 17 de la Convention, pour traiter de questions de télécommunication précises axées sur les tâches qui sont prioritaires pour les pays en développement</w:t>
      </w:r>
      <w:r>
        <w:rPr>
          <w:rStyle w:val="FootnoteReference"/>
          <w:lang w:val="fr-FR"/>
        </w:rPr>
        <w:footnoteReference w:customMarkFollows="1" w:id="1"/>
        <w:t>1</w:t>
      </w:r>
      <w:r w:rsidRPr="007D4F79">
        <w:rPr>
          <w:lang w:val="fr-FR"/>
        </w:rPr>
        <w:t>, compte tenu du plan et des buts stratégiques de l'UIT, et d'élaborer des textes pertinents sous forme de rapports, lignes directrices ou recommandations pour le développement des télécommunications et des technologies de l'information et de la communication (TIC);</w:t>
      </w:r>
    </w:p>
    <w:p w14:paraId="141B55FB" w14:textId="77777777" w:rsidR="00A335AD" w:rsidRPr="007D4F79" w:rsidRDefault="00A335AD" w:rsidP="00A335AD">
      <w:pPr>
        <w:rPr>
          <w:lang w:val="fr-FR"/>
        </w:rPr>
      </w:pPr>
      <w:r w:rsidRPr="007D4F79">
        <w:rPr>
          <w:i/>
          <w:iCs/>
          <w:lang w:val="fr-FR"/>
        </w:rPr>
        <w:t>c)</w:t>
      </w:r>
      <w:r w:rsidRPr="007D4F79">
        <w:rPr>
          <w:lang w:val="fr-FR"/>
        </w:rPr>
        <w:tab/>
        <w:t>la nécessité d'éviter, autant que possible, tout double emploi entre les études entreprises par l'UIT</w:t>
      </w:r>
      <w:r w:rsidRPr="007D4F79">
        <w:rPr>
          <w:lang w:val="fr-FR"/>
        </w:rPr>
        <w:noBreakHyphen/>
        <w:t>D et celles effectuées par les deux autres Secteurs de l'Union;</w:t>
      </w:r>
    </w:p>
    <w:p w14:paraId="77BE2D03" w14:textId="77777777" w:rsidR="00A335AD" w:rsidRPr="007D4F79" w:rsidRDefault="00A335AD" w:rsidP="00A335AD">
      <w:pPr>
        <w:rPr>
          <w:lang w:val="fr-FR"/>
        </w:rPr>
      </w:pPr>
      <w:r w:rsidRPr="007D4F79">
        <w:rPr>
          <w:i/>
          <w:iCs/>
          <w:lang w:val="fr-FR"/>
        </w:rPr>
        <w:t>d)</w:t>
      </w:r>
      <w:r w:rsidRPr="007D4F79">
        <w:rPr>
          <w:lang w:val="fr-FR"/>
        </w:rPr>
        <w:tab/>
        <w:t>les résultats des études au titre des Questions à l'étude adoptées par la Conférence mondiale de développement des télécommunications (Dubaï, 2014) et la Conférence mondiale de développement des télécommunications (Buenos Aires, 2017) et confiées aux deux commissions d'études,</w:t>
      </w:r>
    </w:p>
    <w:p w14:paraId="55D1BA15" w14:textId="77777777" w:rsidR="00A335AD" w:rsidRPr="007D4F79" w:rsidRDefault="00A335AD" w:rsidP="00A335AD">
      <w:pPr>
        <w:pStyle w:val="Call"/>
        <w:rPr>
          <w:lang w:val="fr-FR"/>
        </w:rPr>
      </w:pPr>
      <w:r w:rsidRPr="007D4F79">
        <w:rPr>
          <w:lang w:val="fr-FR"/>
        </w:rPr>
        <w:t>décide</w:t>
      </w:r>
    </w:p>
    <w:p w14:paraId="69DCAA58" w14:textId="77777777" w:rsidR="00A335AD" w:rsidRPr="007D4F79" w:rsidRDefault="00A335AD" w:rsidP="00A335AD">
      <w:pPr>
        <w:rPr>
          <w:lang w:val="fr-FR"/>
        </w:rPr>
      </w:pPr>
      <w:r w:rsidRPr="007D4F79">
        <w:rPr>
          <w:lang w:val="fr-FR"/>
        </w:rPr>
        <w:t>1</w:t>
      </w:r>
      <w:r w:rsidRPr="007D4F79">
        <w:rPr>
          <w:lang w:val="fr-FR"/>
        </w:rPr>
        <w:tab/>
        <w:t>que les travaux des deux commissions d'études du Secteur, auxquelles sont confiés une responsabilité et un mandat clairement établis, indiqués dans l'Annexe 1 et l'Annexe 3 de la présente Résolution, doivent se poursuivre;</w:t>
      </w:r>
    </w:p>
    <w:p w14:paraId="517FCF54" w14:textId="77777777" w:rsidR="00A335AD" w:rsidRPr="007D4F79" w:rsidRDefault="00A335AD" w:rsidP="00A335AD">
      <w:pPr>
        <w:rPr>
          <w:lang w:val="fr-FR"/>
        </w:rPr>
      </w:pPr>
      <w:r w:rsidRPr="007D4F79">
        <w:rPr>
          <w:lang w:val="fr-FR"/>
        </w:rPr>
        <w:br w:type="page"/>
      </w:r>
    </w:p>
    <w:p w14:paraId="2F41AFCB" w14:textId="77777777" w:rsidR="00A335AD" w:rsidRPr="007D4F79" w:rsidRDefault="00A335AD" w:rsidP="00A335AD">
      <w:pPr>
        <w:rPr>
          <w:lang w:val="fr-FR"/>
        </w:rPr>
      </w:pPr>
      <w:r w:rsidRPr="007D4F79">
        <w:rPr>
          <w:lang w:val="fr-FR"/>
        </w:rPr>
        <w:lastRenderedPageBreak/>
        <w:t>2</w:t>
      </w:r>
      <w:r w:rsidRPr="007D4F79">
        <w:rPr>
          <w:lang w:val="fr-FR"/>
        </w:rPr>
        <w:tab/>
        <w:t xml:space="preserve">que chaque commission d'études et les groupes qui en relèvent procèderont à des études dans le cadre des Questions de l'UIT-D à l'étude adoptées par la présente conférence et qui leur sont attribuées conformément à la structure indiquée dans l'Annexe 2 de la présente Résolution, ainsi que des Questions de l'UIT-D à l'étude adoptées ou révisées entre deux </w:t>
      </w:r>
      <w:r w:rsidRPr="007D4F79">
        <w:rPr>
          <w:szCs w:val="24"/>
          <w:lang w:val="fr-FR"/>
        </w:rPr>
        <w:t>Conférences mondiales de développement des télécommunications</w:t>
      </w:r>
      <w:r w:rsidRPr="007D4F79">
        <w:rPr>
          <w:lang w:val="fr-FR"/>
        </w:rPr>
        <w:t xml:space="preserve"> (CMDT) conformément aux dispositions de la Résolution 1 (Rév. Kigali, 2022) de la présente Conférence;</w:t>
      </w:r>
    </w:p>
    <w:p w14:paraId="0601D644" w14:textId="77777777" w:rsidR="00A335AD" w:rsidRPr="007D4F79" w:rsidRDefault="00A335AD" w:rsidP="00A335AD">
      <w:pPr>
        <w:rPr>
          <w:color w:val="000000"/>
          <w:lang w:val="fr-FR"/>
        </w:rPr>
      </w:pPr>
      <w:r w:rsidRPr="007D4F79">
        <w:rPr>
          <w:lang w:val="fr-FR"/>
        </w:rPr>
        <w:t>3</w:t>
      </w:r>
      <w:r w:rsidRPr="007D4F79">
        <w:rPr>
          <w:lang w:val="fr-FR"/>
        </w:rPr>
        <w:tab/>
      </w:r>
      <w:r w:rsidRPr="007D4F79">
        <w:rPr>
          <w:color w:val="000000"/>
          <w:lang w:val="fr-FR"/>
        </w:rPr>
        <w:t>que l'organisation des travaux des commissions d'études devrait être de nature à améliorer les synergies, la transparence et l'efficacité en réduisant au minimum les chevauchements entre les Questions de l'UIT-D à l'étude;</w:t>
      </w:r>
    </w:p>
    <w:p w14:paraId="0F85A82D" w14:textId="77777777" w:rsidR="00A335AD" w:rsidRPr="007D4F79" w:rsidRDefault="00A335AD" w:rsidP="00A335AD">
      <w:pPr>
        <w:rPr>
          <w:lang w:val="fr-FR"/>
        </w:rPr>
      </w:pPr>
      <w:r w:rsidRPr="007D4F79">
        <w:rPr>
          <w:lang w:val="fr-FR"/>
        </w:rPr>
        <w:t>4</w:t>
      </w:r>
      <w:r w:rsidRPr="007D4F79">
        <w:rPr>
          <w:lang w:val="fr-FR"/>
        </w:rPr>
        <w:tab/>
        <w:t xml:space="preserve">que les Questions de l'UIT-D à l'étude devront être liées à la mise en œuvre des Résolutions de la CMDT et de la Conférence de plénipotentiaires, ainsi qu'aux programmes du </w:t>
      </w:r>
      <w:r w:rsidRPr="007D4F79">
        <w:rPr>
          <w:szCs w:val="24"/>
          <w:lang w:val="fr-FR"/>
        </w:rPr>
        <w:t>Bureau de développement des télécommunications (</w:t>
      </w:r>
      <w:r w:rsidRPr="007D4F79">
        <w:rPr>
          <w:lang w:val="fr-FR"/>
        </w:rPr>
        <w:t>BDT)décrits dans le plan d'action de l'UIT-D, de telle sorte que les commissions d'études et les programmes du BDT tirent mutuellement parti de leurs activités, ressources et compétences</w:t>
      </w:r>
      <w:r w:rsidRPr="007D4F79">
        <w:rPr>
          <w:color w:val="000000"/>
          <w:lang w:val="fr-FR"/>
        </w:rPr>
        <w:t xml:space="preserve"> et contribuent conjointement à la réalisation des objectifs de l'UIT-D</w:t>
      </w:r>
      <w:r w:rsidRPr="007D4F79">
        <w:rPr>
          <w:lang w:val="fr-FR"/>
        </w:rPr>
        <w:t>;</w:t>
      </w:r>
    </w:p>
    <w:p w14:paraId="1591860A" w14:textId="77777777" w:rsidR="00A335AD" w:rsidRPr="007D4F79" w:rsidRDefault="00A335AD" w:rsidP="00A335AD">
      <w:pPr>
        <w:rPr>
          <w:lang w:val="fr-FR"/>
        </w:rPr>
      </w:pPr>
      <w:r w:rsidRPr="007D4F79">
        <w:rPr>
          <w:lang w:val="fr-FR"/>
        </w:rPr>
        <w:t>5</w:t>
      </w:r>
      <w:r w:rsidRPr="007D4F79">
        <w:rPr>
          <w:lang w:val="fr-FR"/>
        </w:rPr>
        <w:tab/>
        <w:t>que les commissions d'études devront s'appuyer sur les résultats et les documents des deux autres Secteurs et du Secrétariat général se rapportant à leur mandat et collaborer étroitement avec les commissions d'études des autres Secteurs sur les questions d'intérêt mutuel;</w:t>
      </w:r>
    </w:p>
    <w:p w14:paraId="0ACFF03F" w14:textId="77777777" w:rsidR="00A335AD" w:rsidRPr="007D4F79" w:rsidRDefault="00A335AD" w:rsidP="00A335AD">
      <w:pPr>
        <w:rPr>
          <w:lang w:val="fr-FR"/>
        </w:rPr>
      </w:pPr>
      <w:r w:rsidRPr="007D4F79">
        <w:rPr>
          <w:lang w:val="fr-FR"/>
        </w:rPr>
        <w:t>6</w:t>
      </w:r>
      <w:r w:rsidRPr="007D4F79">
        <w:rPr>
          <w:lang w:val="fr-FR"/>
        </w:rPr>
        <w:tab/>
        <w:t>que les commissions d'études seront gérées par les présidents et les vice-présidents dont les noms sont indiqués dans l'Annexe 3 de la présente Résolution.</w:t>
      </w:r>
    </w:p>
    <w:p w14:paraId="664066B8"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4FB185C6"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6865CA1B"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24074B19"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46D8B707"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02F2632F"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27D3BB2C"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00C04A34"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6BEB4E62"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3D2AE6DC"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r w:rsidRPr="007D4F79">
        <w:rPr>
          <w:lang w:val="fr-FR"/>
        </w:rPr>
        <w:br w:type="page"/>
      </w:r>
    </w:p>
    <w:p w14:paraId="31E76276" w14:textId="77777777" w:rsidR="00A335AD" w:rsidRPr="007D4F79" w:rsidRDefault="00A335AD" w:rsidP="00A335AD">
      <w:pPr>
        <w:pStyle w:val="AnnexNo"/>
        <w:rPr>
          <w:lang w:val="fr-FR"/>
        </w:rPr>
      </w:pPr>
      <w:r w:rsidRPr="007D4F79">
        <w:rPr>
          <w:lang w:val="fr-FR"/>
        </w:rPr>
        <w:lastRenderedPageBreak/>
        <w:t>Annexe 1 de la Résolution 2 (R</w:t>
      </w:r>
      <w:r w:rsidRPr="007D4F79">
        <w:rPr>
          <w:caps w:val="0"/>
          <w:lang w:val="fr-FR"/>
        </w:rPr>
        <w:t>év</w:t>
      </w:r>
      <w:r w:rsidRPr="007D4F79">
        <w:rPr>
          <w:lang w:val="fr-FR"/>
        </w:rPr>
        <w:t xml:space="preserve">. </w:t>
      </w:r>
      <w:r w:rsidRPr="007D4F79">
        <w:rPr>
          <w:caps w:val="0"/>
          <w:lang w:val="fr-FR"/>
        </w:rPr>
        <w:t>Kigali, 2022</w:t>
      </w:r>
      <w:r w:rsidRPr="007D4F79">
        <w:rPr>
          <w:lang w:val="fr-FR"/>
        </w:rPr>
        <w:t>)</w:t>
      </w:r>
    </w:p>
    <w:p w14:paraId="14B908DC" w14:textId="77777777" w:rsidR="00A335AD" w:rsidRPr="007D4F79" w:rsidRDefault="00A335AD" w:rsidP="00A335AD">
      <w:pPr>
        <w:pStyle w:val="Annextitle"/>
        <w:rPr>
          <w:lang w:val="fr-FR"/>
        </w:rPr>
      </w:pPr>
      <w:bookmarkStart w:id="2" w:name="_Toc116542301"/>
      <w:r w:rsidRPr="007D4F79">
        <w:rPr>
          <w:lang w:val="fr-FR"/>
        </w:rPr>
        <w:t>Domaine de compétence des commissions d'études de l'UIT-D</w:t>
      </w:r>
      <w:bookmarkEnd w:id="2"/>
    </w:p>
    <w:p w14:paraId="1995980C" w14:textId="77777777" w:rsidR="00A335AD" w:rsidRPr="007D4F79" w:rsidRDefault="00A335AD" w:rsidP="00A335AD">
      <w:pPr>
        <w:pStyle w:val="Heading1"/>
        <w:rPr>
          <w:lang w:val="fr-FR"/>
        </w:rPr>
      </w:pPr>
      <w:bookmarkStart w:id="3" w:name="_Toc116542302"/>
      <w:r w:rsidRPr="007D4F79">
        <w:rPr>
          <w:lang w:val="fr-FR"/>
        </w:rPr>
        <w:t>1</w:t>
      </w:r>
      <w:r w:rsidRPr="007D4F79">
        <w:rPr>
          <w:lang w:val="fr-FR"/>
        </w:rPr>
        <w:tab/>
        <w:t>Commission d'études 1</w:t>
      </w:r>
      <w:bookmarkEnd w:id="3"/>
    </w:p>
    <w:p w14:paraId="1AF6B9B6" w14:textId="77777777" w:rsidR="00A335AD" w:rsidRPr="007D4F79" w:rsidRDefault="00A335AD" w:rsidP="00A335AD">
      <w:pPr>
        <w:pStyle w:val="Headingb"/>
        <w:rPr>
          <w:lang w:val="fr-FR"/>
        </w:rPr>
      </w:pPr>
      <w:r w:rsidRPr="007D4F79">
        <w:rPr>
          <w:lang w:val="fr-FR"/>
        </w:rPr>
        <w:t>Environnement propice à une connectivité efficace</w:t>
      </w:r>
      <w:r>
        <w:rPr>
          <w:rStyle w:val="FootnoteReference"/>
          <w:lang w:val="fr-FR"/>
        </w:rPr>
        <w:footnoteReference w:customMarkFollows="1" w:id="2"/>
        <w:t>2</w:t>
      </w:r>
    </w:p>
    <w:p w14:paraId="063F3B2F" w14:textId="77777777" w:rsidR="00A335AD" w:rsidRPr="007D4F79" w:rsidRDefault="00A335AD" w:rsidP="00A335AD">
      <w:pPr>
        <w:pStyle w:val="enumlev1"/>
        <w:rPr>
          <w:lang w:val="fr-FR"/>
        </w:rPr>
      </w:pPr>
      <w:r w:rsidRPr="007D4F79">
        <w:rPr>
          <w:lang w:val="fr-FR"/>
        </w:rPr>
        <w:t>–</w:t>
      </w:r>
      <w:r w:rsidRPr="007D4F79">
        <w:rPr>
          <w:lang w:val="fr-FR"/>
        </w:rPr>
        <w:tab/>
        <w:t>Aspects politiques et réglementaires nationaux du développement des télécommunications large bande/TIC.</w:t>
      </w:r>
    </w:p>
    <w:p w14:paraId="42CE392A" w14:textId="77777777" w:rsidR="00A335AD" w:rsidRPr="007D4F79" w:rsidRDefault="00A335AD" w:rsidP="00A335AD">
      <w:pPr>
        <w:pStyle w:val="enumlev1"/>
        <w:rPr>
          <w:lang w:val="fr-FR"/>
        </w:rPr>
      </w:pPr>
      <w:r w:rsidRPr="007D4F79">
        <w:rPr>
          <w:lang w:val="fr-FR"/>
        </w:rPr>
        <w:sym w:font="Symbol" w:char="F02D"/>
      </w:r>
      <w:r w:rsidRPr="007D4F79">
        <w:rPr>
          <w:lang w:val="fr-FR"/>
        </w:rPr>
        <w:tab/>
        <w:t>Aspects économiques dans le domaine des télécommunications/TIC nationales, y compris les méthodes permettant de faciliter la mise en place de l'économie numérique et la fourniture de services de télécommunication/TIC.</w:t>
      </w:r>
    </w:p>
    <w:p w14:paraId="7C73D7D8" w14:textId="77777777" w:rsidR="00A335AD" w:rsidRPr="007D4F79" w:rsidRDefault="00A335AD" w:rsidP="00A335AD">
      <w:pPr>
        <w:pStyle w:val="enumlev1"/>
        <w:rPr>
          <w:lang w:val="fr-FR"/>
        </w:rPr>
      </w:pPr>
      <w:r w:rsidRPr="007D4F79">
        <w:rPr>
          <w:lang w:val="fr-FR"/>
        </w:rPr>
        <w:sym w:font="Symbol" w:char="F02D"/>
      </w:r>
      <w:r w:rsidRPr="007D4F79">
        <w:rPr>
          <w:lang w:val="fr-FR"/>
        </w:rPr>
        <w:tab/>
        <w:t>Approches nationales en ce qui concerne la fourniture d'un accès aux télécommunications/TIC modernes dans les zones rurales et isolées, l'accent étant mis tout particulièrement sur les pays en développement, y compris les pays les moins avancés, les petits états insulaires en développement, les pays en développement sans littoral et les pays dont l'économie est en transition.</w:t>
      </w:r>
    </w:p>
    <w:p w14:paraId="032C86A3" w14:textId="77777777" w:rsidR="00A335AD" w:rsidRPr="007D4F79" w:rsidRDefault="00A335AD" w:rsidP="00A335AD">
      <w:pPr>
        <w:pStyle w:val="enumlev1"/>
        <w:rPr>
          <w:lang w:val="fr-FR"/>
        </w:rPr>
      </w:pPr>
      <w:r w:rsidRPr="007D4F79">
        <w:rPr>
          <w:lang w:val="fr-FR"/>
        </w:rPr>
        <w:t>−</w:t>
      </w:r>
      <w:r w:rsidRPr="007D4F79">
        <w:rPr>
          <w:lang w:val="fr-FR"/>
        </w:rPr>
        <w:tab/>
      </w:r>
      <w:r w:rsidRPr="007D4F79">
        <w:rPr>
          <w:caps/>
          <w:color w:val="000000"/>
          <w:lang w:val="fr-FR"/>
        </w:rPr>
        <w:t>a</w:t>
      </w:r>
      <w:r w:rsidRPr="007D4F79">
        <w:rPr>
          <w:color w:val="000000"/>
          <w:lang w:val="fr-FR"/>
        </w:rPr>
        <w:t>ccès aux services de télécommunication/TIC pour favoriser des communications inclusives, en particulier pour les personnes handicapées et les personnes ayant des besoins particuliers.</w:t>
      </w:r>
    </w:p>
    <w:p w14:paraId="5E35D6C8" w14:textId="77777777" w:rsidR="00A335AD" w:rsidRPr="007D4F79" w:rsidRDefault="00A335AD" w:rsidP="00A335AD">
      <w:pPr>
        <w:pStyle w:val="enumlev1"/>
        <w:rPr>
          <w:lang w:val="fr-FR"/>
        </w:rPr>
      </w:pPr>
      <w:r w:rsidRPr="007D4F79">
        <w:rPr>
          <w:lang w:val="fr-FR"/>
        </w:rPr>
        <w:t>−</w:t>
      </w:r>
      <w:r w:rsidRPr="007D4F79">
        <w:rPr>
          <w:lang w:val="fr-FR"/>
        </w:rPr>
        <w:tab/>
      </w:r>
      <w:r w:rsidRPr="007D4F79">
        <w:rPr>
          <w:caps/>
          <w:color w:val="000000"/>
          <w:lang w:val="fr-FR"/>
        </w:rPr>
        <w:t>p</w:t>
      </w:r>
      <w:r w:rsidRPr="007D4F79">
        <w:rPr>
          <w:color w:val="000000"/>
          <w:lang w:val="fr-FR"/>
        </w:rPr>
        <w:t>assage aux technologies numériques pour la radiodiffusion et adoption de ces technologies pour différents environnements.</w:t>
      </w:r>
    </w:p>
    <w:p w14:paraId="527DA002" w14:textId="77777777" w:rsidR="00A335AD" w:rsidRPr="007D4F79" w:rsidRDefault="00A335AD" w:rsidP="00A335AD">
      <w:pPr>
        <w:pStyle w:val="enumlev1"/>
        <w:rPr>
          <w:lang w:val="fr-FR"/>
        </w:rPr>
      </w:pPr>
      <w:r w:rsidRPr="007D4F79">
        <w:rPr>
          <w:lang w:val="fr-FR"/>
        </w:rPr>
        <w:t>–</w:t>
      </w:r>
      <w:r w:rsidRPr="007D4F79">
        <w:rPr>
          <w:lang w:val="fr-FR"/>
        </w:rPr>
        <w:tab/>
        <w:t>Utilisation des télécommunications/TIC pour l'atténuation et la gestion des risques de catastrophes, notamment dans les pays en développement.</w:t>
      </w:r>
    </w:p>
    <w:p w14:paraId="3870460B" w14:textId="77777777" w:rsidR="00A335AD" w:rsidRPr="007D4F79" w:rsidRDefault="00A335AD" w:rsidP="00A335AD">
      <w:pPr>
        <w:pStyle w:val="enumlev1"/>
        <w:rPr>
          <w:lang w:val="fr-FR"/>
        </w:rPr>
      </w:pPr>
      <w:r w:rsidRPr="007D4F79">
        <w:rPr>
          <w:lang w:val="fr-FR"/>
        </w:rPr>
        <w:t>–</w:t>
      </w:r>
      <w:r w:rsidRPr="007D4F79">
        <w:rPr>
          <w:lang w:val="fr-FR"/>
        </w:rPr>
        <w:tab/>
        <w:t>Information, protection et droits des consommateurs pour les services de télécommunication/TIC, en particulier pour les groupes vulnérables.</w:t>
      </w:r>
    </w:p>
    <w:p w14:paraId="463BDB41" w14:textId="77777777" w:rsidR="00A335AD" w:rsidRPr="007D4F79" w:rsidRDefault="00A335AD" w:rsidP="00A335AD">
      <w:pPr>
        <w:pStyle w:val="Heading1"/>
        <w:rPr>
          <w:lang w:val="fr-FR"/>
        </w:rPr>
      </w:pPr>
      <w:bookmarkStart w:id="4" w:name="_Toc116542303"/>
      <w:r w:rsidRPr="007D4F79">
        <w:rPr>
          <w:lang w:val="fr-FR"/>
        </w:rPr>
        <w:t>2</w:t>
      </w:r>
      <w:r w:rsidRPr="007D4F79">
        <w:rPr>
          <w:lang w:val="fr-FR"/>
        </w:rPr>
        <w:tab/>
        <w:t>Commission d'études 2</w:t>
      </w:r>
      <w:bookmarkEnd w:id="4"/>
    </w:p>
    <w:p w14:paraId="01571C7E" w14:textId="77777777" w:rsidR="00A335AD" w:rsidRPr="007D4F79" w:rsidRDefault="00A335AD" w:rsidP="00A335AD">
      <w:pPr>
        <w:pStyle w:val="Headingb"/>
        <w:rPr>
          <w:lang w:val="fr-FR"/>
        </w:rPr>
      </w:pPr>
      <w:r w:rsidRPr="007D4F79">
        <w:rPr>
          <w:lang w:val="fr-FR"/>
        </w:rPr>
        <w:t>Transformation numérique</w:t>
      </w:r>
    </w:p>
    <w:p w14:paraId="05ECB304" w14:textId="77777777" w:rsidR="00A335AD" w:rsidRPr="007D4F79" w:rsidRDefault="00A335AD" w:rsidP="00A335AD">
      <w:pPr>
        <w:pStyle w:val="enumlev1"/>
        <w:rPr>
          <w:rFonts w:cstheme="minorHAnsi"/>
          <w:szCs w:val="24"/>
          <w:lang w:val="fr-FR"/>
        </w:rPr>
      </w:pPr>
      <w:r w:rsidRPr="007D4F79">
        <w:rPr>
          <w:lang w:val="fr-FR"/>
        </w:rPr>
        <w:t>–</w:t>
      </w:r>
      <w:r w:rsidRPr="007D4F79">
        <w:rPr>
          <w:lang w:val="fr-FR"/>
        </w:rPr>
        <w:tab/>
        <w:t>Télécommunications/TIC pour les cyberservices, y compris la cybersanté et le cyberenseignement.</w:t>
      </w:r>
    </w:p>
    <w:p w14:paraId="649C5E7E" w14:textId="77777777" w:rsidR="00A335AD" w:rsidRPr="007D4F79" w:rsidRDefault="00A335AD" w:rsidP="00A335AD">
      <w:pPr>
        <w:pStyle w:val="enumlev1"/>
        <w:rPr>
          <w:lang w:val="fr-FR"/>
        </w:rPr>
      </w:pPr>
      <w:r w:rsidRPr="007D4F79">
        <w:rPr>
          <w:lang w:val="fr-FR"/>
        </w:rPr>
        <w:t>–</w:t>
      </w:r>
      <w:r w:rsidRPr="007D4F79">
        <w:rPr>
          <w:lang w:val="fr-FR"/>
        </w:rPr>
        <w:tab/>
        <w:t>Instauration de la confiance et de la sécurité dans l'utilisation des TIC.</w:t>
      </w:r>
    </w:p>
    <w:p w14:paraId="5DE1FC65" w14:textId="77777777" w:rsidR="00A335AD" w:rsidRPr="007D4F79" w:rsidRDefault="00A335AD" w:rsidP="00A335AD">
      <w:pPr>
        <w:pStyle w:val="enumlev1"/>
        <w:rPr>
          <w:lang w:val="fr-FR"/>
        </w:rPr>
      </w:pPr>
      <w:r w:rsidRPr="007D4F79">
        <w:rPr>
          <w:lang w:val="fr-FR"/>
        </w:rPr>
        <w:sym w:font="Symbol" w:char="F02D"/>
      </w:r>
      <w:r w:rsidRPr="007D4F79">
        <w:rPr>
          <w:lang w:val="fr-FR"/>
        </w:rPr>
        <w:tab/>
        <w:t>Utilisation des télécommunications/TIC pour le suivi et l'atténuation des effets des changements climatiques, l'intégration des principes de l'économie circulaire et l'élimination en toute sécurité des déchets d'équipements électroniques.</w:t>
      </w:r>
    </w:p>
    <w:p w14:paraId="419C8981" w14:textId="77777777" w:rsidR="00A335AD" w:rsidRPr="007D4F79" w:rsidRDefault="00A335AD" w:rsidP="00A335AD">
      <w:pPr>
        <w:pStyle w:val="enumlev1"/>
        <w:rPr>
          <w:lang w:val="fr-FR"/>
        </w:rPr>
      </w:pPr>
      <w:r w:rsidRPr="007D4F79">
        <w:rPr>
          <w:lang w:val="fr-FR"/>
        </w:rPr>
        <w:lastRenderedPageBreak/>
        <w:sym w:font="Symbol" w:char="F02D"/>
      </w:r>
      <w:r w:rsidRPr="007D4F79">
        <w:rPr>
          <w:lang w:val="fr-FR"/>
        </w:rPr>
        <w:tab/>
        <w:t>Lutte contre la contrefaçon de dispositifs de télécommunication/TIC et contre le vol de dispositifs de télécommunication mobiles.</w:t>
      </w:r>
    </w:p>
    <w:p w14:paraId="2D53F966" w14:textId="77777777" w:rsidR="00A335AD" w:rsidRPr="007D4F79" w:rsidRDefault="00A335AD" w:rsidP="00A335AD">
      <w:pPr>
        <w:pStyle w:val="enumlev1"/>
        <w:rPr>
          <w:lang w:val="fr-FR"/>
        </w:rPr>
      </w:pPr>
      <w:r w:rsidRPr="007D4F79">
        <w:rPr>
          <w:lang w:val="fr-FR"/>
        </w:rPr>
        <w:sym w:font="Symbol" w:char="F02D"/>
      </w:r>
      <w:r w:rsidRPr="007D4F79">
        <w:rPr>
          <w:lang w:val="fr-FR"/>
        </w:rPr>
        <w:tab/>
        <w:t>Mise en œuvre de tests de conformité et d'interopérabilité pour les dispositifs et équipements de télécommunication/TIC.</w:t>
      </w:r>
    </w:p>
    <w:p w14:paraId="0993883D" w14:textId="77777777" w:rsidR="00A335AD" w:rsidRPr="007D4F79" w:rsidRDefault="00A335AD" w:rsidP="00A335AD">
      <w:pPr>
        <w:pStyle w:val="enumlev1"/>
        <w:rPr>
          <w:lang w:val="fr-FR"/>
        </w:rPr>
      </w:pPr>
      <w:r w:rsidRPr="007D4F79">
        <w:rPr>
          <w:lang w:val="fr-FR"/>
        </w:rPr>
        <w:t>–</w:t>
      </w:r>
      <w:r w:rsidRPr="007D4F79">
        <w:rPr>
          <w:lang w:val="fr-FR"/>
        </w:rPr>
        <w:tab/>
        <w:t>Exposition des personnes aux champs électromagnétiques.</w:t>
      </w:r>
    </w:p>
    <w:p w14:paraId="7BDE38E4" w14:textId="77777777" w:rsidR="00A335AD" w:rsidRPr="007D4F79" w:rsidRDefault="00A335AD" w:rsidP="00A335AD">
      <w:pPr>
        <w:pStyle w:val="enumlev1"/>
        <w:rPr>
          <w:lang w:val="fr-FR"/>
        </w:rPr>
      </w:pPr>
      <w:r w:rsidRPr="007D4F79">
        <w:rPr>
          <w:lang w:val="fr-FR"/>
        </w:rPr>
        <w:t>–</w:t>
      </w:r>
      <w:r w:rsidRPr="007D4F79">
        <w:rPr>
          <w:lang w:val="fr-FR"/>
        </w:rPr>
        <w:tab/>
        <w:t xml:space="preserve">Accès aux technologies, plates-formes, applications et cas d'utilisation qui se font jour: Enjeux et perspectives pour les pays en développement. </w:t>
      </w:r>
    </w:p>
    <w:p w14:paraId="17396D87" w14:textId="77777777" w:rsidR="00A335AD" w:rsidRPr="007D4F79" w:rsidRDefault="00A335AD" w:rsidP="00A335AD">
      <w:pPr>
        <w:pStyle w:val="enumlev1"/>
        <w:rPr>
          <w:lang w:val="fr-FR"/>
        </w:rPr>
      </w:pPr>
      <w:r w:rsidRPr="007D4F79">
        <w:rPr>
          <w:lang w:val="fr-FR"/>
        </w:rPr>
        <w:t>–</w:t>
      </w:r>
      <w:r w:rsidRPr="007D4F79">
        <w:rPr>
          <w:lang w:val="fr-FR"/>
        </w:rPr>
        <w:tab/>
        <w:t>Utilisation des télécommunications/TIC pour créer des "villes intelligentes" et édifier une société de l'information.</w:t>
      </w:r>
    </w:p>
    <w:p w14:paraId="112BA0B3" w14:textId="77777777" w:rsidR="00A335AD" w:rsidRPr="007D4F79" w:rsidRDefault="00A335AD" w:rsidP="00A335AD">
      <w:pPr>
        <w:pStyle w:val="enumlev1"/>
        <w:rPr>
          <w:lang w:val="fr-FR"/>
        </w:rPr>
      </w:pPr>
      <w:r w:rsidRPr="007D4F79">
        <w:rPr>
          <w:lang w:val="fr-FR"/>
        </w:rPr>
        <w:t>–</w:t>
      </w:r>
      <w:r w:rsidRPr="007D4F79">
        <w:rPr>
          <w:lang w:val="fr-FR"/>
        </w:rPr>
        <w:tab/>
        <w:t>Adoption des télécommunications/TIC et renforcement des compétences numériques.</w:t>
      </w:r>
    </w:p>
    <w:p w14:paraId="51C09F89"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65B5208F"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70AF0D53"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069F2144"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21CBE7C6" w14:textId="77777777" w:rsidR="00A335AD" w:rsidRDefault="00A335AD" w:rsidP="00A335AD">
      <w:pPr>
        <w:tabs>
          <w:tab w:val="clear" w:pos="1134"/>
          <w:tab w:val="clear" w:pos="1871"/>
          <w:tab w:val="clear" w:pos="2268"/>
        </w:tabs>
        <w:overflowPunct/>
        <w:autoSpaceDE/>
        <w:autoSpaceDN/>
        <w:adjustRightInd/>
        <w:spacing w:before="0"/>
        <w:textAlignment w:val="auto"/>
        <w:rPr>
          <w:lang w:val="fr-FR"/>
        </w:rPr>
      </w:pPr>
    </w:p>
    <w:p w14:paraId="26876801" w14:textId="77777777" w:rsidR="00A335AD" w:rsidRDefault="00A335AD" w:rsidP="00A335AD">
      <w:pPr>
        <w:tabs>
          <w:tab w:val="clear" w:pos="1134"/>
          <w:tab w:val="clear" w:pos="1871"/>
          <w:tab w:val="clear" w:pos="2268"/>
        </w:tabs>
        <w:overflowPunct/>
        <w:autoSpaceDE/>
        <w:autoSpaceDN/>
        <w:adjustRightInd/>
        <w:spacing w:before="0"/>
        <w:textAlignment w:val="auto"/>
        <w:rPr>
          <w:lang w:val="fr-FR"/>
        </w:rPr>
      </w:pPr>
    </w:p>
    <w:p w14:paraId="33ADB65F" w14:textId="77777777" w:rsidR="00A335AD" w:rsidRDefault="00A335AD" w:rsidP="00A335AD">
      <w:pPr>
        <w:tabs>
          <w:tab w:val="clear" w:pos="1134"/>
          <w:tab w:val="clear" w:pos="1871"/>
          <w:tab w:val="clear" w:pos="2268"/>
        </w:tabs>
        <w:overflowPunct/>
        <w:autoSpaceDE/>
        <w:autoSpaceDN/>
        <w:adjustRightInd/>
        <w:spacing w:before="0"/>
        <w:textAlignment w:val="auto"/>
        <w:rPr>
          <w:lang w:val="fr-FR"/>
        </w:rPr>
      </w:pPr>
    </w:p>
    <w:p w14:paraId="2A3A2358" w14:textId="77777777" w:rsidR="00A335AD" w:rsidRDefault="00A335AD" w:rsidP="00A335AD">
      <w:pPr>
        <w:tabs>
          <w:tab w:val="clear" w:pos="1134"/>
          <w:tab w:val="clear" w:pos="1871"/>
          <w:tab w:val="clear" w:pos="2268"/>
        </w:tabs>
        <w:overflowPunct/>
        <w:autoSpaceDE/>
        <w:autoSpaceDN/>
        <w:adjustRightInd/>
        <w:spacing w:before="0"/>
        <w:textAlignment w:val="auto"/>
        <w:rPr>
          <w:lang w:val="fr-FR"/>
        </w:rPr>
      </w:pPr>
    </w:p>
    <w:p w14:paraId="136AAFBA" w14:textId="77777777" w:rsidR="00A335AD" w:rsidRDefault="00A335AD" w:rsidP="00A335AD">
      <w:pPr>
        <w:tabs>
          <w:tab w:val="clear" w:pos="1134"/>
          <w:tab w:val="clear" w:pos="1871"/>
          <w:tab w:val="clear" w:pos="2268"/>
        </w:tabs>
        <w:overflowPunct/>
        <w:autoSpaceDE/>
        <w:autoSpaceDN/>
        <w:adjustRightInd/>
        <w:spacing w:before="0"/>
        <w:textAlignment w:val="auto"/>
        <w:rPr>
          <w:lang w:val="fr-FR"/>
        </w:rPr>
      </w:pPr>
    </w:p>
    <w:p w14:paraId="7EE4345B" w14:textId="77777777" w:rsidR="00A335AD" w:rsidRDefault="00A335AD" w:rsidP="00A335AD">
      <w:pPr>
        <w:tabs>
          <w:tab w:val="clear" w:pos="1134"/>
          <w:tab w:val="clear" w:pos="1871"/>
          <w:tab w:val="clear" w:pos="2268"/>
        </w:tabs>
        <w:overflowPunct/>
        <w:autoSpaceDE/>
        <w:autoSpaceDN/>
        <w:adjustRightInd/>
        <w:spacing w:before="0"/>
        <w:textAlignment w:val="auto"/>
        <w:rPr>
          <w:lang w:val="fr-FR"/>
        </w:rPr>
      </w:pPr>
    </w:p>
    <w:p w14:paraId="13B97355" w14:textId="77777777" w:rsidR="00A335AD" w:rsidRDefault="00A335AD" w:rsidP="00A335AD">
      <w:pPr>
        <w:tabs>
          <w:tab w:val="clear" w:pos="1134"/>
          <w:tab w:val="clear" w:pos="1871"/>
          <w:tab w:val="clear" w:pos="2268"/>
        </w:tabs>
        <w:overflowPunct/>
        <w:autoSpaceDE/>
        <w:autoSpaceDN/>
        <w:adjustRightInd/>
        <w:spacing w:before="0"/>
        <w:textAlignment w:val="auto"/>
        <w:rPr>
          <w:lang w:val="fr-FR"/>
        </w:rPr>
      </w:pPr>
    </w:p>
    <w:p w14:paraId="4C8A497D"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7032106E"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4BAD4BDD"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52443985"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1E5F9429"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53C3B180"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p>
    <w:p w14:paraId="157D55B7"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r w:rsidRPr="007D4F79">
        <w:rPr>
          <w:lang w:val="fr-FR"/>
        </w:rPr>
        <w:br w:type="page"/>
      </w:r>
    </w:p>
    <w:p w14:paraId="044E1BA2" w14:textId="77777777" w:rsidR="00A335AD" w:rsidRPr="007D4F79" w:rsidRDefault="00A335AD" w:rsidP="00A335AD">
      <w:pPr>
        <w:pStyle w:val="AnnexNo"/>
        <w:rPr>
          <w:lang w:val="fr-FR"/>
        </w:rPr>
      </w:pPr>
      <w:r w:rsidRPr="007D4F79">
        <w:rPr>
          <w:lang w:val="fr-FR"/>
        </w:rPr>
        <w:lastRenderedPageBreak/>
        <w:t>Annexe 2 de la Résolution 2 (R</w:t>
      </w:r>
      <w:r w:rsidRPr="007D4F79">
        <w:rPr>
          <w:caps w:val="0"/>
          <w:lang w:val="fr-FR"/>
        </w:rPr>
        <w:t>év</w:t>
      </w:r>
      <w:r w:rsidRPr="007D4F79">
        <w:rPr>
          <w:lang w:val="fr-FR"/>
        </w:rPr>
        <w:t>.</w:t>
      </w:r>
      <w:r w:rsidRPr="007D4F79">
        <w:rPr>
          <w:caps w:val="0"/>
          <w:lang w:val="fr-FR"/>
        </w:rPr>
        <w:t xml:space="preserve"> Kigali, 2022</w:t>
      </w:r>
      <w:r w:rsidRPr="007D4F79">
        <w:rPr>
          <w:lang w:val="fr-FR"/>
        </w:rPr>
        <w:t>)</w:t>
      </w:r>
    </w:p>
    <w:p w14:paraId="4386DAA3" w14:textId="77777777" w:rsidR="00A335AD" w:rsidRPr="007D4F79" w:rsidRDefault="00A335AD" w:rsidP="00A335AD">
      <w:pPr>
        <w:pStyle w:val="Annextitle"/>
        <w:rPr>
          <w:lang w:val="fr-FR"/>
        </w:rPr>
      </w:pPr>
      <w:bookmarkStart w:id="5" w:name="_Toc116542304"/>
      <w:r w:rsidRPr="007D4F79">
        <w:rPr>
          <w:lang w:val="fr-FR"/>
        </w:rPr>
        <w:t>Questions confiées par la Conférence mondiale de développement</w:t>
      </w:r>
      <w:r w:rsidRPr="007D4F79">
        <w:rPr>
          <w:lang w:val="fr-FR"/>
        </w:rPr>
        <w:br/>
        <w:t>des télécommunications aux commissions d'études de l'UIT</w:t>
      </w:r>
      <w:r w:rsidRPr="007D4F79">
        <w:rPr>
          <w:lang w:val="fr-FR"/>
        </w:rPr>
        <w:noBreakHyphen/>
        <w:t>D</w:t>
      </w:r>
      <w:bookmarkEnd w:id="5"/>
    </w:p>
    <w:p w14:paraId="277E6F51" w14:textId="77777777" w:rsidR="00A335AD" w:rsidRPr="007D4F79" w:rsidRDefault="00A335AD" w:rsidP="00A335AD">
      <w:pPr>
        <w:pStyle w:val="Heading1"/>
        <w:rPr>
          <w:lang w:val="fr-FR"/>
        </w:rPr>
      </w:pPr>
      <w:bookmarkStart w:id="6" w:name="_Toc116542305"/>
      <w:r w:rsidRPr="007D4F79">
        <w:rPr>
          <w:lang w:val="fr-FR"/>
        </w:rPr>
        <w:t>Commission d'études 1</w:t>
      </w:r>
      <w:bookmarkEnd w:id="6"/>
    </w:p>
    <w:p w14:paraId="38813092" w14:textId="77777777" w:rsidR="00A335AD" w:rsidRPr="007D4F79" w:rsidRDefault="00A335AD" w:rsidP="00A335AD">
      <w:pPr>
        <w:pStyle w:val="enumlev1"/>
        <w:ind w:left="2608" w:hanging="2608"/>
        <w:rPr>
          <w:lang w:val="fr-FR"/>
        </w:rPr>
      </w:pPr>
      <w:r w:rsidRPr="007D4F79">
        <w:rPr>
          <w:lang w:val="fr-FR"/>
        </w:rPr>
        <w:t>–</w:t>
      </w:r>
      <w:r w:rsidRPr="007D4F79">
        <w:rPr>
          <w:lang w:val="fr-FR"/>
        </w:rPr>
        <w:tab/>
      </w:r>
      <w:r w:rsidRPr="007D4F79">
        <w:rPr>
          <w:b/>
          <w:bCs/>
          <w:lang w:val="fr-FR"/>
        </w:rPr>
        <w:t>Question 1/1</w:t>
      </w:r>
      <w:r w:rsidRPr="007D4F79">
        <w:rPr>
          <w:lang w:val="fr-FR"/>
        </w:rPr>
        <w:t>:</w:t>
      </w:r>
      <w:r w:rsidRPr="007D4F79">
        <w:rPr>
          <w:lang w:val="fr-FR"/>
        </w:rPr>
        <w:tab/>
        <w:t>Stratégies et politiques pour le déploiement du large bande dans les pays en développement</w:t>
      </w:r>
    </w:p>
    <w:p w14:paraId="4F312914" w14:textId="77777777" w:rsidR="00A335AD" w:rsidRPr="007D4F79" w:rsidRDefault="00A335AD" w:rsidP="00A335AD">
      <w:pPr>
        <w:pStyle w:val="enumlev1"/>
        <w:ind w:left="2608" w:hanging="2608"/>
        <w:rPr>
          <w:lang w:val="fr-FR"/>
        </w:rPr>
      </w:pPr>
      <w:r w:rsidRPr="007D4F79">
        <w:rPr>
          <w:lang w:val="fr-FR"/>
        </w:rPr>
        <w:t>–</w:t>
      </w:r>
      <w:r w:rsidRPr="007D4F79">
        <w:rPr>
          <w:lang w:val="fr-FR"/>
        </w:rPr>
        <w:tab/>
      </w:r>
      <w:r w:rsidRPr="007D4F79">
        <w:rPr>
          <w:b/>
          <w:bCs/>
          <w:lang w:val="fr-FR"/>
        </w:rPr>
        <w:t>Question 2/1</w:t>
      </w:r>
      <w:r w:rsidRPr="007D4F79">
        <w:rPr>
          <w:lang w:val="fr-FR"/>
        </w:rPr>
        <w:t>:</w:t>
      </w:r>
      <w:r w:rsidRPr="007D4F79">
        <w:rPr>
          <w:lang w:val="fr-FR"/>
        </w:rPr>
        <w:tab/>
        <w:t>Stratégies, politiques, réglementations et méthodes relatives au passage aux technologies numériques pour la radiodiffusion et à l'adoption de ces technologies, notamment pour fournir de nouveaux services dans divers environnements</w:t>
      </w:r>
    </w:p>
    <w:p w14:paraId="2C01CE84" w14:textId="77777777" w:rsidR="00A335AD" w:rsidRPr="007D4F79" w:rsidRDefault="00A335AD" w:rsidP="00A335AD">
      <w:pPr>
        <w:pStyle w:val="enumlev1"/>
        <w:ind w:left="2608" w:hanging="2608"/>
        <w:rPr>
          <w:lang w:val="fr-FR"/>
        </w:rPr>
      </w:pPr>
      <w:r w:rsidRPr="007D4F79">
        <w:rPr>
          <w:lang w:val="fr-FR"/>
        </w:rPr>
        <w:t>–</w:t>
      </w:r>
      <w:r w:rsidRPr="007D4F79">
        <w:rPr>
          <w:lang w:val="fr-FR"/>
        </w:rPr>
        <w:tab/>
      </w:r>
      <w:r w:rsidRPr="007D4F79">
        <w:rPr>
          <w:b/>
          <w:bCs/>
          <w:lang w:val="fr-FR"/>
        </w:rPr>
        <w:t>Question 3/1</w:t>
      </w:r>
      <w:r w:rsidRPr="007D4F79">
        <w:rPr>
          <w:lang w:val="fr-FR"/>
        </w:rPr>
        <w:t>:</w:t>
      </w:r>
      <w:r w:rsidRPr="007D4F79">
        <w:rPr>
          <w:b/>
          <w:bCs/>
          <w:lang w:val="fr-FR"/>
        </w:rPr>
        <w:tab/>
      </w:r>
      <w:r w:rsidRPr="007D4F79">
        <w:rPr>
          <w:lang w:val="fr-FR"/>
        </w:rPr>
        <w:t>Utilisation des télécommunications/</w:t>
      </w:r>
      <w:r w:rsidRPr="007D4F79">
        <w:rPr>
          <w:rFonts w:eastAsia="Batang"/>
          <w:lang w:val="fr-FR"/>
        </w:rPr>
        <w:t>TIC</w:t>
      </w:r>
      <w:r w:rsidRPr="007D4F79">
        <w:rPr>
          <w:lang w:val="fr-FR"/>
        </w:rPr>
        <w:t xml:space="preserve"> pour l'atténuation et la gestion des risques de catastrophes</w:t>
      </w:r>
    </w:p>
    <w:p w14:paraId="5C5C6728" w14:textId="77777777" w:rsidR="00A335AD" w:rsidRPr="007D4F79" w:rsidRDefault="00A335AD" w:rsidP="00A335AD">
      <w:pPr>
        <w:pStyle w:val="enumlev1"/>
        <w:rPr>
          <w:highlight w:val="yellow"/>
          <w:lang w:val="fr-FR"/>
        </w:rPr>
      </w:pPr>
      <w:r w:rsidRPr="007D4F79">
        <w:rPr>
          <w:lang w:val="fr-FR"/>
        </w:rPr>
        <w:t>–</w:t>
      </w:r>
      <w:r w:rsidRPr="007D4F79">
        <w:rPr>
          <w:lang w:val="fr-FR"/>
        </w:rPr>
        <w:tab/>
      </w:r>
      <w:r w:rsidRPr="007D4F79">
        <w:rPr>
          <w:b/>
          <w:bCs/>
          <w:lang w:val="fr-FR"/>
        </w:rPr>
        <w:t>Question 4/1</w:t>
      </w:r>
      <w:r w:rsidRPr="007D4F79">
        <w:rPr>
          <w:lang w:val="fr-FR"/>
        </w:rPr>
        <w:t>:</w:t>
      </w:r>
      <w:r w:rsidRPr="007D4F79">
        <w:rPr>
          <w:lang w:val="fr-FR"/>
        </w:rPr>
        <w:tab/>
        <w:t>Aspects économiques des télécommunications/</w:t>
      </w:r>
      <w:r w:rsidRPr="007D4F79">
        <w:rPr>
          <w:rFonts w:eastAsia="Batang"/>
          <w:lang w:val="fr-FR"/>
        </w:rPr>
        <w:t>TIC nationales</w:t>
      </w:r>
    </w:p>
    <w:p w14:paraId="5FEE5520" w14:textId="77777777" w:rsidR="00A335AD" w:rsidRPr="007D4F79" w:rsidRDefault="00A335AD" w:rsidP="00A335AD">
      <w:pPr>
        <w:pStyle w:val="enumlev1"/>
        <w:rPr>
          <w:lang w:val="fr-FR"/>
        </w:rPr>
      </w:pPr>
      <w:r w:rsidRPr="007D4F79">
        <w:rPr>
          <w:lang w:val="fr-FR"/>
        </w:rPr>
        <w:t>–</w:t>
      </w:r>
      <w:r w:rsidRPr="007D4F79">
        <w:rPr>
          <w:lang w:val="fr-FR"/>
        </w:rPr>
        <w:tab/>
      </w:r>
      <w:r w:rsidRPr="007D4F79">
        <w:rPr>
          <w:b/>
          <w:bCs/>
          <w:lang w:val="fr-FR"/>
        </w:rPr>
        <w:t>Question 5/1</w:t>
      </w:r>
      <w:r w:rsidRPr="007D4F79">
        <w:rPr>
          <w:lang w:val="fr-FR"/>
        </w:rPr>
        <w:t>:</w:t>
      </w:r>
      <w:r w:rsidRPr="007D4F79">
        <w:rPr>
          <w:lang w:val="fr-FR"/>
        </w:rPr>
        <w:tab/>
        <w:t>Télécommunications/TIC pour les zones rurales et isolées</w:t>
      </w:r>
    </w:p>
    <w:p w14:paraId="5544A688" w14:textId="77777777" w:rsidR="00A335AD" w:rsidRPr="007D4F79" w:rsidRDefault="00A335AD" w:rsidP="00A335AD">
      <w:pPr>
        <w:pStyle w:val="enumlev1"/>
        <w:rPr>
          <w:lang w:val="fr-FR"/>
        </w:rPr>
      </w:pPr>
      <w:r w:rsidRPr="007D4F79">
        <w:rPr>
          <w:lang w:val="fr-FR"/>
        </w:rPr>
        <w:t>–</w:t>
      </w:r>
      <w:r w:rsidRPr="007D4F79">
        <w:rPr>
          <w:lang w:val="fr-FR"/>
        </w:rPr>
        <w:tab/>
      </w:r>
      <w:r w:rsidRPr="007D4F79">
        <w:rPr>
          <w:b/>
          <w:bCs/>
          <w:lang w:val="fr-FR"/>
        </w:rPr>
        <w:t>Question 6/1</w:t>
      </w:r>
      <w:r w:rsidRPr="007D4F79">
        <w:rPr>
          <w:lang w:val="fr-FR"/>
        </w:rPr>
        <w:t>:</w:t>
      </w:r>
      <w:r w:rsidRPr="007D4F79">
        <w:rPr>
          <w:lang w:val="fr-FR"/>
        </w:rPr>
        <w:tab/>
        <w:t>Information, protection et droits du consommateur</w:t>
      </w:r>
    </w:p>
    <w:p w14:paraId="45B59D8D" w14:textId="77777777" w:rsidR="00A335AD" w:rsidRPr="007D4F79" w:rsidRDefault="00A335AD" w:rsidP="00A335AD">
      <w:pPr>
        <w:pStyle w:val="enumlev1"/>
        <w:ind w:left="2608" w:hanging="2608"/>
        <w:rPr>
          <w:b/>
          <w:bCs/>
          <w:lang w:val="fr-FR"/>
        </w:rPr>
      </w:pPr>
      <w:r w:rsidRPr="007D4F79">
        <w:rPr>
          <w:lang w:val="fr-FR"/>
        </w:rPr>
        <w:t>–</w:t>
      </w:r>
      <w:r w:rsidRPr="007D4F79">
        <w:rPr>
          <w:lang w:val="fr-FR"/>
        </w:rPr>
        <w:tab/>
      </w:r>
      <w:r w:rsidRPr="007D4F79">
        <w:rPr>
          <w:b/>
          <w:bCs/>
          <w:lang w:val="fr-FR"/>
        </w:rPr>
        <w:t>Question 7/1</w:t>
      </w:r>
      <w:r w:rsidRPr="007D4F79">
        <w:rPr>
          <w:lang w:val="fr-FR"/>
        </w:rPr>
        <w:t>:</w:t>
      </w:r>
      <w:r w:rsidRPr="007D4F79">
        <w:rPr>
          <w:b/>
          <w:bCs/>
          <w:lang w:val="fr-FR"/>
        </w:rPr>
        <w:tab/>
      </w:r>
      <w:r w:rsidRPr="007D4F79">
        <w:rPr>
          <w:lang w:val="fr-FR"/>
        </w:rPr>
        <w:t>Accessibilité des télécommunications/TIC pour permettre des communications inclusives, en particulier pour les personnes handicapées</w:t>
      </w:r>
    </w:p>
    <w:p w14:paraId="636A0482" w14:textId="77777777" w:rsidR="00A335AD" w:rsidRPr="007D4F79" w:rsidRDefault="00A335AD" w:rsidP="00A335AD">
      <w:pPr>
        <w:pStyle w:val="Heading1"/>
        <w:rPr>
          <w:lang w:val="fr-FR"/>
        </w:rPr>
      </w:pPr>
      <w:bookmarkStart w:id="7" w:name="_Toc116542306"/>
      <w:r w:rsidRPr="007D4F79">
        <w:rPr>
          <w:lang w:val="fr-FR"/>
        </w:rPr>
        <w:t>Commission d'études 2</w:t>
      </w:r>
      <w:bookmarkEnd w:id="7"/>
    </w:p>
    <w:p w14:paraId="753BEAB5" w14:textId="77777777" w:rsidR="00A335AD" w:rsidRPr="007D4F79" w:rsidRDefault="00A335AD" w:rsidP="00A335AD">
      <w:pPr>
        <w:pStyle w:val="enumlev1"/>
        <w:rPr>
          <w:lang w:val="fr-FR"/>
        </w:rPr>
      </w:pPr>
      <w:r w:rsidRPr="007D4F79">
        <w:rPr>
          <w:lang w:val="fr-FR"/>
        </w:rPr>
        <w:t>–</w:t>
      </w:r>
      <w:r w:rsidRPr="007D4F79">
        <w:rPr>
          <w:lang w:val="fr-FR"/>
        </w:rPr>
        <w:tab/>
      </w:r>
      <w:r w:rsidRPr="007D4F79">
        <w:rPr>
          <w:b/>
          <w:bCs/>
          <w:lang w:val="fr-FR"/>
        </w:rPr>
        <w:t>Question 1/2</w:t>
      </w:r>
      <w:r w:rsidRPr="007D4F79">
        <w:rPr>
          <w:lang w:val="fr-FR"/>
        </w:rPr>
        <w:t>:</w:t>
      </w:r>
      <w:r w:rsidRPr="007D4F79">
        <w:rPr>
          <w:lang w:val="fr-FR"/>
        </w:rPr>
        <w:tab/>
        <w:t>Villes et communautés intelligentes et durables</w:t>
      </w:r>
    </w:p>
    <w:p w14:paraId="16A808C8" w14:textId="77777777" w:rsidR="00A335AD" w:rsidRPr="007D4F79" w:rsidRDefault="00A335AD" w:rsidP="00A335AD">
      <w:pPr>
        <w:pStyle w:val="enumlev1"/>
        <w:ind w:left="2608" w:hanging="2608"/>
        <w:rPr>
          <w:lang w:val="fr-FR"/>
        </w:rPr>
      </w:pPr>
      <w:r w:rsidRPr="007D4F79">
        <w:rPr>
          <w:lang w:val="fr-FR"/>
        </w:rPr>
        <w:t>–</w:t>
      </w:r>
      <w:r w:rsidRPr="007D4F79">
        <w:rPr>
          <w:lang w:val="fr-FR"/>
        </w:rPr>
        <w:tab/>
      </w:r>
      <w:r w:rsidRPr="007D4F79">
        <w:rPr>
          <w:b/>
          <w:bCs/>
          <w:lang w:val="fr-FR"/>
        </w:rPr>
        <w:t>Question 2/2</w:t>
      </w:r>
      <w:r w:rsidRPr="007D4F79">
        <w:rPr>
          <w:lang w:val="fr-FR"/>
        </w:rPr>
        <w:t>:</w:t>
      </w:r>
      <w:r w:rsidRPr="007D4F79">
        <w:rPr>
          <w:lang w:val="fr-FR"/>
        </w:rPr>
        <w:tab/>
        <w:t>Technologies de base pour les cyberservices et les cyberapplications, y compris la cybersanté et le cyberenseignement</w:t>
      </w:r>
    </w:p>
    <w:p w14:paraId="4765B134" w14:textId="77777777" w:rsidR="00A335AD" w:rsidRPr="007D4F79" w:rsidRDefault="00A335AD" w:rsidP="00A335AD">
      <w:pPr>
        <w:pStyle w:val="enumlev1"/>
        <w:ind w:left="2608" w:hanging="2608"/>
        <w:rPr>
          <w:lang w:val="fr-FR"/>
        </w:rPr>
      </w:pPr>
      <w:r w:rsidRPr="007D4F79">
        <w:rPr>
          <w:lang w:val="fr-FR"/>
        </w:rPr>
        <w:t>–</w:t>
      </w:r>
      <w:r w:rsidRPr="007D4F79">
        <w:rPr>
          <w:lang w:val="fr-FR"/>
        </w:rPr>
        <w:tab/>
      </w:r>
      <w:r w:rsidRPr="007D4F79">
        <w:rPr>
          <w:b/>
          <w:bCs/>
          <w:lang w:val="fr-FR"/>
        </w:rPr>
        <w:t>Question 3/2</w:t>
      </w:r>
      <w:r w:rsidRPr="007D4F79">
        <w:rPr>
          <w:lang w:val="fr-FR"/>
        </w:rPr>
        <w:t>:</w:t>
      </w:r>
      <w:r w:rsidRPr="007D4F79">
        <w:rPr>
          <w:lang w:val="fr-FR"/>
        </w:rPr>
        <w:tab/>
        <w:t>Sécurisation des réseaux d'information et de communication: bonnes pratiques pour créer une culture de la cybersécurité</w:t>
      </w:r>
    </w:p>
    <w:p w14:paraId="234BFBD9" w14:textId="77777777" w:rsidR="00A335AD" w:rsidRPr="007D4F79" w:rsidRDefault="00A335AD" w:rsidP="00A335AD">
      <w:pPr>
        <w:pStyle w:val="enumlev1"/>
        <w:ind w:left="2608" w:hanging="2608"/>
        <w:rPr>
          <w:lang w:val="fr-FR"/>
        </w:rPr>
      </w:pPr>
      <w:r w:rsidRPr="007D4F79">
        <w:rPr>
          <w:lang w:val="fr-FR"/>
        </w:rPr>
        <w:t>–</w:t>
      </w:r>
      <w:r w:rsidRPr="007D4F79">
        <w:rPr>
          <w:lang w:val="fr-FR"/>
        </w:rPr>
        <w:tab/>
      </w:r>
      <w:r w:rsidRPr="007D4F79">
        <w:rPr>
          <w:b/>
          <w:bCs/>
          <w:lang w:val="fr-FR"/>
        </w:rPr>
        <w:t>Question 4/2</w:t>
      </w:r>
      <w:r w:rsidRPr="007D4F79">
        <w:rPr>
          <w:lang w:val="fr-FR"/>
        </w:rPr>
        <w:t>:</w:t>
      </w:r>
      <w:r w:rsidRPr="007D4F79">
        <w:rPr>
          <w:b/>
          <w:bCs/>
          <w:lang w:val="fr-FR"/>
        </w:rPr>
        <w:tab/>
      </w:r>
      <w:r w:rsidRPr="007D4F79">
        <w:rPr>
          <w:lang w:val="fr-FR"/>
        </w:rPr>
        <w:t>Équipements de télécommunication/TIC: conformité et interopérabilité et lutte contre la contrefaçon et le vol de dispositifs mobiles</w:t>
      </w:r>
    </w:p>
    <w:p w14:paraId="35097326" w14:textId="77777777" w:rsidR="00A335AD" w:rsidRPr="007D4F79" w:rsidRDefault="00A335AD" w:rsidP="00A335AD">
      <w:pPr>
        <w:pStyle w:val="enumlev1"/>
        <w:ind w:left="2608" w:hanging="2608"/>
        <w:rPr>
          <w:lang w:val="fr-FR"/>
        </w:rPr>
      </w:pPr>
      <w:r w:rsidRPr="007D4F79">
        <w:rPr>
          <w:lang w:val="fr-FR"/>
        </w:rPr>
        <w:t>–</w:t>
      </w:r>
      <w:r w:rsidRPr="007D4F79">
        <w:rPr>
          <w:lang w:val="fr-FR"/>
        </w:rPr>
        <w:tab/>
      </w:r>
      <w:r w:rsidRPr="007D4F79">
        <w:rPr>
          <w:b/>
          <w:bCs/>
          <w:lang w:val="fr-FR"/>
        </w:rPr>
        <w:t>Question 5/2</w:t>
      </w:r>
      <w:r w:rsidRPr="007D4F79">
        <w:rPr>
          <w:lang w:val="fr-FR"/>
        </w:rPr>
        <w:t>:</w:t>
      </w:r>
      <w:r w:rsidRPr="007D4F79">
        <w:rPr>
          <w:lang w:val="fr-FR"/>
        </w:rPr>
        <w:tab/>
        <w:t>Adoption des télécommunications/TIC et amélioration des compétences numériques</w:t>
      </w:r>
    </w:p>
    <w:p w14:paraId="46933EF0" w14:textId="77777777" w:rsidR="00A335AD" w:rsidRPr="007D4F79" w:rsidRDefault="00A335AD" w:rsidP="00A335AD">
      <w:pPr>
        <w:pStyle w:val="enumlev1"/>
        <w:rPr>
          <w:lang w:val="fr-FR"/>
        </w:rPr>
      </w:pPr>
      <w:r w:rsidRPr="007D4F79">
        <w:rPr>
          <w:lang w:val="fr-FR"/>
        </w:rPr>
        <w:t>–</w:t>
      </w:r>
      <w:r w:rsidRPr="007D4F79">
        <w:rPr>
          <w:lang w:val="fr-FR"/>
        </w:rPr>
        <w:tab/>
      </w:r>
      <w:r w:rsidRPr="007D4F79">
        <w:rPr>
          <w:b/>
          <w:bCs/>
          <w:lang w:val="fr-FR"/>
        </w:rPr>
        <w:t>Question 6/2</w:t>
      </w:r>
      <w:r w:rsidRPr="007D4F79">
        <w:rPr>
          <w:lang w:val="fr-FR"/>
        </w:rPr>
        <w:t>:</w:t>
      </w:r>
      <w:r w:rsidRPr="007D4F79">
        <w:rPr>
          <w:b/>
          <w:bCs/>
          <w:lang w:val="fr-FR"/>
        </w:rPr>
        <w:tab/>
      </w:r>
      <w:r w:rsidRPr="007D4F79">
        <w:rPr>
          <w:lang w:val="fr-FR"/>
        </w:rPr>
        <w:t xml:space="preserve">Les </w:t>
      </w:r>
      <w:r w:rsidRPr="007D4F79">
        <w:rPr>
          <w:rFonts w:eastAsia="Batang"/>
          <w:lang w:val="fr-FR"/>
        </w:rPr>
        <w:t>TIC au service de</w:t>
      </w:r>
      <w:r w:rsidRPr="007D4F79">
        <w:rPr>
          <w:lang w:val="fr-FR"/>
        </w:rPr>
        <w:t xml:space="preserve"> l'environnement</w:t>
      </w:r>
    </w:p>
    <w:p w14:paraId="19E257A1" w14:textId="77777777" w:rsidR="00A335AD" w:rsidRPr="007D4F79" w:rsidRDefault="00A335AD" w:rsidP="00A335AD">
      <w:pPr>
        <w:pStyle w:val="enumlev1"/>
        <w:ind w:left="2608" w:hanging="2608"/>
        <w:rPr>
          <w:lang w:val="fr-FR"/>
        </w:rPr>
      </w:pPr>
      <w:r w:rsidRPr="007D4F79">
        <w:rPr>
          <w:lang w:val="fr-FR"/>
        </w:rPr>
        <w:t>–</w:t>
      </w:r>
      <w:r w:rsidRPr="007D4F79">
        <w:rPr>
          <w:lang w:val="fr-FR"/>
        </w:rPr>
        <w:tab/>
      </w:r>
      <w:r w:rsidRPr="007D4F79">
        <w:rPr>
          <w:b/>
          <w:bCs/>
          <w:lang w:val="fr-FR"/>
        </w:rPr>
        <w:t>Question 7/2</w:t>
      </w:r>
      <w:r w:rsidRPr="007D4F79">
        <w:rPr>
          <w:lang w:val="fr-FR"/>
        </w:rPr>
        <w:t>:</w:t>
      </w:r>
      <w:r w:rsidRPr="007D4F79">
        <w:rPr>
          <w:b/>
          <w:bCs/>
          <w:lang w:val="fr-FR"/>
        </w:rPr>
        <w:tab/>
      </w:r>
      <w:r w:rsidRPr="007D4F79">
        <w:rPr>
          <w:lang w:val="fr-FR"/>
        </w:rPr>
        <w:t>Stratégies et politiques concernant l'exposition des personnes aux champs électromagnétiques</w:t>
      </w:r>
    </w:p>
    <w:p w14:paraId="1B48782F" w14:textId="77777777" w:rsidR="00A335AD" w:rsidRPr="007D4F79" w:rsidRDefault="00A335AD" w:rsidP="00A335AD">
      <w:pPr>
        <w:tabs>
          <w:tab w:val="clear" w:pos="1134"/>
          <w:tab w:val="clear" w:pos="1871"/>
          <w:tab w:val="clear" w:pos="2268"/>
        </w:tabs>
        <w:overflowPunct/>
        <w:autoSpaceDE/>
        <w:autoSpaceDN/>
        <w:adjustRightInd/>
        <w:spacing w:before="0"/>
        <w:textAlignment w:val="auto"/>
        <w:rPr>
          <w:lang w:val="fr-FR"/>
        </w:rPr>
      </w:pPr>
      <w:r w:rsidRPr="007D4F79">
        <w:rPr>
          <w:lang w:val="fr-FR"/>
        </w:rPr>
        <w:br w:type="page"/>
      </w:r>
    </w:p>
    <w:p w14:paraId="46375B7F" w14:textId="77777777" w:rsidR="00A335AD" w:rsidRPr="007D4F79" w:rsidRDefault="00A335AD" w:rsidP="00A335AD">
      <w:pPr>
        <w:pStyle w:val="AnnexNo"/>
        <w:rPr>
          <w:lang w:val="fr-FR"/>
        </w:rPr>
      </w:pPr>
      <w:r w:rsidRPr="007D4F79">
        <w:rPr>
          <w:lang w:val="fr-FR"/>
        </w:rPr>
        <w:lastRenderedPageBreak/>
        <w:t>Annexe 3 de la Résolution 2 (R</w:t>
      </w:r>
      <w:r w:rsidRPr="007D4F79">
        <w:rPr>
          <w:caps w:val="0"/>
          <w:lang w:val="fr-FR"/>
        </w:rPr>
        <w:t>év</w:t>
      </w:r>
      <w:r w:rsidRPr="007D4F79">
        <w:rPr>
          <w:lang w:val="fr-FR"/>
        </w:rPr>
        <w:t>.</w:t>
      </w:r>
      <w:r w:rsidRPr="007D4F79">
        <w:rPr>
          <w:caps w:val="0"/>
          <w:lang w:val="fr-FR"/>
        </w:rPr>
        <w:t xml:space="preserve"> Kigali, 2022</w:t>
      </w:r>
      <w:r w:rsidRPr="007D4F79">
        <w:rPr>
          <w:lang w:val="fr-FR"/>
        </w:rPr>
        <w:t>)</w:t>
      </w:r>
    </w:p>
    <w:p w14:paraId="54BDE85C" w14:textId="77777777" w:rsidR="00A335AD" w:rsidRPr="007D4F79" w:rsidRDefault="00A335AD" w:rsidP="00A335AD">
      <w:pPr>
        <w:pStyle w:val="Annextitle"/>
        <w:rPr>
          <w:rFonts w:eastAsia="SimHei"/>
          <w:lang w:val="fr-FR"/>
        </w:rPr>
      </w:pPr>
      <w:bookmarkStart w:id="8" w:name="_Toc116542307"/>
      <w:r w:rsidRPr="007D4F79">
        <w:rPr>
          <w:rFonts w:eastAsia="SimHei"/>
          <w:lang w:val="fr-FR"/>
        </w:rPr>
        <w:t>Liste des présidents et vice-présidents</w:t>
      </w:r>
      <w:bookmarkEnd w:id="8"/>
    </w:p>
    <w:tbl>
      <w:tblPr>
        <w:tblStyle w:val="TableGrid2"/>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6800"/>
      </w:tblGrid>
      <w:tr w:rsidR="00A335AD" w:rsidRPr="006D4DB9" w14:paraId="3CC3C1BD" w14:textId="77777777" w:rsidTr="00A66BB0">
        <w:tc>
          <w:tcPr>
            <w:tcW w:w="9629" w:type="dxa"/>
            <w:gridSpan w:val="2"/>
          </w:tcPr>
          <w:p w14:paraId="1487E75E" w14:textId="77777777" w:rsidR="00A335AD" w:rsidRPr="006D4DB9" w:rsidRDefault="00A335AD" w:rsidP="00A66BB0">
            <w:pPr>
              <w:pStyle w:val="Tabletext"/>
              <w:rPr>
                <w:sz w:val="22"/>
              </w:rPr>
            </w:pPr>
            <w:r w:rsidRPr="006D4DB9">
              <w:rPr>
                <w:b/>
                <w:bCs/>
                <w:sz w:val="22"/>
              </w:rPr>
              <w:t>Commission d'études 1</w:t>
            </w:r>
          </w:p>
        </w:tc>
      </w:tr>
      <w:tr w:rsidR="00A335AD" w:rsidRPr="00646EC3" w14:paraId="0C279636" w14:textId="77777777" w:rsidTr="00A66BB0">
        <w:tc>
          <w:tcPr>
            <w:tcW w:w="2835" w:type="dxa"/>
          </w:tcPr>
          <w:p w14:paraId="3CEC392A" w14:textId="77777777" w:rsidR="00A335AD" w:rsidRPr="006D4DB9" w:rsidRDefault="00A335AD" w:rsidP="00A66BB0">
            <w:pPr>
              <w:pStyle w:val="Tabletext"/>
              <w:rPr>
                <w:b/>
                <w:bCs/>
                <w:sz w:val="22"/>
              </w:rPr>
            </w:pPr>
            <w:r w:rsidRPr="006D4DB9">
              <w:rPr>
                <w:b/>
                <w:bCs/>
                <w:sz w:val="22"/>
              </w:rPr>
              <w:t xml:space="preserve">Présidente: </w:t>
            </w:r>
          </w:p>
        </w:tc>
        <w:tc>
          <w:tcPr>
            <w:tcW w:w="6794" w:type="dxa"/>
          </w:tcPr>
          <w:p w14:paraId="4D59E15D" w14:textId="77777777" w:rsidR="00A335AD" w:rsidRPr="006D4DB9" w:rsidRDefault="00A335AD" w:rsidP="00A66BB0">
            <w:pPr>
              <w:pStyle w:val="Tabletext"/>
              <w:rPr>
                <w:sz w:val="22"/>
              </w:rPr>
            </w:pPr>
            <w:r w:rsidRPr="006D4DB9">
              <w:rPr>
                <w:sz w:val="22"/>
              </w:rPr>
              <w:t>Mme Regina Fleur Assoumou Bessou (Côte d'Ivoire)</w:t>
            </w:r>
          </w:p>
        </w:tc>
      </w:tr>
      <w:tr w:rsidR="00A335AD" w:rsidRPr="006D4DB9" w14:paraId="3C6A58A9" w14:textId="77777777" w:rsidTr="00A66BB0">
        <w:trPr>
          <w:trHeight w:val="3689"/>
        </w:trPr>
        <w:tc>
          <w:tcPr>
            <w:tcW w:w="2835" w:type="dxa"/>
          </w:tcPr>
          <w:p w14:paraId="65BA5EE5" w14:textId="77777777" w:rsidR="00A335AD" w:rsidRPr="006D4DB9" w:rsidRDefault="00A335AD" w:rsidP="00A66BB0">
            <w:pPr>
              <w:pStyle w:val="Tabletext"/>
              <w:rPr>
                <w:b/>
                <w:bCs/>
                <w:sz w:val="22"/>
              </w:rPr>
            </w:pPr>
            <w:r w:rsidRPr="006D4DB9">
              <w:rPr>
                <w:b/>
                <w:bCs/>
                <w:sz w:val="22"/>
              </w:rPr>
              <w:t>Vice-présidents:</w:t>
            </w:r>
          </w:p>
        </w:tc>
        <w:tc>
          <w:tcPr>
            <w:tcW w:w="6794" w:type="dxa"/>
          </w:tcPr>
          <w:p w14:paraId="39D769C2" w14:textId="77777777" w:rsidR="00A335AD" w:rsidRPr="006D4DB9" w:rsidRDefault="00A335AD" w:rsidP="00A66BB0">
            <w:pPr>
              <w:pStyle w:val="Tabletext"/>
              <w:rPr>
                <w:sz w:val="22"/>
              </w:rPr>
            </w:pPr>
            <w:r w:rsidRPr="006D4DB9">
              <w:rPr>
                <w:sz w:val="22"/>
              </w:rPr>
              <w:t>M. Sangwon Ko (République de Corée)</w:t>
            </w:r>
          </w:p>
          <w:p w14:paraId="180106E7" w14:textId="77777777" w:rsidR="00A335AD" w:rsidRPr="006D4DB9" w:rsidRDefault="00A335AD" w:rsidP="00A66BB0">
            <w:pPr>
              <w:pStyle w:val="Tabletext"/>
              <w:rPr>
                <w:sz w:val="22"/>
              </w:rPr>
            </w:pPr>
            <w:r w:rsidRPr="006D4DB9">
              <w:rPr>
                <w:sz w:val="22"/>
              </w:rPr>
              <w:t>Mme Memiko Otsuki (Japon)</w:t>
            </w:r>
          </w:p>
          <w:p w14:paraId="7A729412" w14:textId="77777777" w:rsidR="00A335AD" w:rsidRPr="006D4DB9" w:rsidRDefault="00A335AD" w:rsidP="00A66BB0">
            <w:pPr>
              <w:pStyle w:val="Tabletext"/>
              <w:rPr>
                <w:sz w:val="22"/>
              </w:rPr>
            </w:pPr>
            <w:r w:rsidRPr="006D4DB9">
              <w:rPr>
                <w:sz w:val="22"/>
              </w:rPr>
              <w:t>M. Sunil Singhal (Inde)</w:t>
            </w:r>
          </w:p>
          <w:p w14:paraId="18A773AC" w14:textId="77777777" w:rsidR="00A335AD" w:rsidRPr="006D4DB9" w:rsidRDefault="00A335AD" w:rsidP="00A66BB0">
            <w:pPr>
              <w:pStyle w:val="Tabletext"/>
              <w:rPr>
                <w:sz w:val="22"/>
                <w:lang w:val="en-GB"/>
              </w:rPr>
            </w:pPr>
            <w:r w:rsidRPr="006D4DB9">
              <w:rPr>
                <w:sz w:val="22"/>
                <w:lang w:val="en-GB"/>
              </w:rPr>
              <w:t>Mme Caecilia Nyamutswa (Zimbabwe)</w:t>
            </w:r>
          </w:p>
          <w:p w14:paraId="6B0D4E25" w14:textId="77777777" w:rsidR="00A335AD" w:rsidRPr="006D4DB9" w:rsidRDefault="00A335AD" w:rsidP="00A66BB0">
            <w:pPr>
              <w:pStyle w:val="Tabletext"/>
              <w:rPr>
                <w:sz w:val="22"/>
                <w:lang w:val="en-GB"/>
              </w:rPr>
            </w:pPr>
            <w:r w:rsidRPr="006D4DB9">
              <w:rPr>
                <w:sz w:val="22"/>
                <w:lang w:val="en-GB"/>
              </w:rPr>
              <w:t>M. Amah Vinyo Capo (Togo)</w:t>
            </w:r>
          </w:p>
          <w:p w14:paraId="787BD846" w14:textId="77777777" w:rsidR="00A335AD" w:rsidRPr="006D4DB9" w:rsidRDefault="00A335AD" w:rsidP="00A66BB0">
            <w:pPr>
              <w:pStyle w:val="Tabletext"/>
              <w:rPr>
                <w:sz w:val="22"/>
                <w:lang w:val="en-GB"/>
              </w:rPr>
            </w:pPr>
            <w:r w:rsidRPr="006D4DB9">
              <w:rPr>
                <w:sz w:val="22"/>
                <w:lang w:val="en-GB"/>
              </w:rPr>
              <w:t>M. Roberto Mitsuake Hirayama (Brésil)</w:t>
            </w:r>
          </w:p>
          <w:p w14:paraId="4224F8EE" w14:textId="77777777" w:rsidR="00A335AD" w:rsidRPr="006D4DB9" w:rsidRDefault="00A335AD" w:rsidP="00A66BB0">
            <w:pPr>
              <w:pStyle w:val="Tabletext"/>
              <w:rPr>
                <w:sz w:val="22"/>
                <w:lang w:val="en-GB"/>
              </w:rPr>
            </w:pPr>
            <w:r w:rsidRPr="006D4DB9">
              <w:rPr>
                <w:sz w:val="22"/>
                <w:lang w:val="en-GB"/>
              </w:rPr>
              <w:t>M. Mehmet Alper Tekin (Türkiye)</w:t>
            </w:r>
          </w:p>
          <w:p w14:paraId="1F6E93E9" w14:textId="77777777" w:rsidR="00A335AD" w:rsidRPr="006D4DB9" w:rsidRDefault="00A335AD" w:rsidP="00A66BB0">
            <w:pPr>
              <w:pStyle w:val="Tabletext"/>
              <w:rPr>
                <w:sz w:val="22"/>
              </w:rPr>
            </w:pPr>
            <w:r w:rsidRPr="006D4DB9">
              <w:rPr>
                <w:sz w:val="22"/>
              </w:rPr>
              <w:t>M. Anthony Giannoumis (Norvège)</w:t>
            </w:r>
          </w:p>
          <w:p w14:paraId="702D1620" w14:textId="77777777" w:rsidR="00A335AD" w:rsidRPr="006D4DB9" w:rsidRDefault="00A335AD" w:rsidP="00A66BB0">
            <w:pPr>
              <w:pStyle w:val="Tabletext"/>
              <w:rPr>
                <w:sz w:val="22"/>
              </w:rPr>
            </w:pPr>
            <w:r w:rsidRPr="006D4DB9">
              <w:rPr>
                <w:sz w:val="22"/>
              </w:rPr>
              <w:t>Mme Umida Musaeva (Ouzbékistan)</w:t>
            </w:r>
          </w:p>
          <w:p w14:paraId="0CB6CA94" w14:textId="77777777" w:rsidR="00A335AD" w:rsidRPr="006D4DB9" w:rsidRDefault="00A335AD" w:rsidP="00A66BB0">
            <w:pPr>
              <w:pStyle w:val="Tabletext"/>
              <w:rPr>
                <w:sz w:val="22"/>
                <w:lang w:val="es-ES_tradnl"/>
              </w:rPr>
            </w:pPr>
            <w:r w:rsidRPr="006D4DB9">
              <w:rPr>
                <w:sz w:val="22"/>
                <w:lang w:val="es-ES_tradnl"/>
              </w:rPr>
              <w:t>M. Khayala Pashazade (Azerbaïdjan)</w:t>
            </w:r>
          </w:p>
          <w:p w14:paraId="5B865A78" w14:textId="77777777" w:rsidR="00A335AD" w:rsidRPr="006D4DB9" w:rsidRDefault="00A335AD" w:rsidP="00A66BB0">
            <w:pPr>
              <w:pStyle w:val="Tabletext"/>
              <w:rPr>
                <w:sz w:val="22"/>
                <w:lang w:val="es-ES_tradnl"/>
              </w:rPr>
            </w:pPr>
            <w:r w:rsidRPr="006D4DB9">
              <w:rPr>
                <w:sz w:val="22"/>
                <w:lang w:val="es-ES_tradnl"/>
              </w:rPr>
              <w:t>Mme Sameera Belal Momen Mohammad (Koweït)</w:t>
            </w:r>
          </w:p>
          <w:p w14:paraId="4C498B1B" w14:textId="77777777" w:rsidR="00A335AD" w:rsidRPr="006D4DB9" w:rsidRDefault="00A335AD" w:rsidP="00A66BB0">
            <w:pPr>
              <w:pStyle w:val="Tabletext"/>
              <w:rPr>
                <w:sz w:val="22"/>
                <w:lang w:val="es-ES_tradnl"/>
              </w:rPr>
            </w:pPr>
          </w:p>
        </w:tc>
      </w:tr>
      <w:tr w:rsidR="00A335AD" w:rsidRPr="006D4DB9" w14:paraId="3B83F2B4" w14:textId="77777777" w:rsidTr="00A66BB0">
        <w:tc>
          <w:tcPr>
            <w:tcW w:w="9629" w:type="dxa"/>
            <w:gridSpan w:val="2"/>
          </w:tcPr>
          <w:p w14:paraId="56D81AAB" w14:textId="77777777" w:rsidR="00A335AD" w:rsidRPr="006D4DB9" w:rsidRDefault="00A335AD" w:rsidP="00A66BB0">
            <w:pPr>
              <w:pStyle w:val="Tabletext"/>
              <w:rPr>
                <w:sz w:val="22"/>
              </w:rPr>
            </w:pPr>
            <w:r w:rsidRPr="006D4DB9">
              <w:rPr>
                <w:b/>
                <w:bCs/>
                <w:sz w:val="22"/>
              </w:rPr>
              <w:t xml:space="preserve">Commission d'études </w:t>
            </w:r>
            <w:r w:rsidRPr="006D4DB9">
              <w:rPr>
                <w:b/>
                <w:bCs/>
                <w:sz w:val="22"/>
                <w:lang w:val="fr-CH"/>
              </w:rPr>
              <w:t>2</w:t>
            </w:r>
          </w:p>
        </w:tc>
      </w:tr>
      <w:tr w:rsidR="00A335AD" w:rsidRPr="006D4DB9" w14:paraId="3CAF39A8" w14:textId="77777777" w:rsidTr="00A66BB0">
        <w:tc>
          <w:tcPr>
            <w:tcW w:w="2835" w:type="dxa"/>
          </w:tcPr>
          <w:p w14:paraId="5002C266" w14:textId="77777777" w:rsidR="00A335AD" w:rsidRPr="006D4DB9" w:rsidRDefault="00A335AD" w:rsidP="00A66BB0">
            <w:pPr>
              <w:pStyle w:val="Tabletext"/>
              <w:rPr>
                <w:b/>
                <w:bCs/>
                <w:sz w:val="22"/>
              </w:rPr>
            </w:pPr>
            <w:r w:rsidRPr="006D4DB9">
              <w:rPr>
                <w:b/>
                <w:bCs/>
                <w:sz w:val="22"/>
              </w:rPr>
              <w:t xml:space="preserve">Président: </w:t>
            </w:r>
          </w:p>
        </w:tc>
        <w:tc>
          <w:tcPr>
            <w:tcW w:w="6794" w:type="dxa"/>
          </w:tcPr>
          <w:p w14:paraId="14E8A92F" w14:textId="77777777" w:rsidR="00A335AD" w:rsidRPr="006D4DB9" w:rsidRDefault="00A335AD" w:rsidP="00A66BB0">
            <w:pPr>
              <w:pStyle w:val="Tabletext"/>
              <w:rPr>
                <w:sz w:val="22"/>
              </w:rPr>
            </w:pPr>
            <w:r w:rsidRPr="006D4DB9">
              <w:rPr>
                <w:sz w:val="22"/>
              </w:rPr>
              <w:t>M. Fadel Digham (Égypte)</w:t>
            </w:r>
          </w:p>
        </w:tc>
      </w:tr>
      <w:tr w:rsidR="00A335AD" w:rsidRPr="00646EC3" w14:paraId="3E8330D6" w14:textId="77777777" w:rsidTr="00A66BB0">
        <w:trPr>
          <w:trHeight w:val="3768"/>
        </w:trPr>
        <w:tc>
          <w:tcPr>
            <w:tcW w:w="2835" w:type="dxa"/>
          </w:tcPr>
          <w:p w14:paraId="2943A3BF" w14:textId="77777777" w:rsidR="00A335AD" w:rsidRPr="006D4DB9" w:rsidRDefault="00A335AD" w:rsidP="00A66BB0">
            <w:pPr>
              <w:pStyle w:val="Tabletext"/>
              <w:rPr>
                <w:b/>
                <w:bCs/>
                <w:sz w:val="22"/>
              </w:rPr>
            </w:pPr>
            <w:r w:rsidRPr="006D4DB9">
              <w:rPr>
                <w:b/>
                <w:bCs/>
                <w:sz w:val="22"/>
              </w:rPr>
              <w:t>Vice-présidents:</w:t>
            </w:r>
          </w:p>
        </w:tc>
        <w:tc>
          <w:tcPr>
            <w:tcW w:w="6794" w:type="dxa"/>
          </w:tcPr>
          <w:p w14:paraId="22ED9554" w14:textId="77777777" w:rsidR="00A335AD" w:rsidRPr="006D4DB9" w:rsidRDefault="00A335AD" w:rsidP="00A66BB0">
            <w:pPr>
              <w:pStyle w:val="Tabletext"/>
              <w:rPr>
                <w:sz w:val="22"/>
              </w:rPr>
            </w:pPr>
            <w:r w:rsidRPr="006D4DB9">
              <w:rPr>
                <w:sz w:val="22"/>
              </w:rPr>
              <w:t>M. Hideo Imanaka (Japon)</w:t>
            </w:r>
          </w:p>
          <w:p w14:paraId="0F86812C" w14:textId="77777777" w:rsidR="00A335AD" w:rsidRPr="006D4DB9" w:rsidRDefault="00A335AD" w:rsidP="00A66BB0">
            <w:pPr>
              <w:pStyle w:val="Tabletext"/>
              <w:rPr>
                <w:sz w:val="22"/>
              </w:rPr>
            </w:pPr>
            <w:r w:rsidRPr="006D4DB9">
              <w:rPr>
                <w:sz w:val="22"/>
              </w:rPr>
              <w:t>Mme Mina Seonmin Jun (République de Corée)</w:t>
            </w:r>
          </w:p>
          <w:p w14:paraId="36163DAA" w14:textId="77777777" w:rsidR="00A335AD" w:rsidRPr="006D4DB9" w:rsidRDefault="00A335AD" w:rsidP="00A66BB0">
            <w:pPr>
              <w:pStyle w:val="Tabletext"/>
              <w:rPr>
                <w:sz w:val="22"/>
              </w:rPr>
            </w:pPr>
            <w:r w:rsidRPr="006D4DB9">
              <w:rPr>
                <w:sz w:val="22"/>
              </w:rPr>
              <w:t>M. Tongning Wu (Chine)</w:t>
            </w:r>
          </w:p>
          <w:p w14:paraId="0E4883F1" w14:textId="77777777" w:rsidR="00A335AD" w:rsidRPr="006D4DB9" w:rsidRDefault="00A335AD" w:rsidP="00A66BB0">
            <w:pPr>
              <w:pStyle w:val="Tabletext"/>
              <w:rPr>
                <w:sz w:val="22"/>
              </w:rPr>
            </w:pPr>
            <w:r w:rsidRPr="006D4DB9">
              <w:rPr>
                <w:sz w:val="22"/>
              </w:rPr>
              <w:t>Mme Zainab Ardo (Nigéria)</w:t>
            </w:r>
          </w:p>
          <w:p w14:paraId="0EFA7E95" w14:textId="77777777" w:rsidR="00A335AD" w:rsidRPr="006D4DB9" w:rsidRDefault="00A335AD" w:rsidP="00A66BB0">
            <w:pPr>
              <w:pStyle w:val="Tabletext"/>
              <w:rPr>
                <w:sz w:val="22"/>
                <w:lang w:val="es-ES_tradnl"/>
              </w:rPr>
            </w:pPr>
            <w:r w:rsidRPr="006D4DB9">
              <w:rPr>
                <w:sz w:val="22"/>
                <w:lang w:val="es-ES_tradnl"/>
              </w:rPr>
              <w:t>M. Mohamed Lamine Minthe (Guinée)</w:t>
            </w:r>
          </w:p>
          <w:p w14:paraId="3AD6DF4A" w14:textId="77777777" w:rsidR="00A335AD" w:rsidRPr="006D4DB9" w:rsidRDefault="00A335AD" w:rsidP="00A66BB0">
            <w:pPr>
              <w:pStyle w:val="Tabletext"/>
              <w:rPr>
                <w:sz w:val="22"/>
                <w:lang w:val="es-ES_tradnl"/>
              </w:rPr>
            </w:pPr>
            <w:r w:rsidRPr="006D4DB9">
              <w:rPr>
                <w:sz w:val="22"/>
                <w:lang w:val="es-ES_tradnl"/>
              </w:rPr>
              <w:t>M. Víctor Antonio Martínez Sánchez (Paraguay)</w:t>
            </w:r>
          </w:p>
          <w:p w14:paraId="6040E675" w14:textId="77777777" w:rsidR="00A335AD" w:rsidRPr="006D4DB9" w:rsidRDefault="00A335AD" w:rsidP="00A66BB0">
            <w:pPr>
              <w:pStyle w:val="Tabletext"/>
              <w:rPr>
                <w:sz w:val="22"/>
              </w:rPr>
            </w:pPr>
            <w:r w:rsidRPr="006D4DB9">
              <w:rPr>
                <w:sz w:val="22"/>
              </w:rPr>
              <w:t>M. Dominique Würges (France)</w:t>
            </w:r>
          </w:p>
          <w:p w14:paraId="34D608C5" w14:textId="77777777" w:rsidR="00A335AD" w:rsidRPr="006D4DB9" w:rsidRDefault="00A335AD" w:rsidP="00A66BB0">
            <w:pPr>
              <w:pStyle w:val="Tabletext"/>
              <w:rPr>
                <w:sz w:val="22"/>
              </w:rPr>
            </w:pPr>
            <w:r w:rsidRPr="006D4DB9">
              <w:rPr>
                <w:sz w:val="22"/>
              </w:rPr>
              <w:t>Mme Alina Modan (Roumanie)</w:t>
            </w:r>
          </w:p>
          <w:p w14:paraId="121B477C" w14:textId="77777777" w:rsidR="00A335AD" w:rsidRPr="006D4DB9" w:rsidRDefault="00A335AD" w:rsidP="00A66BB0">
            <w:pPr>
              <w:pStyle w:val="Tabletext"/>
              <w:rPr>
                <w:sz w:val="22"/>
              </w:rPr>
            </w:pPr>
            <w:r w:rsidRPr="006D4DB9">
              <w:rPr>
                <w:sz w:val="22"/>
              </w:rPr>
              <w:t>M. Diyor Rajabov (Ouzbékistan)</w:t>
            </w:r>
          </w:p>
          <w:p w14:paraId="3B921253" w14:textId="77777777" w:rsidR="00A335AD" w:rsidRPr="006D4DB9" w:rsidRDefault="00A335AD" w:rsidP="00A66BB0">
            <w:pPr>
              <w:pStyle w:val="Tabletext"/>
              <w:rPr>
                <w:sz w:val="22"/>
              </w:rPr>
            </w:pPr>
            <w:r w:rsidRPr="006D4DB9">
              <w:rPr>
                <w:sz w:val="22"/>
              </w:rPr>
              <w:t>M. Mushvig Guluyev (Azerbaïdjan)</w:t>
            </w:r>
          </w:p>
          <w:p w14:paraId="6DD5CF6B" w14:textId="77777777" w:rsidR="00A335AD" w:rsidRPr="006D4DB9" w:rsidRDefault="00A335AD" w:rsidP="00A66BB0">
            <w:pPr>
              <w:pStyle w:val="Tabletext"/>
              <w:rPr>
                <w:sz w:val="22"/>
                <w:lang w:val="fr-CH"/>
              </w:rPr>
            </w:pPr>
            <w:r w:rsidRPr="006D4DB9">
              <w:rPr>
                <w:sz w:val="22"/>
              </w:rPr>
              <w:t>M. Abdelaziz Alzarooni (Émirats arabes unis)</w:t>
            </w:r>
          </w:p>
        </w:tc>
      </w:tr>
    </w:tbl>
    <w:p w14:paraId="43DD999A" w14:textId="77777777" w:rsidR="00F16487" w:rsidRDefault="00F16487"/>
    <w:sectPr w:rsidR="00F16487" w:rsidSect="00D16419">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A8B0" w14:textId="77777777" w:rsidR="00A335AD" w:rsidRDefault="00A335AD" w:rsidP="00A335AD">
      <w:pPr>
        <w:spacing w:before="0" w:after="0"/>
      </w:pPr>
      <w:r>
        <w:separator/>
      </w:r>
    </w:p>
  </w:endnote>
  <w:endnote w:type="continuationSeparator" w:id="0">
    <w:p w14:paraId="5DB648B0" w14:textId="77777777" w:rsidR="00A335AD" w:rsidRDefault="00A335AD" w:rsidP="00A33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D49C" w14:textId="77777777" w:rsidR="00A335AD" w:rsidRDefault="00A335AD" w:rsidP="00A335AD">
      <w:pPr>
        <w:spacing w:before="0" w:after="0"/>
      </w:pPr>
      <w:r>
        <w:separator/>
      </w:r>
    </w:p>
  </w:footnote>
  <w:footnote w:type="continuationSeparator" w:id="0">
    <w:p w14:paraId="2AD862D5" w14:textId="77777777" w:rsidR="00A335AD" w:rsidRDefault="00A335AD" w:rsidP="00A335AD">
      <w:pPr>
        <w:spacing w:before="0" w:after="0"/>
      </w:pPr>
      <w:r>
        <w:continuationSeparator/>
      </w:r>
    </w:p>
  </w:footnote>
  <w:footnote w:id="1">
    <w:p w14:paraId="62269310" w14:textId="77777777" w:rsidR="00A335AD" w:rsidRPr="004A5518" w:rsidRDefault="00A335AD" w:rsidP="00A335AD">
      <w:pPr>
        <w:pStyle w:val="FootnoteText"/>
        <w:rPr>
          <w:lang w:val="fr-CH"/>
        </w:rPr>
      </w:pPr>
      <w:r w:rsidRPr="003B7429">
        <w:rPr>
          <w:rStyle w:val="FootnoteReference"/>
          <w:lang w:val="fr-FR"/>
        </w:rPr>
        <w:t>1</w:t>
      </w:r>
      <w:r>
        <w:rPr>
          <w:lang w:val="fr-FR"/>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 w:id="2">
    <w:p w14:paraId="7CE4AB72" w14:textId="77777777" w:rsidR="00A335AD" w:rsidRPr="004A5518" w:rsidRDefault="00A335AD" w:rsidP="00A335AD">
      <w:pPr>
        <w:pStyle w:val="FootnoteText"/>
        <w:rPr>
          <w:lang w:val="fr-CH"/>
        </w:rPr>
      </w:pPr>
      <w:r w:rsidRPr="003B7429">
        <w:rPr>
          <w:rStyle w:val="FootnoteReference"/>
          <w:lang w:val="fr-FR"/>
        </w:rPr>
        <w:t>2</w:t>
      </w:r>
      <w:r>
        <w:rPr>
          <w:lang w:val="fr-FR"/>
        </w:rPr>
        <w:tab/>
      </w:r>
      <w:r w:rsidRPr="00354AD9">
        <w:rPr>
          <w:lang w:val="fr-FR"/>
        </w:rPr>
        <w:t xml:space="preserve">Une </w:t>
      </w:r>
      <w:hyperlink r:id="rId1" w:history="1">
        <w:r w:rsidRPr="00354AD9">
          <w:rPr>
            <w:rStyle w:val="Hyperlink"/>
            <w:lang w:val="fr-FR"/>
          </w:rPr>
          <w:t>connectivité efficace</w:t>
        </w:r>
      </w:hyperlink>
      <w:r w:rsidRPr="00354AD9">
        <w:rPr>
          <w:lang w:val="fr-FR"/>
        </w:rPr>
        <w:t xml:space="preserve"> est un niveau de connectivité qui permet aux utilisateurs d'accéder à une expérience en ligne sûre, satisfaisante, enrichissante et productive à un coût abordable.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9667317"/>
      <w:docPartObj>
        <w:docPartGallery w:val="Page Numbers (Top of Page)"/>
        <w:docPartUnique/>
      </w:docPartObj>
    </w:sdtPr>
    <w:sdtEndPr>
      <w:rPr>
        <w:noProof/>
      </w:rPr>
    </w:sdtEndPr>
    <w:sdtContent>
      <w:p w14:paraId="0E91EF2D" w14:textId="77777777" w:rsidR="00A335AD" w:rsidRPr="003B7429" w:rsidRDefault="00A335AD" w:rsidP="00A335AD">
        <w:pPr>
          <w:pStyle w:val="Header"/>
          <w:tabs>
            <w:tab w:val="left" w:pos="567"/>
            <w:tab w:val="left" w:pos="851"/>
          </w:tabs>
          <w:jc w:val="left"/>
          <w:rPr>
            <w:sz w:val="16"/>
            <w:szCs w:val="16"/>
            <w:lang w:val="fr-FR"/>
          </w:rPr>
        </w:pP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Pr>
            <w:sz w:val="16"/>
            <w:szCs w:val="16"/>
          </w:rPr>
          <w:t>62</w:t>
        </w:r>
        <w:r w:rsidRPr="00713E5A">
          <w:rPr>
            <w:noProof/>
            <w:sz w:val="16"/>
            <w:szCs w:val="16"/>
          </w:rPr>
          <w:fldChar w:fldCharType="end"/>
        </w:r>
        <w:r w:rsidRPr="003B7429">
          <w:rPr>
            <w:sz w:val="16"/>
            <w:szCs w:val="16"/>
            <w:lang w:val="fr-FR"/>
          </w:rPr>
          <w:tab/>
          <w:t>Rapport final de la CMDT-22 – Partie IV – Résolution 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6469100"/>
      <w:docPartObj>
        <w:docPartGallery w:val="Page Numbers (Top of Page)"/>
        <w:docPartUnique/>
      </w:docPartObj>
    </w:sdtPr>
    <w:sdtEndPr>
      <w:rPr>
        <w:noProof/>
      </w:rPr>
    </w:sdtEndPr>
    <w:sdtContent>
      <w:p w14:paraId="5B6422CB" w14:textId="77777777" w:rsidR="00A335AD" w:rsidRPr="003B7429" w:rsidRDefault="00A335AD" w:rsidP="00A335AD">
        <w:pPr>
          <w:pStyle w:val="Header"/>
          <w:tabs>
            <w:tab w:val="clear" w:pos="4513"/>
            <w:tab w:val="clear" w:pos="9026"/>
            <w:tab w:val="center" w:pos="3969"/>
            <w:tab w:val="right" w:pos="9639"/>
          </w:tabs>
          <w:jc w:val="right"/>
          <w:rPr>
            <w:sz w:val="16"/>
            <w:szCs w:val="16"/>
            <w:lang w:val="fr-FR"/>
          </w:rPr>
        </w:pPr>
        <w:r w:rsidRPr="003B7429">
          <w:rPr>
            <w:sz w:val="16"/>
            <w:szCs w:val="16"/>
            <w:lang w:val="fr-FR"/>
          </w:rPr>
          <w:t>Rapport final de la CMDT-22 – Partie IV – Résolution 2</w:t>
        </w:r>
        <w:r w:rsidRPr="003B7429">
          <w:rPr>
            <w:sz w:val="16"/>
            <w:szCs w:val="16"/>
            <w:lang w:val="fr-FR"/>
          </w:rPr>
          <w:tab/>
        </w:r>
        <w:r w:rsidRPr="00713E5A">
          <w:rPr>
            <w:sz w:val="16"/>
            <w:szCs w:val="16"/>
          </w:rPr>
          <w:fldChar w:fldCharType="begin"/>
        </w:r>
        <w:r w:rsidRPr="003B7429">
          <w:rPr>
            <w:sz w:val="16"/>
            <w:szCs w:val="16"/>
            <w:lang w:val="fr-FR"/>
          </w:rPr>
          <w:instrText xml:space="preserve"> PAGE   \* MERGEFORMAT </w:instrText>
        </w:r>
        <w:r w:rsidRPr="00713E5A">
          <w:rPr>
            <w:sz w:val="16"/>
            <w:szCs w:val="16"/>
          </w:rPr>
          <w:fldChar w:fldCharType="separate"/>
        </w:r>
        <w:r>
          <w:rPr>
            <w:sz w:val="16"/>
            <w:szCs w:val="16"/>
          </w:rPr>
          <w:t>63</w:t>
        </w:r>
        <w:r w:rsidRPr="00713E5A">
          <w:rPr>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AD"/>
    <w:rsid w:val="00400A99"/>
    <w:rsid w:val="0045258F"/>
    <w:rsid w:val="004A0B3D"/>
    <w:rsid w:val="0051703C"/>
    <w:rsid w:val="005C0E4B"/>
    <w:rsid w:val="007359FB"/>
    <w:rsid w:val="0076311C"/>
    <w:rsid w:val="008630CC"/>
    <w:rsid w:val="00950AD1"/>
    <w:rsid w:val="009E6BCE"/>
    <w:rsid w:val="00A335AD"/>
    <w:rsid w:val="00D16419"/>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4CE4"/>
  <w15:chartTrackingRefBased/>
  <w15:docId w15:val="{75B0E7C4-4AF4-4468-A8FB-C455975F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AD"/>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paragraph" w:styleId="Heading1">
    <w:name w:val="heading 1"/>
    <w:basedOn w:val="Normal"/>
    <w:next w:val="Normal"/>
    <w:link w:val="Heading1Char"/>
    <w:qFormat/>
    <w:rsid w:val="00A335AD"/>
    <w:pPr>
      <w:keepNext/>
      <w:keepLines/>
      <w:spacing w:before="280"/>
      <w:ind w:left="1134" w:hanging="1134"/>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5AD"/>
    <w:rPr>
      <w:rFonts w:eastAsia="Times New Roman" w:cs="Times New Roman"/>
      <w:b/>
      <w:sz w:val="28"/>
      <w:szCs w:val="20"/>
      <w:lang w:val="en-GB"/>
    </w:rPr>
  </w:style>
  <w:style w:type="paragraph" w:customStyle="1" w:styleId="AnnexNo">
    <w:name w:val="Annex_No"/>
    <w:basedOn w:val="Normal"/>
    <w:next w:val="Normal"/>
    <w:rsid w:val="00A335AD"/>
    <w:pPr>
      <w:keepNext/>
      <w:keepLines/>
      <w:spacing w:before="480" w:after="80"/>
      <w:jc w:val="center"/>
    </w:pPr>
    <w:rPr>
      <w:caps/>
      <w:sz w:val="28"/>
    </w:rPr>
  </w:style>
  <w:style w:type="paragraph" w:customStyle="1" w:styleId="Annextitle">
    <w:name w:val="Annex_title"/>
    <w:basedOn w:val="Normal"/>
    <w:next w:val="Normal"/>
    <w:rsid w:val="00A335AD"/>
    <w:pPr>
      <w:keepNext/>
      <w:keepLines/>
      <w:spacing w:before="240" w:after="280"/>
      <w:jc w:val="center"/>
      <w:outlineLvl w:val="0"/>
    </w:pPr>
    <w:rPr>
      <w:b/>
      <w:sz w:val="28"/>
    </w:rPr>
  </w:style>
  <w:style w:type="paragraph" w:customStyle="1" w:styleId="Call">
    <w:name w:val="Call"/>
    <w:basedOn w:val="Normal"/>
    <w:next w:val="Normal"/>
    <w:rsid w:val="00A335AD"/>
    <w:pPr>
      <w:keepNext/>
      <w:keepLines/>
      <w:spacing w:before="160"/>
      <w:ind w:left="1134"/>
    </w:pPr>
    <w:rPr>
      <w:i/>
    </w:rPr>
  </w:style>
  <w:style w:type="paragraph" w:customStyle="1" w:styleId="enumlev1">
    <w:name w:val="enumlev1"/>
    <w:basedOn w:val="Normal"/>
    <w:link w:val="enumlev1Char"/>
    <w:rsid w:val="00A335AD"/>
    <w:pPr>
      <w:tabs>
        <w:tab w:val="clear" w:pos="2268"/>
        <w:tab w:val="left" w:pos="2608"/>
        <w:tab w:val="left" w:pos="3345"/>
      </w:tabs>
      <w:spacing w:before="40"/>
      <w:ind w:left="1134" w:hanging="1134"/>
    </w:pPr>
  </w:style>
  <w:style w:type="character" w:styleId="FootnoteReference">
    <w:name w:val="footnote reference"/>
    <w:basedOn w:val="DefaultParagraphFont"/>
    <w:rsid w:val="00A335AD"/>
    <w:rPr>
      <w:rFonts w:asciiTheme="minorHAnsi" w:hAnsiTheme="minorHAnsi"/>
      <w:position w:val="6"/>
      <w:sz w:val="18"/>
    </w:rPr>
  </w:style>
  <w:style w:type="paragraph" w:styleId="FootnoteText">
    <w:name w:val="footnote text"/>
    <w:basedOn w:val="Normal"/>
    <w:link w:val="FootnoteTextChar"/>
    <w:rsid w:val="00A335AD"/>
    <w:pPr>
      <w:keepLines/>
      <w:tabs>
        <w:tab w:val="left" w:pos="255"/>
      </w:tabs>
    </w:pPr>
    <w:rPr>
      <w:sz w:val="22"/>
    </w:rPr>
  </w:style>
  <w:style w:type="character" w:customStyle="1" w:styleId="FootnoteTextChar">
    <w:name w:val="Footnote Text Char"/>
    <w:basedOn w:val="DefaultParagraphFont"/>
    <w:link w:val="FootnoteText"/>
    <w:rsid w:val="00A335AD"/>
    <w:rPr>
      <w:rFonts w:eastAsia="Times New Roman" w:cs="Times New Roman"/>
      <w:szCs w:val="20"/>
      <w:lang w:val="en-GB"/>
    </w:rPr>
  </w:style>
  <w:style w:type="paragraph" w:customStyle="1" w:styleId="Normalaftertitle">
    <w:name w:val="Normal after title"/>
    <w:basedOn w:val="Normal"/>
    <w:next w:val="Normal"/>
    <w:link w:val="NormalaftertitleChar"/>
    <w:rsid w:val="00A335AD"/>
    <w:pPr>
      <w:spacing w:before="280"/>
    </w:pPr>
  </w:style>
  <w:style w:type="paragraph" w:customStyle="1" w:styleId="Headingb">
    <w:name w:val="Heading_b"/>
    <w:basedOn w:val="Normal"/>
    <w:next w:val="Normal"/>
    <w:link w:val="HeadingbChar"/>
    <w:qFormat/>
    <w:rsid w:val="00A335AD"/>
    <w:pPr>
      <w:spacing w:before="360" w:after="240"/>
    </w:pPr>
    <w:rPr>
      <w:rFonts w:cs="Times New Roman Bold"/>
      <w:b/>
      <w:lang w:val="fr-CH"/>
    </w:rPr>
  </w:style>
  <w:style w:type="paragraph" w:customStyle="1" w:styleId="ResNo">
    <w:name w:val="Res_No"/>
    <w:basedOn w:val="Normal"/>
    <w:next w:val="Normal"/>
    <w:rsid w:val="00A335AD"/>
    <w:pPr>
      <w:keepNext/>
      <w:keepLines/>
      <w:spacing w:before="480"/>
      <w:jc w:val="center"/>
      <w:outlineLvl w:val="0"/>
    </w:pPr>
    <w:rPr>
      <w:caps/>
      <w:sz w:val="28"/>
    </w:rPr>
  </w:style>
  <w:style w:type="paragraph" w:customStyle="1" w:styleId="Restitle">
    <w:name w:val="Res_title"/>
    <w:basedOn w:val="Normal"/>
    <w:next w:val="Normal"/>
    <w:rsid w:val="00A335AD"/>
    <w:pPr>
      <w:keepNext/>
      <w:keepLines/>
      <w:spacing w:before="240"/>
      <w:jc w:val="center"/>
      <w:outlineLvl w:val="0"/>
    </w:pPr>
    <w:rPr>
      <w:b/>
      <w:sz w:val="28"/>
    </w:rPr>
  </w:style>
  <w:style w:type="character" w:styleId="Hyperlink">
    <w:name w:val="Hyperlink"/>
    <w:aliases w:val="CEO_Hyperlink,超级链接,超?级链,Style 58,超????,하이퍼링크2,超链接1,超?级链?,Style?,S,하이퍼링크21,ECC Hyperlink"/>
    <w:qFormat/>
    <w:rsid w:val="00A335AD"/>
    <w:rPr>
      <w:color w:val="0000FF"/>
      <w:u w:val="single"/>
    </w:rPr>
  </w:style>
  <w:style w:type="character" w:customStyle="1" w:styleId="NormalaftertitleChar">
    <w:name w:val="Normal after title Char"/>
    <w:basedOn w:val="DefaultParagraphFont"/>
    <w:link w:val="Normalaftertitle"/>
    <w:locked/>
    <w:rsid w:val="00A335AD"/>
    <w:rPr>
      <w:rFonts w:eastAsia="Times New Roman" w:cs="Times New Roman"/>
      <w:sz w:val="24"/>
      <w:szCs w:val="20"/>
      <w:lang w:val="en-GB"/>
    </w:rPr>
  </w:style>
  <w:style w:type="character" w:customStyle="1" w:styleId="enumlev1Char">
    <w:name w:val="enumlev1 Char"/>
    <w:link w:val="enumlev1"/>
    <w:qFormat/>
    <w:locked/>
    <w:rsid w:val="00A335AD"/>
    <w:rPr>
      <w:rFonts w:eastAsia="Times New Roman" w:cs="Times New Roman"/>
      <w:sz w:val="24"/>
      <w:szCs w:val="20"/>
      <w:lang w:val="en-GB"/>
    </w:rPr>
  </w:style>
  <w:style w:type="paragraph" w:customStyle="1" w:styleId="Tabletext">
    <w:name w:val="Table text"/>
    <w:basedOn w:val="Normal"/>
    <w:rsid w:val="00A335AD"/>
    <w:rPr>
      <w:rFonts w:eastAsia="SimSun"/>
      <w:lang w:val="fr-FR"/>
    </w:rPr>
  </w:style>
  <w:style w:type="table" w:customStyle="1" w:styleId="TableGrid2">
    <w:name w:val="Table Grid2"/>
    <w:basedOn w:val="TableNormal"/>
    <w:next w:val="TableGrid"/>
    <w:uiPriority w:val="39"/>
    <w:rsid w:val="00A335AD"/>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A335AD"/>
    <w:rPr>
      <w:rFonts w:eastAsia="Times New Roman" w:cs="Times New Roman Bold"/>
      <w:b/>
      <w:sz w:val="24"/>
      <w:szCs w:val="20"/>
      <w:lang w:val="fr-CH"/>
    </w:rPr>
  </w:style>
  <w:style w:type="table" w:styleId="TableGrid">
    <w:name w:val="Table Grid"/>
    <w:basedOn w:val="TableNormal"/>
    <w:uiPriority w:val="39"/>
    <w:rsid w:val="00A33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5AD"/>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A335AD"/>
    <w:rPr>
      <w:rFonts w:eastAsia="Times New Roman" w:cs="Times New Roman"/>
      <w:sz w:val="24"/>
      <w:szCs w:val="20"/>
      <w:lang w:val="en-GB"/>
    </w:rPr>
  </w:style>
  <w:style w:type="paragraph" w:styleId="Footer">
    <w:name w:val="footer"/>
    <w:basedOn w:val="Normal"/>
    <w:link w:val="FooterChar"/>
    <w:uiPriority w:val="99"/>
    <w:unhideWhenUsed/>
    <w:rsid w:val="00A335AD"/>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A335AD"/>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itu-d/meetings/statistics/wp-content/uploads/sites/8/2022/04/UniversalMeaningfulDigitalConnectivityTargets2030_Background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1372</Words>
  <Characters>7552</Characters>
  <Application>Microsoft Office Word</Application>
  <DocSecurity>0</DocSecurity>
  <Lines>62</Lines>
  <Paragraphs>17</Paragraphs>
  <ScaleCrop>false</ScaleCrop>
  <Company>ITU</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2</cp:revision>
  <dcterms:created xsi:type="dcterms:W3CDTF">2023-10-16T09:44:00Z</dcterms:created>
  <dcterms:modified xsi:type="dcterms:W3CDTF">2023-10-16T11:44:00Z</dcterms:modified>
</cp:coreProperties>
</file>