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92742" w14:textId="77777777" w:rsidR="00A13F26" w:rsidRPr="007D4F79" w:rsidRDefault="00A13F26" w:rsidP="00A13F26">
      <w:pPr>
        <w:pStyle w:val="RecNo"/>
        <w:rPr>
          <w:rFonts w:cstheme="minorHAnsi"/>
          <w:lang w:val="fr-FR"/>
        </w:rPr>
      </w:pPr>
      <w:bookmarkStart w:id="0" w:name="_Toc116542462"/>
      <w:r w:rsidRPr="007D4F79">
        <w:rPr>
          <w:rFonts w:cstheme="minorHAnsi"/>
          <w:lang w:val="fr-FR"/>
        </w:rPr>
        <w:t xml:space="preserve">RECOMMANDATION UIT-D </w:t>
      </w:r>
      <w:r w:rsidRPr="007D4F79">
        <w:rPr>
          <w:rStyle w:val="href"/>
          <w:lang w:val="fr-FR"/>
        </w:rPr>
        <w:t>22</w:t>
      </w:r>
      <w:bookmarkEnd w:id="0"/>
    </w:p>
    <w:p w14:paraId="4A63E871" w14:textId="77777777" w:rsidR="00A13F26" w:rsidRPr="007D4F79" w:rsidRDefault="00A13F26" w:rsidP="00A13F26">
      <w:pPr>
        <w:pStyle w:val="Rectitle"/>
        <w:rPr>
          <w:rFonts w:cstheme="minorHAnsi"/>
          <w:lang w:val="fr-FR"/>
        </w:rPr>
      </w:pPr>
      <w:bookmarkStart w:id="1" w:name="_Toc116542463"/>
      <w:r w:rsidRPr="007D4F79">
        <w:rPr>
          <w:rFonts w:cstheme="minorHAnsi"/>
          <w:lang w:val="fr-FR"/>
        </w:rPr>
        <w:t xml:space="preserve">Réduire l'écart en matière de normalisation en association avec </w:t>
      </w:r>
      <w:r w:rsidRPr="007D4F79">
        <w:rPr>
          <w:rFonts w:cstheme="minorHAnsi"/>
          <w:lang w:val="fr-FR"/>
        </w:rPr>
        <w:br/>
        <w:t>les groupes régionaux des commissions d'études</w:t>
      </w:r>
      <w:bookmarkEnd w:id="1"/>
    </w:p>
    <w:p w14:paraId="75D90C3E" w14:textId="77777777" w:rsidR="00A13F26" w:rsidRPr="007D4F79" w:rsidRDefault="00A13F26" w:rsidP="00A13F26">
      <w:pPr>
        <w:pStyle w:val="Normalaftertitle"/>
        <w:rPr>
          <w:rFonts w:cstheme="minorHAnsi"/>
          <w:lang w:val="fr-FR"/>
        </w:rPr>
      </w:pPr>
      <w:r w:rsidRPr="007D4F79">
        <w:rPr>
          <w:rFonts w:cstheme="minorHAnsi"/>
          <w:lang w:val="fr-FR"/>
        </w:rPr>
        <w:t>La Conférence mondiale de développement des télécommunications (Dubaï, 2014),</w:t>
      </w:r>
    </w:p>
    <w:p w14:paraId="22B79485" w14:textId="77777777" w:rsidR="00A13F26" w:rsidRPr="007D4F79" w:rsidRDefault="00A13F26" w:rsidP="00A13F26">
      <w:pPr>
        <w:pStyle w:val="Call"/>
        <w:rPr>
          <w:rFonts w:cstheme="minorHAnsi"/>
          <w:lang w:val="fr-FR"/>
        </w:rPr>
      </w:pPr>
      <w:r w:rsidRPr="007D4F79">
        <w:rPr>
          <w:rFonts w:cstheme="minorHAnsi"/>
          <w:lang w:val="fr-FR"/>
        </w:rPr>
        <w:t>considérant</w:t>
      </w:r>
    </w:p>
    <w:p w14:paraId="77C97EAA" w14:textId="77777777" w:rsidR="00A13F26" w:rsidRPr="007D4F79" w:rsidRDefault="00A13F26" w:rsidP="00A13F26">
      <w:pPr>
        <w:rPr>
          <w:lang w:val="fr-FR"/>
        </w:rPr>
      </w:pPr>
      <w:r w:rsidRPr="007D4F79">
        <w:rPr>
          <w:i/>
          <w:iCs/>
          <w:lang w:val="fr-FR"/>
        </w:rPr>
        <w:t>a)</w:t>
      </w:r>
      <w:r w:rsidRPr="007D4F79">
        <w:rPr>
          <w:lang w:val="fr-FR"/>
        </w:rPr>
        <w:tab/>
        <w:t>que dans sa Résolution 123 (Rév. Guadalajara, 2010), relative à la réduction de l'écart en matière de normalisation entre pays en développement et pays développés, la Conférence de plénipotentiaires a chargé le Secrétaire général et les Directeurs des trois Bureaux d'œuvrer en étroite coopération à la mise en œuvre d'initiatives permettant de réduire l'écart en matière de normalisation entre pays en développement et pays développés ainsi qu'au suivi et à la mise en œuvre du dispositif de cette Résolution, en assurant à cet égard une coordination au niveau régional, par l'intermédiaire des bureaux régionaux et des organisations régionales;</w:t>
      </w:r>
    </w:p>
    <w:p w14:paraId="080D437C" w14:textId="77777777" w:rsidR="00A13F26" w:rsidRPr="007D4F79" w:rsidRDefault="00A13F26" w:rsidP="00A13F26">
      <w:pPr>
        <w:rPr>
          <w:lang w:val="fr-FR"/>
        </w:rPr>
      </w:pPr>
      <w:r w:rsidRPr="007D4F79">
        <w:rPr>
          <w:i/>
          <w:iCs/>
          <w:lang w:val="fr-FR"/>
        </w:rPr>
        <w:t>b)</w:t>
      </w:r>
      <w:r w:rsidRPr="007D4F79">
        <w:rPr>
          <w:lang w:val="fr-FR"/>
        </w:rPr>
        <w:tab/>
        <w:t>que dans sa Résolution 44 (Rév. Dubaï, 2012) relative à la réduction de l'écart en matière de normalisation, l'Assemblée mondiale de normalisation des télécommunications (AMNT) a chargé le Directeur du Bureau de la normalisation des télécommunications (TSB), en collaboration avec le Directeur du Bureau de développement des télécommunications (BDT) et le Directeur du Bureau des radiocommunications (BR), dans la limite des ressources disponibles, de fournir l'appui nécessaire à la mobilisation régionale en matière de normalisation et d'organiser des ateliers et des séminaires, selon qu'il conviendra, pour diffuser des informations et améliorer la compréhension des nouvelles Recommandations, en particulier pour les pays en développement;</w:t>
      </w:r>
    </w:p>
    <w:p w14:paraId="7FE2AC1B" w14:textId="77777777" w:rsidR="00A13F26" w:rsidRPr="007D4F79" w:rsidRDefault="00A13F26" w:rsidP="00A13F26">
      <w:pPr>
        <w:rPr>
          <w:lang w:val="fr-FR"/>
        </w:rPr>
      </w:pPr>
      <w:r w:rsidRPr="007D4F79">
        <w:rPr>
          <w:i/>
          <w:iCs/>
          <w:lang w:val="fr-FR"/>
        </w:rPr>
        <w:t>c)</w:t>
      </w:r>
      <w:r w:rsidRPr="007D4F79">
        <w:rPr>
          <w:lang w:val="fr-FR"/>
        </w:rPr>
        <w:tab/>
        <w:t>que dans sa Résolution 54 (Rév. Dubaï, 2012) sur la création de groupes régionaux et l'assistance à ces groupes, l'AMNT a chargé le Directeur du TSB, en collaboration avec le Directeur du BDT, dans les limites des ressources allouées ou fournies qui sont disponibles, d'apporter tout l'appui nécessaire à la création et au bon fonctionnement des groupes régionaux,</w:t>
      </w:r>
    </w:p>
    <w:p w14:paraId="35F193A0" w14:textId="77777777" w:rsidR="00A13F26" w:rsidRPr="007D4F79" w:rsidRDefault="00A13F26" w:rsidP="00A13F26">
      <w:pPr>
        <w:pStyle w:val="Call"/>
        <w:rPr>
          <w:rFonts w:cstheme="minorHAnsi"/>
          <w:lang w:val="fr-FR"/>
        </w:rPr>
      </w:pPr>
      <w:r w:rsidRPr="007D4F79">
        <w:rPr>
          <w:rFonts w:cstheme="minorHAnsi"/>
          <w:lang w:val="fr-FR"/>
        </w:rPr>
        <w:t xml:space="preserve">tenant compte </w:t>
      </w:r>
    </w:p>
    <w:p w14:paraId="0FB938DF" w14:textId="77777777" w:rsidR="00A13F26" w:rsidRPr="007D4F79" w:rsidRDefault="00A13F26" w:rsidP="00A13F26">
      <w:pPr>
        <w:rPr>
          <w:lang w:val="fr-FR"/>
        </w:rPr>
      </w:pPr>
      <w:r w:rsidRPr="007D4F79">
        <w:rPr>
          <w:lang w:val="fr-FR"/>
        </w:rPr>
        <w:t xml:space="preserve">du </w:t>
      </w:r>
      <w:r w:rsidRPr="007D4F79">
        <w:rPr>
          <w:i/>
          <w:lang w:val="fr-FR"/>
        </w:rPr>
        <w:t>décide</w:t>
      </w:r>
      <w:r w:rsidRPr="007D4F79">
        <w:rPr>
          <w:lang w:val="fr-FR"/>
        </w:rPr>
        <w:t xml:space="preserve"> </w:t>
      </w:r>
      <w:r w:rsidRPr="007D4F79">
        <w:rPr>
          <w:i/>
          <w:lang w:val="fr-FR"/>
        </w:rPr>
        <w:t>en outre</w:t>
      </w:r>
      <w:r w:rsidRPr="007D4F79">
        <w:rPr>
          <w:lang w:val="fr-FR"/>
        </w:rPr>
        <w:t xml:space="preserve"> de la Résolution 44 (Rév. Dubaï, 2012), aux termes duquel les bureaux régionaux de l'UIT doivent:</w:t>
      </w:r>
    </w:p>
    <w:p w14:paraId="4FC76B06" w14:textId="77777777" w:rsidR="00A13F26" w:rsidRDefault="00A13F26" w:rsidP="00A13F26">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30619EDF" w14:textId="77777777" w:rsidR="00A13F26" w:rsidRPr="007D4F79" w:rsidRDefault="00A13F26" w:rsidP="00A13F26">
      <w:pPr>
        <w:pStyle w:val="enumlev1"/>
        <w:rPr>
          <w:lang w:val="fr-FR"/>
        </w:rPr>
      </w:pPr>
      <w:r w:rsidRPr="007D4F79">
        <w:rPr>
          <w:lang w:val="fr-FR"/>
        </w:rPr>
        <w:lastRenderedPageBreak/>
        <w:t>i)</w:t>
      </w:r>
      <w:r w:rsidRPr="007D4F79">
        <w:rPr>
          <w:lang w:val="fr-FR"/>
        </w:rPr>
        <w:tab/>
        <w:t>participer aux activités du TSB, afin de promouvoir et de coordonner les activités de normalisation dans leur région, de manière à favoriser l'application des parties pertinentes de cette Résolution et à atteindre les objectifs énoncés dans le plan d'action, et organiser des campagnes destinées à inciter de nouveaux Membres de Secteur, de nouveaux Associés et de nouveaux établissements universitaires des pays en développement à participer aux travaux de l'UIT-T;</w:t>
      </w:r>
    </w:p>
    <w:p w14:paraId="2C1894C0" w14:textId="77777777" w:rsidR="00A13F26" w:rsidRPr="007D4F79" w:rsidRDefault="00A13F26" w:rsidP="00A13F26">
      <w:pPr>
        <w:pStyle w:val="enumlev1"/>
        <w:rPr>
          <w:lang w:val="fr-FR"/>
        </w:rPr>
      </w:pPr>
      <w:r w:rsidRPr="007D4F79">
        <w:rPr>
          <w:lang w:val="fr-FR"/>
        </w:rPr>
        <w:t>ii)</w:t>
      </w:r>
      <w:r w:rsidRPr="007D4F79">
        <w:rPr>
          <w:lang w:val="fr-FR"/>
        </w:rPr>
        <w:tab/>
        <w:t>aider les vice-présidents, dans les limites budgétaires du bureau régional concerné, à mobiliser les membres de leurs régions respectives pour qu'ils participent davantage aux activités de normalisation;</w:t>
      </w:r>
    </w:p>
    <w:p w14:paraId="460F4505" w14:textId="77777777" w:rsidR="00A13F26" w:rsidRPr="007D4F79" w:rsidRDefault="00A13F26" w:rsidP="00A13F26">
      <w:pPr>
        <w:pStyle w:val="enumlev1"/>
        <w:rPr>
          <w:lang w:val="fr-FR"/>
        </w:rPr>
      </w:pPr>
      <w:r w:rsidRPr="007D4F79">
        <w:rPr>
          <w:lang w:val="fr-FR"/>
        </w:rPr>
        <w:t>iii)</w:t>
      </w:r>
      <w:r w:rsidRPr="007D4F79">
        <w:rPr>
          <w:lang w:val="fr-FR"/>
        </w:rPr>
        <w:tab/>
        <w:t>organiser et coordonner les activités menées par les groupes régionaux des commissions d'études de l'UIT-T;</w:t>
      </w:r>
    </w:p>
    <w:p w14:paraId="52D79E4B" w14:textId="77777777" w:rsidR="00A13F26" w:rsidRPr="007D4F79" w:rsidRDefault="00A13F26" w:rsidP="00A13F26">
      <w:pPr>
        <w:pStyle w:val="enumlev1"/>
        <w:rPr>
          <w:lang w:val="fr-FR"/>
        </w:rPr>
      </w:pPr>
      <w:r w:rsidRPr="007D4F79">
        <w:rPr>
          <w:lang w:val="fr-FR"/>
        </w:rPr>
        <w:t>iv)</w:t>
      </w:r>
      <w:r w:rsidRPr="007D4F79">
        <w:rPr>
          <w:lang w:val="fr-FR"/>
        </w:rPr>
        <w:tab/>
        <w:t>offrir l'assistance nécessaire aux groupes régionaux des commissions d'études de l'UIT</w:t>
      </w:r>
      <w:r w:rsidRPr="007D4F79">
        <w:rPr>
          <w:lang w:val="fr-FR"/>
        </w:rPr>
        <w:noBreakHyphen/>
        <w:t>T;</w:t>
      </w:r>
    </w:p>
    <w:p w14:paraId="34E0760B" w14:textId="77777777" w:rsidR="00A13F26" w:rsidRPr="007D4F79" w:rsidRDefault="00A13F26" w:rsidP="00A13F26">
      <w:pPr>
        <w:pStyle w:val="enumlev1"/>
        <w:rPr>
          <w:lang w:val="fr-FR"/>
        </w:rPr>
      </w:pPr>
      <w:r w:rsidRPr="007D4F79">
        <w:rPr>
          <w:lang w:val="fr-FR"/>
        </w:rPr>
        <w:t>v)</w:t>
      </w:r>
      <w:r w:rsidRPr="007D4F79">
        <w:rPr>
          <w:lang w:val="fr-FR"/>
        </w:rPr>
        <w:tab/>
        <w:t>fournir une assistance aux organisations régionales de télécommunication aux fins de la création et de la gestion d'organismes régionaux de normalisation,</w:t>
      </w:r>
    </w:p>
    <w:p w14:paraId="221D52D3" w14:textId="77777777" w:rsidR="00A13F26" w:rsidRPr="007D4F79" w:rsidRDefault="00A13F26" w:rsidP="00A13F26">
      <w:pPr>
        <w:pStyle w:val="Call"/>
        <w:rPr>
          <w:rFonts w:cstheme="minorHAnsi"/>
          <w:lang w:val="fr-FR"/>
        </w:rPr>
      </w:pPr>
      <w:r w:rsidRPr="007D4F79">
        <w:rPr>
          <w:rFonts w:cstheme="minorHAnsi"/>
          <w:lang w:val="fr-FR"/>
        </w:rPr>
        <w:t>recommande</w:t>
      </w:r>
    </w:p>
    <w:p w14:paraId="59FF1F6C" w14:textId="77777777" w:rsidR="00A13F26" w:rsidRPr="007D4F79" w:rsidRDefault="00A13F26" w:rsidP="00A13F26">
      <w:pPr>
        <w:rPr>
          <w:lang w:val="fr-FR"/>
        </w:rPr>
      </w:pPr>
      <w:r w:rsidRPr="007D4F79">
        <w:rPr>
          <w:lang w:val="fr-FR"/>
        </w:rPr>
        <w:t>1</w:t>
      </w:r>
      <w:r w:rsidRPr="007D4F79">
        <w:rPr>
          <w:lang w:val="fr-FR"/>
        </w:rPr>
        <w:tab/>
        <w:t>qu'une structure fonctionnelle pour les bureaux régionaux soit mise en place afin d'appuyer les activités des groupes régionaux;</w:t>
      </w:r>
    </w:p>
    <w:p w14:paraId="2B6569F9" w14:textId="77777777" w:rsidR="00A13F26" w:rsidRPr="007D4F79" w:rsidRDefault="00A13F26" w:rsidP="00A13F26">
      <w:pPr>
        <w:rPr>
          <w:lang w:val="fr-FR"/>
        </w:rPr>
      </w:pPr>
      <w:r w:rsidRPr="007D4F79">
        <w:rPr>
          <w:lang w:val="fr-FR"/>
        </w:rPr>
        <w:t>2</w:t>
      </w:r>
      <w:r w:rsidRPr="007D4F79">
        <w:rPr>
          <w:lang w:val="fr-FR"/>
        </w:rPr>
        <w:tab/>
        <w:t>qu'un budget soit alloué aux bureaux régionaux pour appuyer les activités des groupes régionaux et de leurs équipes de direction;</w:t>
      </w:r>
    </w:p>
    <w:p w14:paraId="6C9F32F9" w14:textId="77777777" w:rsidR="00A13F26" w:rsidRPr="007D4F79" w:rsidRDefault="00A13F26" w:rsidP="00A13F26">
      <w:pPr>
        <w:rPr>
          <w:lang w:val="fr-FR"/>
        </w:rPr>
      </w:pPr>
      <w:r w:rsidRPr="007D4F79">
        <w:rPr>
          <w:lang w:val="fr-FR"/>
        </w:rPr>
        <w:t>3</w:t>
      </w:r>
      <w:r w:rsidRPr="007D4F79">
        <w:rPr>
          <w:lang w:val="fr-FR"/>
        </w:rPr>
        <w:tab/>
        <w:t>que les résultats des activités des groupes régionaux soient transmis au Secteur du développement des télécommunications de l'UIT, pour qu'il les utilise en fonction des besoins,</w:t>
      </w:r>
    </w:p>
    <w:p w14:paraId="3273592B" w14:textId="77777777" w:rsidR="00A13F26" w:rsidRPr="007D4F79" w:rsidRDefault="00A13F26" w:rsidP="00A13F26">
      <w:pPr>
        <w:pStyle w:val="Call"/>
        <w:rPr>
          <w:rFonts w:cstheme="minorHAnsi"/>
          <w:lang w:val="fr-FR"/>
        </w:rPr>
      </w:pPr>
      <w:r w:rsidRPr="007D4F79">
        <w:rPr>
          <w:rFonts w:cstheme="minorHAnsi"/>
          <w:lang w:val="fr-FR"/>
        </w:rPr>
        <w:t>prie le Directeur du Bureau de développement des télécommunications</w:t>
      </w:r>
    </w:p>
    <w:p w14:paraId="0E3090E1" w14:textId="77777777" w:rsidR="00A13F26" w:rsidRPr="007D4F79" w:rsidRDefault="00A13F26" w:rsidP="00A13F26">
      <w:pPr>
        <w:rPr>
          <w:lang w:val="fr-FR"/>
        </w:rPr>
      </w:pPr>
      <w:r w:rsidRPr="007D4F79">
        <w:rPr>
          <w:lang w:val="fr-FR"/>
        </w:rPr>
        <w:t>1</w:t>
      </w:r>
      <w:r w:rsidRPr="007D4F79">
        <w:rPr>
          <w:lang w:val="fr-FR"/>
        </w:rPr>
        <w:tab/>
        <w:t>de mettre en place une structure fonctionnelle pour les bureaux régionaux en vue d'appuyer les activités des groupes régionaux;</w:t>
      </w:r>
    </w:p>
    <w:p w14:paraId="7832BB70" w14:textId="77777777" w:rsidR="00A13F26" w:rsidRPr="007D4F79" w:rsidRDefault="00A13F26" w:rsidP="00A13F26">
      <w:pPr>
        <w:rPr>
          <w:lang w:val="fr-FR"/>
        </w:rPr>
      </w:pPr>
      <w:r w:rsidRPr="007D4F79">
        <w:rPr>
          <w:lang w:val="fr-FR"/>
        </w:rPr>
        <w:t>2</w:t>
      </w:r>
      <w:r w:rsidRPr="007D4F79">
        <w:rPr>
          <w:lang w:val="fr-FR"/>
        </w:rPr>
        <w:tab/>
        <w:t>d'aider et d'encourager les présidents et vice-présidents des commissions d'études de l'UIT-T issus de pays en développement à promouvoir les activités de normalisation et à mobiliser les membres au niveau des sous</w:t>
      </w:r>
      <w:r w:rsidRPr="007D4F79">
        <w:rPr>
          <w:lang w:val="fr-FR"/>
        </w:rPr>
        <w:noBreakHyphen/>
        <w:t>groupes régionaux, par l'intermédiaire d'ateliers, de séminaires et de forums.</w:t>
      </w:r>
    </w:p>
    <w:p w14:paraId="4D4D9E44" w14:textId="77777777" w:rsidR="00F16487" w:rsidRDefault="00F16487"/>
    <w:sectPr w:rsidR="00F16487" w:rsidSect="00A13F26">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8227C" w14:textId="77777777" w:rsidR="00A13F26" w:rsidRDefault="00A13F26" w:rsidP="00A13F26">
      <w:pPr>
        <w:spacing w:before="0" w:after="0"/>
      </w:pPr>
      <w:r>
        <w:separator/>
      </w:r>
    </w:p>
  </w:endnote>
  <w:endnote w:type="continuationSeparator" w:id="0">
    <w:p w14:paraId="577BB48C" w14:textId="77777777" w:rsidR="00A13F26" w:rsidRDefault="00A13F26" w:rsidP="00A13F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AEFB9" w14:textId="77777777" w:rsidR="00A13F26" w:rsidRDefault="00A13F26" w:rsidP="00A13F26">
      <w:pPr>
        <w:spacing w:before="0" w:after="0"/>
      </w:pPr>
      <w:r>
        <w:separator/>
      </w:r>
    </w:p>
  </w:footnote>
  <w:footnote w:type="continuationSeparator" w:id="0">
    <w:p w14:paraId="5722633C" w14:textId="77777777" w:rsidR="00A13F26" w:rsidRDefault="00A13F26" w:rsidP="00A13F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469739894"/>
      <w:docPartObj>
        <w:docPartGallery w:val="Page Numbers (Top of Page)"/>
        <w:docPartUnique/>
      </w:docPartObj>
    </w:sdtPr>
    <w:sdtEndPr>
      <w:rPr>
        <w:noProof/>
      </w:rPr>
    </w:sdtEndPr>
    <w:sdtContent>
      <w:p w14:paraId="0C7548BA" w14:textId="77777777" w:rsidR="00A13F26" w:rsidRPr="00A13F26" w:rsidRDefault="00A13F26" w:rsidP="00A13F26">
        <w:pPr>
          <w:tabs>
            <w:tab w:val="left" w:pos="426"/>
            <w:tab w:val="left" w:pos="851"/>
          </w:tabs>
          <w:spacing w:before="0"/>
          <w:jc w:val="left"/>
          <w:rPr>
            <w:rFonts w:ascii="Calibri" w:hAnsi="Calibri"/>
            <w:sz w:val="16"/>
            <w:szCs w:val="16"/>
            <w:lang w:val="fr-FR"/>
          </w:rPr>
        </w:pPr>
        <w:r w:rsidRPr="00A13F26">
          <w:rPr>
            <w:rFonts w:ascii="Calibri" w:hAnsi="Calibri"/>
            <w:sz w:val="16"/>
            <w:szCs w:val="16"/>
          </w:rPr>
          <w:fldChar w:fldCharType="begin"/>
        </w:r>
        <w:r w:rsidRPr="00A13F26">
          <w:rPr>
            <w:rFonts w:ascii="Calibri" w:hAnsi="Calibri"/>
            <w:sz w:val="16"/>
            <w:szCs w:val="16"/>
            <w:lang w:val="fr-FR"/>
          </w:rPr>
          <w:instrText xml:space="preserve"> PAGE   \* MERGEFORMAT </w:instrText>
        </w:r>
        <w:r w:rsidRPr="00A13F26">
          <w:rPr>
            <w:rFonts w:ascii="Calibri" w:hAnsi="Calibri"/>
            <w:sz w:val="16"/>
            <w:szCs w:val="16"/>
          </w:rPr>
          <w:fldChar w:fldCharType="separate"/>
        </w:r>
        <w:r w:rsidRPr="00A13F26">
          <w:rPr>
            <w:rFonts w:ascii="Calibri" w:hAnsi="Calibri"/>
            <w:sz w:val="16"/>
            <w:szCs w:val="16"/>
          </w:rPr>
          <w:t>410</w:t>
        </w:r>
        <w:r w:rsidRPr="00A13F26">
          <w:rPr>
            <w:rFonts w:ascii="Calibri" w:hAnsi="Calibri"/>
            <w:noProof/>
            <w:sz w:val="16"/>
            <w:szCs w:val="16"/>
          </w:rPr>
          <w:fldChar w:fldCharType="end"/>
        </w:r>
        <w:r w:rsidRPr="00A13F26">
          <w:rPr>
            <w:rFonts w:ascii="Calibri" w:hAnsi="Calibri"/>
            <w:sz w:val="16"/>
            <w:szCs w:val="16"/>
            <w:lang w:val="fr-FR"/>
          </w:rPr>
          <w:tab/>
          <w:t>Rapport final de la CMDT-22 – Partie IV – Recommandation UIT-D 22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58198926"/>
      <w:docPartObj>
        <w:docPartGallery w:val="Page Numbers (Top of Page)"/>
        <w:docPartUnique/>
      </w:docPartObj>
    </w:sdtPr>
    <w:sdtEndPr>
      <w:rPr>
        <w:noProof/>
      </w:rPr>
    </w:sdtEndPr>
    <w:sdtContent>
      <w:p w14:paraId="18582524" w14:textId="79169B50" w:rsidR="00A13F26" w:rsidRPr="00004366" w:rsidRDefault="00A13F26" w:rsidP="00A13F26">
        <w:pPr>
          <w:tabs>
            <w:tab w:val="clear" w:pos="1134"/>
            <w:tab w:val="clear" w:pos="1871"/>
            <w:tab w:val="clear" w:pos="2268"/>
            <w:tab w:val="left" w:pos="4678"/>
            <w:tab w:val="left" w:pos="9356"/>
          </w:tabs>
          <w:spacing w:before="0"/>
          <w:jc w:val="right"/>
          <w:rPr>
            <w:rFonts w:ascii="Calibri" w:hAnsi="Calibri"/>
            <w:sz w:val="16"/>
            <w:szCs w:val="16"/>
            <w:lang w:val="fr-FR"/>
          </w:rPr>
        </w:pPr>
        <w:r w:rsidRPr="00004366">
          <w:rPr>
            <w:rFonts w:ascii="Calibri" w:hAnsi="Calibri"/>
            <w:sz w:val="16"/>
            <w:szCs w:val="16"/>
            <w:lang w:val="fr-FR"/>
          </w:rPr>
          <w:tab/>
          <w:t xml:space="preserve">Rapport final de la CMDT-22 – Partie IV – Recommandation UIT-D </w:t>
        </w:r>
        <w:r>
          <w:rPr>
            <w:rFonts w:ascii="Calibri" w:hAnsi="Calibri"/>
            <w:sz w:val="16"/>
            <w:szCs w:val="16"/>
            <w:lang w:val="fr-FR"/>
          </w:rPr>
          <w:t>22</w:t>
        </w:r>
        <w:r w:rsidRPr="00004366">
          <w:rPr>
            <w:rFonts w:ascii="Calibri" w:hAnsi="Calibri"/>
            <w:sz w:val="16"/>
            <w:szCs w:val="16"/>
            <w:lang w:val="fr-FR"/>
          </w:rPr>
          <w:tab/>
        </w:r>
        <w:r w:rsidRPr="00004366">
          <w:rPr>
            <w:rFonts w:ascii="Calibri" w:hAnsi="Calibri"/>
            <w:sz w:val="16"/>
            <w:szCs w:val="16"/>
          </w:rPr>
          <w:fldChar w:fldCharType="begin"/>
        </w:r>
        <w:r w:rsidRPr="00004366">
          <w:rPr>
            <w:rFonts w:ascii="Calibri" w:hAnsi="Calibri"/>
            <w:sz w:val="16"/>
            <w:szCs w:val="16"/>
            <w:lang w:val="fr-FR"/>
          </w:rPr>
          <w:instrText xml:space="preserve"> PAGE   \* MERGEFORMAT </w:instrText>
        </w:r>
        <w:r w:rsidRPr="00004366">
          <w:rPr>
            <w:rFonts w:ascii="Calibri" w:hAnsi="Calibri"/>
            <w:sz w:val="16"/>
            <w:szCs w:val="16"/>
          </w:rPr>
          <w:fldChar w:fldCharType="separate"/>
        </w:r>
        <w:r>
          <w:rPr>
            <w:rFonts w:ascii="Calibri" w:hAnsi="Calibri"/>
            <w:sz w:val="16"/>
            <w:szCs w:val="16"/>
          </w:rPr>
          <w:t>1</w:t>
        </w:r>
        <w:r w:rsidRPr="00004366">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26"/>
    <w:rsid w:val="00400A99"/>
    <w:rsid w:val="0045258F"/>
    <w:rsid w:val="004A0B3D"/>
    <w:rsid w:val="0051703C"/>
    <w:rsid w:val="005C0E4B"/>
    <w:rsid w:val="007359FB"/>
    <w:rsid w:val="0076311C"/>
    <w:rsid w:val="00855D16"/>
    <w:rsid w:val="008630CC"/>
    <w:rsid w:val="00950AD1"/>
    <w:rsid w:val="00A13F26"/>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A94E"/>
  <w15:chartTrackingRefBased/>
  <w15:docId w15:val="{61306CBE-ECD0-4AF0-8B39-3F2EC346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F26"/>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A13F26"/>
    <w:pPr>
      <w:keepNext/>
      <w:keepLines/>
      <w:spacing w:before="160"/>
      <w:ind w:left="1134"/>
    </w:pPr>
    <w:rPr>
      <w:i/>
    </w:rPr>
  </w:style>
  <w:style w:type="paragraph" w:customStyle="1" w:styleId="enumlev1">
    <w:name w:val="enumlev1"/>
    <w:basedOn w:val="Normal"/>
    <w:link w:val="enumlev1Char"/>
    <w:rsid w:val="00A13F26"/>
    <w:pPr>
      <w:tabs>
        <w:tab w:val="clear" w:pos="2268"/>
        <w:tab w:val="left" w:pos="2608"/>
        <w:tab w:val="left" w:pos="3345"/>
      </w:tabs>
      <w:spacing w:before="40"/>
      <w:ind w:left="1134" w:hanging="1134"/>
    </w:pPr>
  </w:style>
  <w:style w:type="paragraph" w:customStyle="1" w:styleId="Normalaftertitle">
    <w:name w:val="Normal after title"/>
    <w:basedOn w:val="Normal"/>
    <w:next w:val="Normal"/>
    <w:link w:val="NormalaftertitleChar"/>
    <w:rsid w:val="00A13F26"/>
    <w:pPr>
      <w:spacing w:before="280"/>
    </w:pPr>
  </w:style>
  <w:style w:type="paragraph" w:customStyle="1" w:styleId="RecNo">
    <w:name w:val="Rec_No"/>
    <w:basedOn w:val="Normal"/>
    <w:next w:val="Normal"/>
    <w:rsid w:val="00A13F26"/>
    <w:pPr>
      <w:keepNext/>
      <w:keepLines/>
      <w:spacing w:before="480"/>
      <w:jc w:val="center"/>
      <w:outlineLvl w:val="0"/>
    </w:pPr>
    <w:rPr>
      <w:caps/>
      <w:sz w:val="28"/>
    </w:rPr>
  </w:style>
  <w:style w:type="paragraph" w:customStyle="1" w:styleId="Rectitle">
    <w:name w:val="Rec_title"/>
    <w:basedOn w:val="RecNo"/>
    <w:next w:val="Normal"/>
    <w:rsid w:val="00A13F26"/>
    <w:pPr>
      <w:spacing w:before="240"/>
    </w:pPr>
    <w:rPr>
      <w:b/>
      <w:caps w:val="0"/>
    </w:rPr>
  </w:style>
  <w:style w:type="character" w:customStyle="1" w:styleId="NormalaftertitleChar">
    <w:name w:val="Normal after title Char"/>
    <w:basedOn w:val="DefaultParagraphFont"/>
    <w:link w:val="Normalaftertitle"/>
    <w:locked/>
    <w:rsid w:val="00A13F26"/>
    <w:rPr>
      <w:rFonts w:eastAsia="Times New Roman" w:cs="Times New Roman"/>
      <w:sz w:val="24"/>
      <w:szCs w:val="20"/>
      <w:lang w:val="en-GB"/>
    </w:rPr>
  </w:style>
  <w:style w:type="character" w:customStyle="1" w:styleId="href">
    <w:name w:val="href"/>
    <w:basedOn w:val="DefaultParagraphFont"/>
    <w:rsid w:val="00A13F26"/>
    <w:rPr>
      <w:color w:val="auto"/>
    </w:rPr>
  </w:style>
  <w:style w:type="character" w:customStyle="1" w:styleId="enumlev1Char">
    <w:name w:val="enumlev1 Char"/>
    <w:link w:val="enumlev1"/>
    <w:qFormat/>
    <w:locked/>
    <w:rsid w:val="00A13F26"/>
    <w:rPr>
      <w:rFonts w:eastAsia="Times New Roman" w:cs="Times New Roman"/>
      <w:sz w:val="24"/>
      <w:szCs w:val="20"/>
      <w:lang w:val="en-GB"/>
    </w:rPr>
  </w:style>
  <w:style w:type="paragraph" w:styleId="Header">
    <w:name w:val="header"/>
    <w:basedOn w:val="Normal"/>
    <w:link w:val="HeaderChar"/>
    <w:uiPriority w:val="99"/>
    <w:unhideWhenUsed/>
    <w:rsid w:val="00A13F26"/>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A13F26"/>
    <w:rPr>
      <w:rFonts w:eastAsia="Times New Roman" w:cs="Times New Roman"/>
      <w:sz w:val="24"/>
      <w:szCs w:val="20"/>
      <w:lang w:val="en-GB"/>
    </w:rPr>
  </w:style>
  <w:style w:type="paragraph" w:styleId="Footer">
    <w:name w:val="footer"/>
    <w:basedOn w:val="Normal"/>
    <w:link w:val="FooterChar"/>
    <w:uiPriority w:val="99"/>
    <w:unhideWhenUsed/>
    <w:rsid w:val="00A13F26"/>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A13F26"/>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633</Words>
  <Characters>3486</Characters>
  <Application>Microsoft Office Word</Application>
  <DocSecurity>0</DocSecurity>
  <Lines>29</Lines>
  <Paragraphs>8</Paragraphs>
  <ScaleCrop>false</ScaleCrop>
  <Company>ITU</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2023-10-17T07:27:00Z</dcterms:created>
  <dcterms:modified xsi:type="dcterms:W3CDTF">2023-10-17T07:36:00Z</dcterms:modified>
</cp:coreProperties>
</file>