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8C064" w14:textId="77777777" w:rsidR="00114903" w:rsidRPr="00A55C0D" w:rsidRDefault="00114903" w:rsidP="00114903">
      <w:pPr>
        <w:pStyle w:val="RecNo"/>
      </w:pPr>
      <w:bookmarkStart w:id="0" w:name="_Toc116556799"/>
      <w:bookmarkStart w:id="1" w:name="_Toc116557352"/>
      <w:bookmarkStart w:id="2" w:name="_Toc116636596"/>
      <w:r w:rsidRPr="00A55C0D">
        <w:t xml:space="preserve">RECOMMENDATION ITU-D </w:t>
      </w:r>
      <w:r w:rsidRPr="00A55C0D">
        <w:rPr>
          <w:rStyle w:val="href"/>
        </w:rPr>
        <w:t>22</w:t>
      </w:r>
      <w:bookmarkEnd w:id="0"/>
      <w:bookmarkEnd w:id="1"/>
      <w:bookmarkEnd w:id="2"/>
      <w:r w:rsidRPr="00A55C0D">
        <w:t xml:space="preserve"> </w:t>
      </w:r>
    </w:p>
    <w:p w14:paraId="1FE9AFCC" w14:textId="77777777" w:rsidR="00114903" w:rsidRPr="00A55C0D" w:rsidRDefault="00114903" w:rsidP="00114903">
      <w:pPr>
        <w:pStyle w:val="Rectitle"/>
      </w:pPr>
      <w:bookmarkStart w:id="3" w:name="_Toc116556800"/>
      <w:bookmarkStart w:id="4" w:name="_Toc116557353"/>
      <w:bookmarkStart w:id="5" w:name="_Toc116636597"/>
      <w:r w:rsidRPr="00A55C0D">
        <w:t xml:space="preserve">Bridging the standardization gap in association with </w:t>
      </w:r>
      <w:r w:rsidRPr="00A55C0D">
        <w:br/>
        <w:t>regional groups of the study groups</w:t>
      </w:r>
      <w:bookmarkEnd w:id="3"/>
      <w:bookmarkEnd w:id="4"/>
      <w:bookmarkEnd w:id="5"/>
    </w:p>
    <w:p w14:paraId="6309EC11" w14:textId="77777777" w:rsidR="00114903" w:rsidRPr="00A55C0D" w:rsidRDefault="00114903" w:rsidP="00114903">
      <w:pPr>
        <w:pStyle w:val="Normalaftertitle"/>
      </w:pPr>
      <w:r w:rsidRPr="00A55C0D">
        <w:t>The World Telecommunication Development Conference (Dubai, 2014),</w:t>
      </w:r>
    </w:p>
    <w:p w14:paraId="0EB2228B" w14:textId="77777777" w:rsidR="00114903" w:rsidRPr="00A55C0D" w:rsidRDefault="00114903" w:rsidP="00114903">
      <w:pPr>
        <w:pStyle w:val="Call"/>
      </w:pPr>
      <w:r w:rsidRPr="00A55C0D">
        <w:t>considering</w:t>
      </w:r>
    </w:p>
    <w:p w14:paraId="62E3E438" w14:textId="77777777" w:rsidR="00114903" w:rsidRPr="00A55C0D" w:rsidRDefault="00114903" w:rsidP="00114903">
      <w:pPr>
        <w:rPr>
          <w:lang w:eastAsia="zh-CN"/>
        </w:rPr>
      </w:pPr>
      <w:r w:rsidRPr="00A55C0D">
        <w:rPr>
          <w:i/>
          <w:iCs/>
        </w:rPr>
        <w:t>a)</w:t>
      </w:r>
      <w:r w:rsidRPr="00A55C0D">
        <w:tab/>
        <w:t>that Resolution 123 (Rev. Guadalajara, 2010) of the Plenipotentiary Conference, on bridging the standardization gap between developing and developed countries, instructs the Secretary-General and the Directors of the three Bureaux to work closely with each other, in pursuing initiatives that assist in bridging the standardization gap between developing and developed countries, on follow-up and implementation of the operative paragraphs of that resolution supporting coordination in this respect at the regional level through regional offices and organizations</w:t>
      </w:r>
      <w:r w:rsidRPr="00A55C0D">
        <w:rPr>
          <w:lang w:eastAsia="zh-CN"/>
        </w:rPr>
        <w:t>;</w:t>
      </w:r>
    </w:p>
    <w:p w14:paraId="5BB71B3F" w14:textId="77777777" w:rsidR="00114903" w:rsidRPr="00A55C0D" w:rsidRDefault="00114903" w:rsidP="00114903">
      <w:pPr>
        <w:rPr>
          <w:lang w:eastAsia="zh-CN"/>
        </w:rPr>
      </w:pPr>
      <w:r w:rsidRPr="00A55C0D">
        <w:rPr>
          <w:i/>
          <w:iCs/>
        </w:rPr>
        <w:t>b)</w:t>
      </w:r>
      <w:r w:rsidRPr="00A55C0D">
        <w:tab/>
        <w:t>that Resolution 44 (Rev. Dubai, 2012) of the World Telecommunication Standardization Assembly (WTSA), on bridging the standardization gap, instructs the Director of the Telecommunication Standardization Bureau (TSB), in collaboration with the Directors of Telecommunication Development Bureau (BDT) and the Radiocommunication Bureau (BR), within available resources, to provide the support needed for regional mobilization for standardization as well as to conduct workshops and seminars, as appropriate, to disseminate information and increase understanding of new Recommendations, in particular for developing countries</w:t>
      </w:r>
      <w:r w:rsidRPr="00A55C0D">
        <w:rPr>
          <w:lang w:eastAsia="zh-CN"/>
        </w:rPr>
        <w:t>;</w:t>
      </w:r>
    </w:p>
    <w:p w14:paraId="1A9D371A" w14:textId="77777777" w:rsidR="00114903" w:rsidRPr="00A55C0D" w:rsidRDefault="00114903" w:rsidP="00114903">
      <w:r w:rsidRPr="00A55C0D">
        <w:rPr>
          <w:i/>
          <w:iCs/>
        </w:rPr>
        <w:t>c)</w:t>
      </w:r>
      <w:r w:rsidRPr="00A55C0D">
        <w:tab/>
        <w:t>that Resolution 54 (Rev. Dubai, 2012) of WTSA, on creation of, and assistance to, regional groups, instructs the Director of TSB, in collaboration with the Director of BDT, within the allocated or contributed resources that are available, to provide all necessary support for creating and ensuring the smooth functioning of the regional groups,</w:t>
      </w:r>
    </w:p>
    <w:p w14:paraId="1C57938D" w14:textId="77777777" w:rsidR="00114903" w:rsidRPr="00A55C0D" w:rsidRDefault="00114903" w:rsidP="00114903">
      <w:pPr>
        <w:pStyle w:val="Call"/>
      </w:pPr>
      <w:proofErr w:type="gramStart"/>
      <w:r w:rsidRPr="00A55C0D">
        <w:t>taking into account</w:t>
      </w:r>
      <w:proofErr w:type="gramEnd"/>
      <w:r w:rsidRPr="00A55C0D">
        <w:t xml:space="preserve"> </w:t>
      </w:r>
    </w:p>
    <w:p w14:paraId="66C4370D" w14:textId="77777777" w:rsidR="00114903" w:rsidRPr="00A55C0D" w:rsidRDefault="00114903" w:rsidP="00114903">
      <w:r w:rsidRPr="00A55C0D">
        <w:t xml:space="preserve">the </w:t>
      </w:r>
      <w:r w:rsidRPr="00A55C0D">
        <w:rPr>
          <w:i/>
          <w:iCs/>
        </w:rPr>
        <w:t>further resolves</w:t>
      </w:r>
      <w:r w:rsidRPr="00A55C0D">
        <w:t xml:space="preserve"> of Resolution 44 (Rev. Dubai, 2012), which states that ITU regional offices are to:</w:t>
      </w:r>
    </w:p>
    <w:p w14:paraId="1080DBB8" w14:textId="77777777" w:rsidR="00114903" w:rsidRPr="00A55C0D" w:rsidRDefault="00114903" w:rsidP="00114903">
      <w:pPr>
        <w:tabs>
          <w:tab w:val="clear" w:pos="1134"/>
          <w:tab w:val="clear" w:pos="1871"/>
          <w:tab w:val="clear" w:pos="2268"/>
        </w:tabs>
        <w:overflowPunct/>
        <w:autoSpaceDE/>
        <w:autoSpaceDN/>
        <w:adjustRightInd/>
        <w:spacing w:before="0"/>
        <w:textAlignment w:val="auto"/>
      </w:pPr>
      <w:r w:rsidRPr="00A55C0D">
        <w:br w:type="page"/>
      </w:r>
    </w:p>
    <w:p w14:paraId="3A79EE32" w14:textId="77777777" w:rsidR="00114903" w:rsidRPr="00A55C0D" w:rsidRDefault="00114903" w:rsidP="00114903">
      <w:pPr>
        <w:pStyle w:val="enumlev1"/>
      </w:pPr>
      <w:proofErr w:type="spellStart"/>
      <w:r w:rsidRPr="00A55C0D">
        <w:lastRenderedPageBreak/>
        <w:t>i</w:t>
      </w:r>
      <w:proofErr w:type="spellEnd"/>
      <w:r w:rsidRPr="00A55C0D">
        <w:t>)</w:t>
      </w:r>
      <w:r w:rsidRPr="00A55C0D">
        <w:tab/>
        <w:t>be engaged in the activities of TSB in order to promote and coordinate standardization activities in their regions to support the implementation of the relevant parts of that resolution and to carry out the objectives of the action plan, and launch campaigns to attract new Sector Members, Associates and Academia from developing countries to join ITU</w:t>
      </w:r>
      <w:r w:rsidRPr="00A55C0D">
        <w:noBreakHyphen/>
      </w:r>
      <w:proofErr w:type="gramStart"/>
      <w:r w:rsidRPr="00A55C0D">
        <w:t>T;</w:t>
      </w:r>
      <w:proofErr w:type="gramEnd"/>
    </w:p>
    <w:p w14:paraId="72B3D186" w14:textId="77777777" w:rsidR="00114903" w:rsidRPr="00A55C0D" w:rsidRDefault="00114903" w:rsidP="00114903">
      <w:pPr>
        <w:pStyle w:val="enumlev1"/>
      </w:pPr>
      <w:r w:rsidRPr="00A55C0D">
        <w:t>ii)</w:t>
      </w:r>
      <w:r w:rsidRPr="00A55C0D">
        <w:tab/>
        <w:t xml:space="preserve">assist the vice-chairmen, within the offices' budgets, in mobilizing members within their respective regions for increased standardization </w:t>
      </w:r>
      <w:proofErr w:type="gramStart"/>
      <w:r w:rsidRPr="00A55C0D">
        <w:t>participation;</w:t>
      </w:r>
      <w:proofErr w:type="gramEnd"/>
    </w:p>
    <w:p w14:paraId="7779E7F4" w14:textId="77777777" w:rsidR="00114903" w:rsidRPr="00A55C0D" w:rsidRDefault="00114903" w:rsidP="00114903">
      <w:pPr>
        <w:pStyle w:val="enumlev1"/>
      </w:pPr>
      <w:r w:rsidRPr="00A55C0D">
        <w:t>iii)</w:t>
      </w:r>
      <w:r w:rsidRPr="00A55C0D">
        <w:tab/>
        <w:t>organize and coordinate the activities of the regional groups of ITU</w:t>
      </w:r>
      <w:r w:rsidRPr="00A55C0D">
        <w:noBreakHyphen/>
        <w:t xml:space="preserve">T study </w:t>
      </w:r>
      <w:proofErr w:type="gramStart"/>
      <w:r w:rsidRPr="00A55C0D">
        <w:t>groups;</w:t>
      </w:r>
      <w:proofErr w:type="gramEnd"/>
    </w:p>
    <w:p w14:paraId="1AC47999" w14:textId="77777777" w:rsidR="00114903" w:rsidRPr="00A55C0D" w:rsidRDefault="00114903" w:rsidP="00114903">
      <w:pPr>
        <w:pStyle w:val="enumlev1"/>
      </w:pPr>
      <w:r w:rsidRPr="00A55C0D">
        <w:t>iv)</w:t>
      </w:r>
      <w:r w:rsidRPr="00A55C0D">
        <w:tab/>
        <w:t>provide the necessary assistance to the regional groups of ITU</w:t>
      </w:r>
      <w:r w:rsidRPr="00A55C0D">
        <w:noBreakHyphen/>
        <w:t xml:space="preserve">T study </w:t>
      </w:r>
      <w:proofErr w:type="gramStart"/>
      <w:r w:rsidRPr="00A55C0D">
        <w:t>groups;</w:t>
      </w:r>
      <w:proofErr w:type="gramEnd"/>
    </w:p>
    <w:p w14:paraId="7E79A318" w14:textId="77777777" w:rsidR="00114903" w:rsidRPr="00A55C0D" w:rsidRDefault="00114903" w:rsidP="00114903">
      <w:pPr>
        <w:pStyle w:val="enumlev1"/>
      </w:pPr>
      <w:r w:rsidRPr="00A55C0D">
        <w:t>v)</w:t>
      </w:r>
      <w:r w:rsidRPr="00A55C0D">
        <w:tab/>
      </w:r>
      <w:proofErr w:type="gramStart"/>
      <w:r w:rsidRPr="00A55C0D">
        <w:t>provide assistance to</w:t>
      </w:r>
      <w:proofErr w:type="gramEnd"/>
      <w:r w:rsidRPr="00A55C0D">
        <w:t xml:space="preserve"> the regional telecommunication organizations for the setting-up and management of regional standardization bodies, </w:t>
      </w:r>
    </w:p>
    <w:p w14:paraId="1B72B89F" w14:textId="77777777" w:rsidR="00114903" w:rsidRPr="00A55C0D" w:rsidRDefault="00114903" w:rsidP="00114903">
      <w:pPr>
        <w:pStyle w:val="Call"/>
      </w:pPr>
      <w:r w:rsidRPr="00A55C0D">
        <w:t xml:space="preserve">recommends </w:t>
      </w:r>
    </w:p>
    <w:p w14:paraId="1B216AA1" w14:textId="77777777" w:rsidR="00114903" w:rsidRPr="00A55C0D" w:rsidRDefault="00114903" w:rsidP="00114903">
      <w:r w:rsidRPr="00A55C0D">
        <w:t>1</w:t>
      </w:r>
      <w:r w:rsidRPr="00A55C0D">
        <w:tab/>
        <w:t xml:space="preserve">that a functional structure for regional offices be implemented to support the activities of the regional </w:t>
      </w:r>
      <w:proofErr w:type="gramStart"/>
      <w:r w:rsidRPr="00A55C0D">
        <w:t>groups;</w:t>
      </w:r>
      <w:proofErr w:type="gramEnd"/>
    </w:p>
    <w:p w14:paraId="6C04652C" w14:textId="77777777" w:rsidR="00114903" w:rsidRPr="00A55C0D" w:rsidRDefault="00114903" w:rsidP="00114903">
      <w:r w:rsidRPr="00A55C0D">
        <w:t>2</w:t>
      </w:r>
      <w:r w:rsidRPr="00A55C0D">
        <w:tab/>
        <w:t xml:space="preserve">that there be a budget allocation to regional offices to support the activities of the regional groups and their </w:t>
      </w:r>
      <w:proofErr w:type="gramStart"/>
      <w:r w:rsidRPr="00A55C0D">
        <w:t>leaderships;</w:t>
      </w:r>
      <w:proofErr w:type="gramEnd"/>
    </w:p>
    <w:p w14:paraId="7FAA3C25" w14:textId="77777777" w:rsidR="00114903" w:rsidRPr="00A55C0D" w:rsidRDefault="00114903" w:rsidP="00114903">
      <w:r w:rsidRPr="00A55C0D">
        <w:t>3</w:t>
      </w:r>
      <w:r w:rsidRPr="00A55C0D">
        <w:tab/>
        <w:t>that the result of the activities of regional groups be sent for use, as appropriate, in the ITU Telecommunication Development Sector,</w:t>
      </w:r>
    </w:p>
    <w:p w14:paraId="40D25EB0" w14:textId="77777777" w:rsidR="00114903" w:rsidRPr="00A55C0D" w:rsidRDefault="00114903" w:rsidP="00114903">
      <w:pPr>
        <w:pStyle w:val="Call"/>
      </w:pPr>
      <w:r w:rsidRPr="00A55C0D">
        <w:t>requests the Director of the Telecommunication Development Bureau</w:t>
      </w:r>
    </w:p>
    <w:p w14:paraId="61875A88" w14:textId="77777777" w:rsidR="00114903" w:rsidRPr="00A55C0D" w:rsidRDefault="00114903" w:rsidP="00114903">
      <w:r w:rsidRPr="00A55C0D">
        <w:t>1</w:t>
      </w:r>
      <w:r w:rsidRPr="00A55C0D">
        <w:tab/>
        <w:t xml:space="preserve">to implement a functional structure for the regional offices to support the activities of the regional </w:t>
      </w:r>
      <w:proofErr w:type="gramStart"/>
      <w:r w:rsidRPr="00A55C0D">
        <w:t>groups;</w:t>
      </w:r>
      <w:proofErr w:type="gramEnd"/>
    </w:p>
    <w:p w14:paraId="20A8F005" w14:textId="77777777" w:rsidR="00114903" w:rsidRPr="00A55C0D" w:rsidRDefault="00114903" w:rsidP="00114903">
      <w:pPr>
        <w:rPr>
          <w:lang w:eastAsia="zh-CN"/>
        </w:rPr>
      </w:pPr>
      <w:r w:rsidRPr="00A55C0D">
        <w:t>2</w:t>
      </w:r>
      <w:r w:rsidRPr="00A55C0D">
        <w:tab/>
        <w:t>to facilitate and support chairmen and vice-chairmen of ITU</w:t>
      </w:r>
      <w:r w:rsidRPr="00A55C0D">
        <w:noBreakHyphen/>
        <w:t xml:space="preserve">T study groups from developing countries in promoting standardization activities and mobilizing members in subregional groups through workshops, </w:t>
      </w:r>
      <w:proofErr w:type="gramStart"/>
      <w:r w:rsidRPr="00A55C0D">
        <w:t>seminars</w:t>
      </w:r>
      <w:proofErr w:type="gramEnd"/>
      <w:r w:rsidRPr="00A55C0D">
        <w:t xml:space="preserve"> and forums</w:t>
      </w:r>
      <w:r w:rsidRPr="00A55C0D">
        <w:rPr>
          <w:lang w:eastAsia="zh-CN"/>
        </w:rPr>
        <w:t>.</w:t>
      </w:r>
    </w:p>
    <w:p w14:paraId="0C0CB6C7" w14:textId="77777777" w:rsidR="00114903" w:rsidRPr="00A55C0D" w:rsidRDefault="00114903" w:rsidP="00114903">
      <w:pPr>
        <w:pStyle w:val="Reasons"/>
      </w:pPr>
    </w:p>
    <w:p w14:paraId="4ECEF103" w14:textId="77777777" w:rsidR="00542A8B" w:rsidRDefault="00542A8B"/>
    <w:sectPr w:rsidR="00542A8B" w:rsidSect="00A16235">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418" w:left="1134" w:header="720" w:footer="709"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9E2F8" w14:textId="77777777" w:rsidR="00A16235" w:rsidRDefault="00A16235" w:rsidP="00A16235">
      <w:pPr>
        <w:spacing w:before="0"/>
      </w:pPr>
      <w:r>
        <w:separator/>
      </w:r>
    </w:p>
  </w:endnote>
  <w:endnote w:type="continuationSeparator" w:id="0">
    <w:p w14:paraId="33275B55" w14:textId="77777777" w:rsidR="00A16235" w:rsidRDefault="00A16235" w:rsidP="00A1623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EA33B" w14:textId="77777777" w:rsidR="00A16235" w:rsidRDefault="00A162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0A893" w14:textId="77777777" w:rsidR="00A16235" w:rsidRDefault="00A162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9BEC1" w14:textId="77777777" w:rsidR="00A16235" w:rsidRDefault="00A16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502C8" w14:textId="77777777" w:rsidR="00A16235" w:rsidRDefault="00A16235" w:rsidP="00A16235">
      <w:pPr>
        <w:spacing w:before="0"/>
      </w:pPr>
      <w:r>
        <w:separator/>
      </w:r>
    </w:p>
  </w:footnote>
  <w:footnote w:type="continuationSeparator" w:id="0">
    <w:p w14:paraId="1D4D753C" w14:textId="77777777" w:rsidR="00A16235" w:rsidRDefault="00A16235" w:rsidP="00A1623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784548148"/>
      <w:docPartObj>
        <w:docPartGallery w:val="Page Numbers (Top of Page)"/>
        <w:docPartUnique/>
      </w:docPartObj>
    </w:sdtPr>
    <w:sdtContent>
      <w:p w14:paraId="5CEFD3F6" w14:textId="1877DAF5" w:rsidR="00A16235" w:rsidRPr="00A16235" w:rsidRDefault="00A16235" w:rsidP="00A16235">
        <w:pPr>
          <w:pStyle w:val="Header"/>
          <w:tabs>
            <w:tab w:val="clear" w:pos="4513"/>
            <w:tab w:val="clear" w:pos="9026"/>
            <w:tab w:val="left" w:pos="567"/>
            <w:tab w:val="right" w:pos="9072"/>
            <w:tab w:val="right" w:pos="9639"/>
          </w:tabs>
          <w:jc w:val="left"/>
          <w:rPr>
            <w:sz w:val="16"/>
            <w:szCs w:val="16"/>
          </w:rPr>
        </w:pPr>
        <w:r w:rsidRPr="00713E5A">
          <w:rPr>
            <w:sz w:val="16"/>
            <w:szCs w:val="16"/>
          </w:rPr>
          <w:fldChar w:fldCharType="begin"/>
        </w:r>
        <w:r w:rsidRPr="00690486">
          <w:rPr>
            <w:sz w:val="16"/>
            <w:szCs w:val="16"/>
          </w:rPr>
          <w:instrText xml:space="preserve"> PAGE   \* MERGEFORMAT </w:instrText>
        </w:r>
        <w:r w:rsidRPr="00713E5A">
          <w:rPr>
            <w:sz w:val="16"/>
            <w:szCs w:val="16"/>
          </w:rPr>
          <w:fldChar w:fldCharType="separate"/>
        </w:r>
        <w:r>
          <w:rPr>
            <w:sz w:val="16"/>
            <w:szCs w:val="16"/>
          </w:rPr>
          <w:t>2</w:t>
        </w:r>
        <w:r w:rsidRPr="00713E5A">
          <w:rPr>
            <w:noProof/>
            <w:sz w:val="16"/>
            <w:szCs w:val="16"/>
          </w:rPr>
          <w:fldChar w:fldCharType="end"/>
        </w:r>
        <w:r w:rsidRPr="00690486">
          <w:rPr>
            <w:sz w:val="16"/>
            <w:szCs w:val="16"/>
          </w:rPr>
          <w:tab/>
        </w:r>
        <w:r w:rsidRPr="00FE7DF3">
          <w:rPr>
            <w:sz w:val="16"/>
            <w:szCs w:val="16"/>
          </w:rPr>
          <w:t>WTDC-22 Final Report – Part I</w:t>
        </w:r>
        <w:r>
          <w:rPr>
            <w:sz w:val="16"/>
            <w:szCs w:val="16"/>
          </w:rPr>
          <w:t>V</w:t>
        </w:r>
        <w:r w:rsidRPr="00FE7DF3">
          <w:rPr>
            <w:sz w:val="16"/>
            <w:szCs w:val="16"/>
          </w:rPr>
          <w:t xml:space="preserve"> – </w:t>
        </w:r>
        <w:r w:rsidRPr="005F3880">
          <w:rPr>
            <w:sz w:val="16"/>
            <w:szCs w:val="16"/>
          </w:rPr>
          <w:t>Recommendation ITU-D</w:t>
        </w:r>
        <w:r w:rsidRPr="00642CD3">
          <w:rPr>
            <w:sz w:val="16"/>
            <w:szCs w:val="16"/>
          </w:rPr>
          <w:t xml:space="preserve"> </w:t>
        </w:r>
        <w:r w:rsidRPr="00642CD3">
          <w:rPr>
            <w:sz w:val="16"/>
            <w:szCs w:val="16"/>
          </w:rPr>
          <w:fldChar w:fldCharType="begin"/>
        </w:r>
        <w:r w:rsidRPr="00642CD3">
          <w:rPr>
            <w:sz w:val="16"/>
            <w:szCs w:val="16"/>
          </w:rPr>
          <w:instrText>styleref href</w:instrText>
        </w:r>
        <w:r w:rsidRPr="00642CD3">
          <w:rPr>
            <w:sz w:val="16"/>
            <w:szCs w:val="16"/>
          </w:rPr>
          <w:fldChar w:fldCharType="separate"/>
        </w:r>
        <w:r w:rsidR="00896B4C">
          <w:rPr>
            <w:noProof/>
            <w:sz w:val="16"/>
            <w:szCs w:val="16"/>
          </w:rPr>
          <w:t>22</w:t>
        </w:r>
        <w:r w:rsidRPr="00642CD3">
          <w:rPr>
            <w:sz w:val="16"/>
            <w:szCs w:val="16"/>
          </w:rPr>
          <w:fldChar w:fldCharType="end"/>
        </w:r>
        <w:r>
          <w:rPr>
            <w:sz w:val="16"/>
            <w:szCs w:val="16"/>
          </w:rP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501732494"/>
      <w:docPartObj>
        <w:docPartGallery w:val="Page Numbers (Top of Page)"/>
        <w:docPartUnique/>
      </w:docPartObj>
    </w:sdtPr>
    <w:sdtContent>
      <w:p w14:paraId="5566FAA0" w14:textId="0A21F350" w:rsidR="00A16235" w:rsidRPr="00A16235" w:rsidRDefault="00A16235" w:rsidP="00A16235">
        <w:pPr>
          <w:pStyle w:val="Header"/>
          <w:tabs>
            <w:tab w:val="clear" w:pos="4513"/>
            <w:tab w:val="clear" w:pos="9026"/>
            <w:tab w:val="left" w:pos="567"/>
            <w:tab w:val="right" w:pos="9072"/>
            <w:tab w:val="right" w:pos="9639"/>
          </w:tabs>
          <w:jc w:val="left"/>
          <w:rPr>
            <w:sz w:val="16"/>
            <w:szCs w:val="16"/>
          </w:rPr>
        </w:pPr>
        <w:r w:rsidRPr="00690486">
          <w:rPr>
            <w:sz w:val="16"/>
            <w:szCs w:val="16"/>
          </w:rPr>
          <w:tab/>
        </w:r>
        <w:r>
          <w:rPr>
            <w:sz w:val="16"/>
            <w:szCs w:val="16"/>
          </w:rPr>
          <w:tab/>
        </w:r>
        <w:r w:rsidRPr="00FE7DF3">
          <w:rPr>
            <w:sz w:val="16"/>
            <w:szCs w:val="16"/>
          </w:rPr>
          <w:t>WTDC-22 Final Report – Part I</w:t>
        </w:r>
        <w:r>
          <w:rPr>
            <w:sz w:val="16"/>
            <w:szCs w:val="16"/>
          </w:rPr>
          <w:t>V</w:t>
        </w:r>
        <w:r w:rsidRPr="00FE7DF3">
          <w:rPr>
            <w:sz w:val="16"/>
            <w:szCs w:val="16"/>
          </w:rPr>
          <w:t xml:space="preserve"> – </w:t>
        </w:r>
        <w:r w:rsidRPr="005F3880">
          <w:rPr>
            <w:sz w:val="16"/>
            <w:szCs w:val="16"/>
          </w:rPr>
          <w:t>Recommendation ITU-D</w:t>
        </w:r>
        <w:r w:rsidRPr="00642CD3">
          <w:rPr>
            <w:sz w:val="16"/>
            <w:szCs w:val="16"/>
          </w:rPr>
          <w:t xml:space="preserve"> </w:t>
        </w:r>
        <w:r w:rsidRPr="00642CD3">
          <w:rPr>
            <w:sz w:val="16"/>
            <w:szCs w:val="16"/>
          </w:rPr>
          <w:fldChar w:fldCharType="begin"/>
        </w:r>
        <w:r w:rsidRPr="00642CD3">
          <w:rPr>
            <w:sz w:val="16"/>
            <w:szCs w:val="16"/>
          </w:rPr>
          <w:instrText>styleref href</w:instrText>
        </w:r>
        <w:r w:rsidRPr="00642CD3">
          <w:rPr>
            <w:sz w:val="16"/>
            <w:szCs w:val="16"/>
          </w:rPr>
          <w:fldChar w:fldCharType="separate"/>
        </w:r>
        <w:r w:rsidR="00896B4C">
          <w:rPr>
            <w:noProof/>
            <w:sz w:val="16"/>
            <w:szCs w:val="16"/>
          </w:rPr>
          <w:t>22</w:t>
        </w:r>
        <w:r w:rsidRPr="00642CD3">
          <w:rPr>
            <w:sz w:val="16"/>
            <w:szCs w:val="16"/>
          </w:rPr>
          <w:fldChar w:fldCharType="end"/>
        </w:r>
        <w:r>
          <w:rPr>
            <w:sz w:val="16"/>
            <w:szCs w:val="16"/>
          </w:rPr>
          <w:tab/>
        </w:r>
        <w:r w:rsidRPr="00713E5A">
          <w:rPr>
            <w:sz w:val="16"/>
            <w:szCs w:val="16"/>
          </w:rPr>
          <w:fldChar w:fldCharType="begin"/>
        </w:r>
        <w:r w:rsidRPr="00690486">
          <w:rPr>
            <w:sz w:val="16"/>
            <w:szCs w:val="16"/>
          </w:rPr>
          <w:instrText xml:space="preserve"> PAGE   \* MERGEFORMAT </w:instrText>
        </w:r>
        <w:r w:rsidRPr="00713E5A">
          <w:rPr>
            <w:sz w:val="16"/>
            <w:szCs w:val="16"/>
          </w:rPr>
          <w:fldChar w:fldCharType="separate"/>
        </w:r>
        <w:r>
          <w:rPr>
            <w:sz w:val="16"/>
            <w:szCs w:val="16"/>
          </w:rPr>
          <w:t>513</w:t>
        </w:r>
        <w:r w:rsidRPr="00713E5A">
          <w:rPr>
            <w:noProof/>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5153A" w14:textId="77777777" w:rsidR="00A16235" w:rsidRDefault="00A162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903"/>
    <w:rsid w:val="00114903"/>
    <w:rsid w:val="00542A8B"/>
    <w:rsid w:val="00566FD7"/>
    <w:rsid w:val="00715D30"/>
    <w:rsid w:val="00896B4C"/>
    <w:rsid w:val="00A16235"/>
    <w:rsid w:val="00D51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F12BE3"/>
  <w14:defaultImageDpi w14:val="32767"/>
  <w15:chartTrackingRefBased/>
  <w15:docId w15:val="{E889AFB7-8B42-414D-9114-90346A128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903"/>
    <w:pPr>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Times New Roman" w:cs="Times New Roman"/>
      <w:kern w:val="0"/>
      <w:sz w:val="24"/>
      <w:szCs w:val="20"/>
      <w14:ligatures w14:val="none"/>
    </w:rPr>
  </w:style>
  <w:style w:type="paragraph" w:styleId="Heading2">
    <w:name w:val="heading 2"/>
    <w:basedOn w:val="Normal"/>
    <w:next w:val="Normal"/>
    <w:link w:val="Heading2Char"/>
    <w:uiPriority w:val="9"/>
    <w:semiHidden/>
    <w:unhideWhenUsed/>
    <w:qFormat/>
    <w:rsid w:val="0011490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114903"/>
    <w:pPr>
      <w:keepNext/>
      <w:keepLines/>
      <w:spacing w:before="160"/>
      <w:ind w:left="1134"/>
    </w:pPr>
    <w:rPr>
      <w:i/>
    </w:rPr>
  </w:style>
  <w:style w:type="paragraph" w:customStyle="1" w:styleId="enumlev1">
    <w:name w:val="enumlev1"/>
    <w:basedOn w:val="Normal"/>
    <w:link w:val="enumlev1Char"/>
    <w:rsid w:val="00114903"/>
    <w:pPr>
      <w:tabs>
        <w:tab w:val="clear" w:pos="2268"/>
        <w:tab w:val="left" w:pos="2608"/>
        <w:tab w:val="left" w:pos="3345"/>
      </w:tabs>
      <w:spacing w:before="80"/>
      <w:ind w:left="1134" w:hanging="1134"/>
    </w:pPr>
  </w:style>
  <w:style w:type="paragraph" w:customStyle="1" w:styleId="Normalaftertitle">
    <w:name w:val="Normal after title"/>
    <w:basedOn w:val="Normal"/>
    <w:next w:val="Normal"/>
    <w:link w:val="NormalaftertitleChar"/>
    <w:rsid w:val="00114903"/>
    <w:pPr>
      <w:spacing w:before="280"/>
    </w:pPr>
  </w:style>
  <w:style w:type="paragraph" w:customStyle="1" w:styleId="Reasons">
    <w:name w:val="Reasons"/>
    <w:basedOn w:val="Normal"/>
    <w:qFormat/>
    <w:rsid w:val="00114903"/>
    <w:pPr>
      <w:tabs>
        <w:tab w:val="clear" w:pos="2268"/>
        <w:tab w:val="left" w:pos="1588"/>
        <w:tab w:val="left" w:pos="1985"/>
      </w:tabs>
    </w:pPr>
  </w:style>
  <w:style w:type="paragraph" w:customStyle="1" w:styleId="RecNo">
    <w:name w:val="Rec_No"/>
    <w:basedOn w:val="Heading2"/>
    <w:next w:val="Normal"/>
    <w:rsid w:val="00114903"/>
    <w:pPr>
      <w:spacing w:before="480"/>
      <w:ind w:left="1134" w:hanging="1134"/>
      <w:jc w:val="center"/>
    </w:pPr>
    <w:rPr>
      <w:rFonts w:asciiTheme="minorHAnsi" w:eastAsia="Times New Roman" w:hAnsiTheme="minorHAnsi" w:cs="Times New Roman"/>
      <w:caps/>
      <w:color w:val="auto"/>
      <w:sz w:val="28"/>
      <w:szCs w:val="20"/>
    </w:rPr>
  </w:style>
  <w:style w:type="paragraph" w:customStyle="1" w:styleId="Rectitle">
    <w:name w:val="Rec_title"/>
    <w:basedOn w:val="RecNo"/>
    <w:next w:val="Normal"/>
    <w:rsid w:val="00114903"/>
    <w:pPr>
      <w:spacing w:before="240"/>
    </w:pPr>
    <w:rPr>
      <w:b/>
      <w:caps w:val="0"/>
    </w:rPr>
  </w:style>
  <w:style w:type="character" w:customStyle="1" w:styleId="NormalaftertitleChar">
    <w:name w:val="Normal after title Char"/>
    <w:basedOn w:val="DefaultParagraphFont"/>
    <w:link w:val="Normalaftertitle"/>
    <w:locked/>
    <w:rsid w:val="00114903"/>
    <w:rPr>
      <w:rFonts w:eastAsia="Times New Roman" w:cs="Times New Roman"/>
      <w:kern w:val="0"/>
      <w:sz w:val="24"/>
      <w:szCs w:val="20"/>
      <w14:ligatures w14:val="none"/>
    </w:rPr>
  </w:style>
  <w:style w:type="character" w:customStyle="1" w:styleId="href">
    <w:name w:val="href"/>
    <w:basedOn w:val="DefaultParagraphFont"/>
    <w:rsid w:val="00114903"/>
    <w:rPr>
      <w:color w:val="auto"/>
    </w:rPr>
  </w:style>
  <w:style w:type="character" w:customStyle="1" w:styleId="enumlev1Char">
    <w:name w:val="enumlev1 Char"/>
    <w:basedOn w:val="DefaultParagraphFont"/>
    <w:link w:val="enumlev1"/>
    <w:locked/>
    <w:rsid w:val="00114903"/>
    <w:rPr>
      <w:rFonts w:eastAsia="Times New Roman" w:cs="Times New Roman"/>
      <w:kern w:val="0"/>
      <w:sz w:val="24"/>
      <w:szCs w:val="20"/>
      <w14:ligatures w14:val="none"/>
    </w:rPr>
  </w:style>
  <w:style w:type="character" w:customStyle="1" w:styleId="CallChar">
    <w:name w:val="Call Char"/>
    <w:basedOn w:val="DefaultParagraphFont"/>
    <w:link w:val="Call"/>
    <w:locked/>
    <w:rsid w:val="00114903"/>
    <w:rPr>
      <w:rFonts w:eastAsia="Times New Roman" w:cs="Times New Roman"/>
      <w:i/>
      <w:kern w:val="0"/>
      <w:sz w:val="24"/>
      <w:szCs w:val="20"/>
      <w14:ligatures w14:val="none"/>
    </w:rPr>
  </w:style>
  <w:style w:type="character" w:customStyle="1" w:styleId="Heading2Char">
    <w:name w:val="Heading 2 Char"/>
    <w:basedOn w:val="DefaultParagraphFont"/>
    <w:link w:val="Heading2"/>
    <w:uiPriority w:val="9"/>
    <w:semiHidden/>
    <w:rsid w:val="00114903"/>
    <w:rPr>
      <w:rFonts w:asciiTheme="majorHAnsi" w:eastAsiaTheme="majorEastAsia" w:hAnsiTheme="majorHAnsi" w:cstheme="majorBidi"/>
      <w:color w:val="2F5496" w:themeColor="accent1" w:themeShade="BF"/>
      <w:kern w:val="0"/>
      <w:sz w:val="26"/>
      <w:szCs w:val="26"/>
      <w14:ligatures w14:val="none"/>
    </w:rPr>
  </w:style>
  <w:style w:type="paragraph" w:styleId="Header">
    <w:name w:val="header"/>
    <w:basedOn w:val="Normal"/>
    <w:link w:val="HeaderChar"/>
    <w:uiPriority w:val="1"/>
    <w:unhideWhenUsed/>
    <w:rsid w:val="00A16235"/>
    <w:pPr>
      <w:tabs>
        <w:tab w:val="clear" w:pos="1134"/>
        <w:tab w:val="clear" w:pos="1871"/>
        <w:tab w:val="clear" w:pos="2268"/>
        <w:tab w:val="center" w:pos="4513"/>
        <w:tab w:val="right" w:pos="9026"/>
      </w:tabs>
      <w:spacing w:before="0"/>
    </w:pPr>
  </w:style>
  <w:style w:type="character" w:customStyle="1" w:styleId="HeaderChar">
    <w:name w:val="Header Char"/>
    <w:basedOn w:val="DefaultParagraphFont"/>
    <w:link w:val="Header"/>
    <w:rsid w:val="00A16235"/>
    <w:rPr>
      <w:rFonts w:eastAsia="Times New Roman" w:cs="Times New Roman"/>
      <w:kern w:val="0"/>
      <w:sz w:val="24"/>
      <w:szCs w:val="20"/>
      <w14:ligatures w14:val="none"/>
    </w:rPr>
  </w:style>
  <w:style w:type="paragraph" w:styleId="Footer">
    <w:name w:val="footer"/>
    <w:basedOn w:val="Normal"/>
    <w:link w:val="FooterChar"/>
    <w:uiPriority w:val="99"/>
    <w:unhideWhenUsed/>
    <w:rsid w:val="00A16235"/>
    <w:pPr>
      <w:tabs>
        <w:tab w:val="clear" w:pos="1134"/>
        <w:tab w:val="clear" w:pos="1871"/>
        <w:tab w:val="clear" w:pos="2268"/>
        <w:tab w:val="center" w:pos="4513"/>
        <w:tab w:val="right" w:pos="9026"/>
      </w:tabs>
      <w:spacing w:before="0"/>
    </w:pPr>
  </w:style>
  <w:style w:type="character" w:customStyle="1" w:styleId="FooterChar">
    <w:name w:val="Footer Char"/>
    <w:basedOn w:val="DefaultParagraphFont"/>
    <w:link w:val="Footer"/>
    <w:uiPriority w:val="99"/>
    <w:rsid w:val="00A16235"/>
    <w:rPr>
      <w:rFonts w:eastAsia="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510</Words>
  <Characters>2985</Characters>
  <Application>Microsoft Office Word</Application>
  <DocSecurity>0</DocSecurity>
  <Lines>41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ITU-D 22</dc:title>
  <dc:subject/>
  <dc:creator>Gachet, Christelle</dc:creator>
  <cp:keywords/>
  <dc:description/>
  <cp:lastModifiedBy>Gachet, Christelle</cp:lastModifiedBy>
  <cp:revision>5</cp:revision>
  <cp:lastPrinted>2023-10-16T11:48:00Z</cp:lastPrinted>
  <dcterms:created xsi:type="dcterms:W3CDTF">2023-10-16T11:46:00Z</dcterms:created>
  <dcterms:modified xsi:type="dcterms:W3CDTF">2023-10-16T11:49:00Z</dcterms:modified>
</cp:coreProperties>
</file>