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D1DC" w14:textId="77777777" w:rsidR="00F26DB9" w:rsidRPr="007D4F79" w:rsidRDefault="00F26DB9" w:rsidP="00F26DB9">
      <w:pPr>
        <w:pStyle w:val="RecNo"/>
        <w:rPr>
          <w:rFonts w:cstheme="minorHAnsi"/>
          <w:lang w:val="fr-FR"/>
        </w:rPr>
      </w:pPr>
      <w:bookmarkStart w:id="0" w:name="_Toc116542458"/>
      <w:r w:rsidRPr="007D4F79">
        <w:rPr>
          <w:rFonts w:cstheme="minorHAnsi"/>
          <w:lang w:val="fr-FR"/>
        </w:rPr>
        <w:t xml:space="preserve">RECOMMANDATION UIT-D </w:t>
      </w:r>
      <w:r w:rsidRPr="007D4F79">
        <w:rPr>
          <w:rStyle w:val="href"/>
          <w:lang w:val="fr-FR"/>
        </w:rPr>
        <w:t>20</w:t>
      </w:r>
      <w:bookmarkEnd w:id="0"/>
    </w:p>
    <w:p w14:paraId="58CEA848" w14:textId="77777777" w:rsidR="00F26DB9" w:rsidRPr="007D4F79" w:rsidRDefault="00F26DB9" w:rsidP="00F26DB9">
      <w:pPr>
        <w:pStyle w:val="Rectitle"/>
        <w:rPr>
          <w:rFonts w:cstheme="minorHAnsi"/>
          <w:lang w:val="fr-FR"/>
        </w:rPr>
      </w:pPr>
      <w:bookmarkStart w:id="1" w:name="_Toc116542459"/>
      <w:r w:rsidRPr="007D4F79">
        <w:rPr>
          <w:rFonts w:cstheme="minorHAnsi"/>
          <w:lang w:val="fr-FR"/>
        </w:rPr>
        <w:t xml:space="preserve">Initiatives politiques et réglementaires en faveur du développement des télécommunications/technologies de l'information et de la </w:t>
      </w:r>
      <w:r w:rsidRPr="007D4F79">
        <w:rPr>
          <w:rFonts w:cstheme="minorHAnsi"/>
          <w:lang w:val="fr-FR"/>
        </w:rPr>
        <w:br/>
        <w:t>communication/du large bande dans les zones rurales et isolées</w:t>
      </w:r>
      <w:bookmarkEnd w:id="1"/>
    </w:p>
    <w:p w14:paraId="0B1AB750" w14:textId="77777777" w:rsidR="00F26DB9" w:rsidRPr="007D4F79" w:rsidRDefault="00F26DB9" w:rsidP="00F26DB9">
      <w:pPr>
        <w:pStyle w:val="Normalaftertitle"/>
        <w:spacing w:before="360"/>
        <w:rPr>
          <w:rFonts w:cstheme="minorHAnsi"/>
          <w:szCs w:val="24"/>
          <w:lang w:val="fr-FR"/>
        </w:rPr>
      </w:pPr>
      <w:r w:rsidRPr="007D4F79">
        <w:rPr>
          <w:rFonts w:cstheme="minorHAnsi"/>
          <w:lang w:val="fr-FR"/>
        </w:rPr>
        <w:t>La Conférence mondiale de développement des télécommunications (Dubaï, 2014),</w:t>
      </w:r>
    </w:p>
    <w:p w14:paraId="1AF733C8" w14:textId="77777777" w:rsidR="00F26DB9" w:rsidRPr="007D4F79" w:rsidRDefault="00F26DB9" w:rsidP="00F26DB9">
      <w:pPr>
        <w:pStyle w:val="Call"/>
        <w:rPr>
          <w:rFonts w:cstheme="minorHAnsi"/>
          <w:lang w:val="fr-FR"/>
        </w:rPr>
      </w:pPr>
      <w:r w:rsidRPr="007D4F79">
        <w:rPr>
          <w:rFonts w:cstheme="minorHAnsi"/>
          <w:lang w:val="fr-FR"/>
        </w:rPr>
        <w:t>considérant</w:t>
      </w:r>
    </w:p>
    <w:p w14:paraId="188A5095" w14:textId="77777777" w:rsidR="00F26DB9" w:rsidRPr="007D4F79" w:rsidRDefault="00F26DB9" w:rsidP="00F26DB9">
      <w:pPr>
        <w:rPr>
          <w:lang w:val="fr-FR"/>
        </w:rPr>
      </w:pPr>
      <w:r w:rsidRPr="007D4F79">
        <w:rPr>
          <w:i/>
          <w:iCs/>
          <w:lang w:val="fr-FR"/>
        </w:rPr>
        <w:t>a)</w:t>
      </w:r>
      <w:r w:rsidRPr="007D4F79">
        <w:rPr>
          <w:lang w:val="fr-FR"/>
        </w:rPr>
        <w:tab/>
        <w:t>que les télécommunications/technologies de l'information et de la communication (TIC)/le large bande jouent un rôle important dans la fourniture de services, en particulier de cyberapplications, dans les zones rurales et isolées des pays développés, des pays dont l'économie est en transition, des pays en développement et des pays les moins avancés (PMA), pour l'autonomisation des populations, la promotion de la culture, l'amélioration de la qualité de vie dans les communautés rurales, le développement économique, etc.;</w:t>
      </w:r>
    </w:p>
    <w:p w14:paraId="0D421E34" w14:textId="77777777" w:rsidR="00F26DB9" w:rsidRPr="007D4F79" w:rsidRDefault="00F26DB9" w:rsidP="00F26DB9">
      <w:pPr>
        <w:rPr>
          <w:lang w:val="fr-FR"/>
        </w:rPr>
      </w:pPr>
      <w:r w:rsidRPr="007D4F79">
        <w:rPr>
          <w:i/>
          <w:iCs/>
          <w:lang w:val="fr-FR"/>
        </w:rPr>
        <w:t>b)</w:t>
      </w:r>
      <w:r w:rsidRPr="007D4F79">
        <w:rPr>
          <w:lang w:val="fr-FR"/>
        </w:rPr>
        <w:tab/>
        <w:t>que les Commissions d'études 1 et 2 de l'UIT-D ont poursuivi leurs travaux, afin d'examiner les problèmes que rencontrent les zones rurales et isolées dans le monde en général, et dans les PMA et les pays en développement en particulier, en ce qui concerne diverses questions et notamment, sans toutefois s'y limiter, les différentes techniques et solutions permettant de fournir des services et des cyberapplications, sur la base des contributions soumises par les membres;</w:t>
      </w:r>
    </w:p>
    <w:p w14:paraId="3C8D5B9A" w14:textId="77777777" w:rsidR="00F26DB9" w:rsidRPr="007D4F79" w:rsidRDefault="00F26DB9" w:rsidP="00F26DB9">
      <w:pPr>
        <w:rPr>
          <w:lang w:val="fr-FR"/>
        </w:rPr>
      </w:pPr>
      <w:r w:rsidRPr="007D4F79">
        <w:rPr>
          <w:i/>
          <w:iCs/>
          <w:lang w:val="fr-FR"/>
        </w:rPr>
        <w:t>c)</w:t>
      </w:r>
      <w:r w:rsidRPr="007D4F79">
        <w:rPr>
          <w:lang w:val="fr-FR"/>
        </w:rPr>
        <w:tab/>
        <w:t>que conformément à la Recommandation UIT-D 19 (Hyderabad, 2010), les recommandations précédentes ont été rassemblées et regroupées pour former une seule et même recommandation, sur la base des résultats des études sur les techniques et les solutions à retenir pour le développement des télécommunications/TIC/du large bande dans les zones rurales et isolées qui ont été menées depuis l'élaboration par la CMDT</w:t>
      </w:r>
      <w:r w:rsidRPr="007D4F79">
        <w:rPr>
          <w:lang w:val="fr-FR"/>
        </w:rPr>
        <w:noBreakHyphen/>
        <w:t>94 (Buenos Aires) d'une Question spécialement consacrée à ce thème,</w:t>
      </w:r>
    </w:p>
    <w:p w14:paraId="15FFEAF4" w14:textId="77777777" w:rsidR="00F26DB9" w:rsidRPr="007D4F79" w:rsidRDefault="00F26DB9" w:rsidP="00F26DB9">
      <w:pPr>
        <w:pStyle w:val="Call"/>
        <w:rPr>
          <w:rFonts w:cstheme="minorHAnsi"/>
          <w:lang w:val="fr-FR"/>
        </w:rPr>
      </w:pPr>
      <w:r w:rsidRPr="007D4F79">
        <w:rPr>
          <w:rFonts w:cstheme="minorHAnsi"/>
          <w:lang w:val="fr-FR"/>
        </w:rPr>
        <w:t>reconnaissant</w:t>
      </w:r>
    </w:p>
    <w:p w14:paraId="15E55B79" w14:textId="77777777" w:rsidR="00F26DB9" w:rsidRPr="007D4F79" w:rsidRDefault="00F26DB9" w:rsidP="00F26DB9">
      <w:pPr>
        <w:rPr>
          <w:lang w:val="fr-FR"/>
        </w:rPr>
      </w:pPr>
      <w:r w:rsidRPr="007D4F79">
        <w:rPr>
          <w:i/>
          <w:iCs/>
          <w:lang w:val="fr-FR"/>
        </w:rPr>
        <w:t>a)</w:t>
      </w:r>
      <w:r w:rsidRPr="007D4F79">
        <w:rPr>
          <w:lang w:val="fr-FR"/>
        </w:rPr>
        <w:tab/>
        <w:t>que le Bureau de développement des télécommunications (BDT), dans le cadre des travaux menés par la Commission d'études 2 de l'UIT-D au titre de la Question 10-3/2, a procédé à une enquête afin d'obtenir des renseignements détaillés sur les politiques et les mesures réglementaires prises par les gouvernements du monde entier ainsi que sur les modèles économiques et les modèles d'activité en faveur de la croissance des télécommunications/TIC/du large bande dans les zones rurales et isolées;</w:t>
      </w:r>
    </w:p>
    <w:p w14:paraId="1AF2F9B7" w14:textId="77777777" w:rsidR="00F26DB9" w:rsidRPr="007D4F79" w:rsidRDefault="00F26DB9" w:rsidP="00F26DB9">
      <w:pPr>
        <w:rPr>
          <w:lang w:val="fr-FR"/>
        </w:rPr>
      </w:pPr>
      <w:r w:rsidRPr="007D4F79">
        <w:rPr>
          <w:i/>
          <w:iCs/>
          <w:lang w:val="fr-FR"/>
        </w:rPr>
        <w:t>b)</w:t>
      </w:r>
      <w:r w:rsidRPr="007D4F79">
        <w:rPr>
          <w:lang w:val="fr-FR"/>
        </w:rPr>
        <w:tab/>
        <w:t>que cette enquête visait également à recueillir des renseignements sur les incidences que pourraient avoir ces interventions et initiatives et à les analyser;</w:t>
      </w:r>
    </w:p>
    <w:p w14:paraId="7662A344" w14:textId="77777777" w:rsidR="00F26DB9" w:rsidRDefault="00F26DB9" w:rsidP="00F26DB9">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411E53FA" w14:textId="77777777" w:rsidR="00F26DB9" w:rsidRPr="007D4F79" w:rsidRDefault="00F26DB9" w:rsidP="00F26DB9">
      <w:pPr>
        <w:rPr>
          <w:lang w:val="fr-FR"/>
        </w:rPr>
      </w:pPr>
      <w:r w:rsidRPr="007D4F79">
        <w:rPr>
          <w:i/>
          <w:iCs/>
          <w:lang w:val="fr-FR"/>
        </w:rPr>
        <w:lastRenderedPageBreak/>
        <w:t>c)</w:t>
      </w:r>
      <w:r w:rsidRPr="007D4F79">
        <w:rPr>
          <w:lang w:val="fr-FR"/>
        </w:rPr>
        <w:tab/>
        <w:t>que les éléments d'information recueillis dans le cadre de cette enquête ont été utiles pour l'étude des Questions confiées aux Commissions d'études 1 et 2 de l'UIT-D pour la période d'études 2010</w:t>
      </w:r>
      <w:r w:rsidRPr="007D4F79">
        <w:rPr>
          <w:lang w:val="fr-FR"/>
        </w:rPr>
        <w:noBreakHyphen/>
        <w:t>2014, en vue d'aider les pays à renforcer leurs capacités afin qu'ils puissent surmonter les problèmes liés au développement des télécommunications/TIC/du large bande dans les zones rurales et isolées,</w:t>
      </w:r>
    </w:p>
    <w:p w14:paraId="4388636E" w14:textId="77777777" w:rsidR="00F26DB9" w:rsidRPr="007D4F79" w:rsidRDefault="00F26DB9" w:rsidP="00F26DB9">
      <w:pPr>
        <w:pStyle w:val="Call"/>
        <w:rPr>
          <w:rFonts w:cstheme="minorHAnsi"/>
          <w:lang w:val="fr-FR"/>
        </w:rPr>
      </w:pPr>
      <w:r w:rsidRPr="007D4F79">
        <w:rPr>
          <w:rFonts w:cstheme="minorHAnsi"/>
          <w:lang w:val="fr-FR"/>
        </w:rPr>
        <w:t>tenant compte</w:t>
      </w:r>
    </w:p>
    <w:p w14:paraId="625B42FC" w14:textId="77777777" w:rsidR="00F26DB9" w:rsidRPr="007D4F79" w:rsidRDefault="00F26DB9" w:rsidP="00F26DB9">
      <w:pPr>
        <w:rPr>
          <w:lang w:val="fr-FR"/>
        </w:rPr>
      </w:pPr>
      <w:r w:rsidRPr="007D4F79">
        <w:rPr>
          <w:i/>
          <w:iCs/>
          <w:lang w:val="fr-FR"/>
        </w:rPr>
        <w:t>a)</w:t>
      </w:r>
      <w:r w:rsidRPr="007D4F79">
        <w:rPr>
          <w:lang w:val="fr-FR"/>
        </w:rPr>
        <w:tab/>
        <w:t>des résultats de l'analyse de l'enquête soumis par le BDT à la Commission d'études 2 de l'UIT-D;</w:t>
      </w:r>
    </w:p>
    <w:p w14:paraId="62259716" w14:textId="77777777" w:rsidR="00F26DB9" w:rsidRPr="007D4F79" w:rsidRDefault="00F26DB9" w:rsidP="00F26DB9">
      <w:pPr>
        <w:rPr>
          <w:lang w:val="fr-FR"/>
        </w:rPr>
      </w:pPr>
      <w:r w:rsidRPr="007D4F79">
        <w:rPr>
          <w:i/>
          <w:iCs/>
          <w:lang w:val="fr-FR"/>
        </w:rPr>
        <w:t>b)</w:t>
      </w:r>
      <w:r w:rsidRPr="007D4F79">
        <w:rPr>
          <w:lang w:val="fr-FR"/>
        </w:rPr>
        <w:tab/>
        <w:t>de l'analyse des études de cas soumises à la Commission d'études 2 de l'UIT-D pendant la période d'études 2010-2014;</w:t>
      </w:r>
    </w:p>
    <w:p w14:paraId="57220327" w14:textId="77777777" w:rsidR="00F26DB9" w:rsidRPr="007D4F79" w:rsidRDefault="00F26DB9" w:rsidP="00F26DB9">
      <w:pPr>
        <w:rPr>
          <w:lang w:val="fr-FR"/>
        </w:rPr>
      </w:pPr>
      <w:r w:rsidRPr="007D4F79">
        <w:rPr>
          <w:i/>
          <w:iCs/>
          <w:lang w:val="fr-FR"/>
        </w:rPr>
        <w:t>c)</w:t>
      </w:r>
      <w:r w:rsidRPr="007D4F79">
        <w:rPr>
          <w:lang w:val="fr-FR"/>
        </w:rPr>
        <w:tab/>
        <w:t>du rapport final de la Commission d'études 2 de l'UIT-D sur la Question 10</w:t>
      </w:r>
      <w:r w:rsidRPr="007D4F79">
        <w:rPr>
          <w:lang w:val="fr-FR"/>
        </w:rPr>
        <w:noBreakHyphen/>
        <w:t>3/2, consacré aux "télécommunications/TIC pour les zones rurales et isolées" (2014);</w:t>
      </w:r>
    </w:p>
    <w:p w14:paraId="4EDFD90B" w14:textId="77777777" w:rsidR="00F26DB9" w:rsidRPr="007D4F79" w:rsidRDefault="00F26DB9" w:rsidP="00F26DB9">
      <w:pPr>
        <w:rPr>
          <w:lang w:val="fr-FR"/>
        </w:rPr>
      </w:pPr>
      <w:r w:rsidRPr="007D4F79">
        <w:rPr>
          <w:i/>
          <w:iCs/>
          <w:lang w:val="fr-FR"/>
        </w:rPr>
        <w:t>d)</w:t>
      </w:r>
      <w:r w:rsidRPr="007D4F79">
        <w:rPr>
          <w:lang w:val="fr-FR"/>
        </w:rPr>
        <w:tab/>
        <w:t>du rapport de la Commission sur le large bande au service du développement numérique (2012) soumis à la Commission d'études 2 de l'UIT</w:t>
      </w:r>
      <w:r w:rsidRPr="007D4F79">
        <w:rPr>
          <w:lang w:val="fr-FR"/>
        </w:rPr>
        <w:noBreakHyphen/>
        <w:t>D;</w:t>
      </w:r>
    </w:p>
    <w:p w14:paraId="7C9647B8" w14:textId="77777777" w:rsidR="00F26DB9" w:rsidRPr="007D4F79" w:rsidRDefault="00F26DB9" w:rsidP="00F26DB9">
      <w:pPr>
        <w:rPr>
          <w:lang w:val="fr-FR"/>
        </w:rPr>
      </w:pPr>
      <w:r w:rsidRPr="007D4F79">
        <w:rPr>
          <w:i/>
          <w:iCs/>
          <w:lang w:val="fr-FR"/>
        </w:rPr>
        <w:t>e)</w:t>
      </w:r>
      <w:r w:rsidRPr="007D4F79">
        <w:rPr>
          <w:lang w:val="fr-FR"/>
        </w:rPr>
        <w:tab/>
        <w:t>du rapport de l'UIT sur la mesure de la société de l'information (2012);</w:t>
      </w:r>
    </w:p>
    <w:p w14:paraId="2C4A5E0C" w14:textId="77777777" w:rsidR="00F26DB9" w:rsidRPr="007D4F79" w:rsidRDefault="00F26DB9" w:rsidP="00F26DB9">
      <w:pPr>
        <w:rPr>
          <w:lang w:val="fr-FR"/>
        </w:rPr>
      </w:pPr>
      <w:r w:rsidRPr="007D4F79">
        <w:rPr>
          <w:i/>
          <w:iCs/>
          <w:lang w:val="fr-FR"/>
        </w:rPr>
        <w:t>f)</w:t>
      </w:r>
      <w:r w:rsidRPr="007D4F79">
        <w:rPr>
          <w:lang w:val="fr-FR"/>
        </w:rPr>
        <w:tab/>
        <w:t>du fait qu'alors qu'un pourcentage élevé de la population mondiale est abonné à des services téléphoniques mobiles de base, la connectivité Internet reste limitée dans les pays en développement et les PMA, en particulier dans les zones rurales et isolées de ces pays;</w:t>
      </w:r>
    </w:p>
    <w:p w14:paraId="3C06C41B" w14:textId="77777777" w:rsidR="00F26DB9" w:rsidRPr="007D4F79" w:rsidRDefault="00F26DB9" w:rsidP="00F26DB9">
      <w:pPr>
        <w:rPr>
          <w:lang w:val="fr-FR"/>
        </w:rPr>
      </w:pPr>
      <w:r w:rsidRPr="007D4F79">
        <w:rPr>
          <w:i/>
          <w:iCs/>
          <w:lang w:val="fr-FR"/>
        </w:rPr>
        <w:t>g)</w:t>
      </w:r>
      <w:r w:rsidRPr="007D4F79">
        <w:rPr>
          <w:lang w:val="fr-FR"/>
        </w:rPr>
        <w:tab/>
        <w:t>que de nombreux gouvernements ont pris l'initiative d'élaborer un plan national de réseau à large bande concret qui permettrait également de répondre aux besoins des zones rurales et isolées;</w:t>
      </w:r>
    </w:p>
    <w:p w14:paraId="6A9E202A" w14:textId="77777777" w:rsidR="00F26DB9" w:rsidRPr="007D4F79" w:rsidRDefault="00F26DB9" w:rsidP="00F26DB9">
      <w:pPr>
        <w:rPr>
          <w:lang w:val="fr-FR"/>
        </w:rPr>
      </w:pPr>
      <w:r w:rsidRPr="007D4F79">
        <w:rPr>
          <w:i/>
          <w:iCs/>
          <w:lang w:val="fr-FR"/>
        </w:rPr>
        <w:t>h)</w:t>
      </w:r>
      <w:r w:rsidRPr="007D4F79">
        <w:rPr>
          <w:lang w:val="fr-FR"/>
        </w:rPr>
        <w:tab/>
        <w:t>que certains pays ont d'ores et déjà intégré dans leur politique nationale relative aux télécommunications/TIC la mutualisation des infrastructures passives ou actives, de même que le partage des ressources de fréquences;</w:t>
      </w:r>
    </w:p>
    <w:p w14:paraId="4F44DBB9" w14:textId="77777777" w:rsidR="00F26DB9" w:rsidRPr="007D4F79" w:rsidRDefault="00F26DB9" w:rsidP="00F26DB9">
      <w:pPr>
        <w:rPr>
          <w:lang w:val="fr-FR"/>
        </w:rPr>
      </w:pPr>
      <w:r w:rsidRPr="007D4F79">
        <w:rPr>
          <w:i/>
          <w:iCs/>
          <w:lang w:val="fr-FR"/>
        </w:rPr>
        <w:t>i)</w:t>
      </w:r>
      <w:r w:rsidRPr="007D4F79">
        <w:rPr>
          <w:lang w:val="fr-FR"/>
        </w:rPr>
        <w:tab/>
        <w:t>que les nouveaux titulaires de licences, avec l'appui du Fonds pour le service universel et grâce à la mutualisation des éléments de réseau passifs et actifs fondée sur des offres de référence ainsi que des ressources de fréquences, peuvent fournir des services dans les zones rurales et isolées, en étendant progressivement leurs propres éléments de l'infrastructure de réseau, leurs systèmes de facturation, leurs services client et des plans de tarification indépendants,</w:t>
      </w:r>
    </w:p>
    <w:p w14:paraId="1FAE3AB3" w14:textId="77777777" w:rsidR="00F26DB9" w:rsidRPr="007D4F79" w:rsidRDefault="00F26DB9" w:rsidP="00F26DB9">
      <w:pPr>
        <w:pStyle w:val="Call"/>
        <w:rPr>
          <w:rFonts w:cstheme="minorHAnsi"/>
          <w:lang w:val="fr-FR"/>
        </w:rPr>
      </w:pPr>
      <w:r w:rsidRPr="007D4F79">
        <w:rPr>
          <w:rFonts w:cstheme="minorHAnsi"/>
          <w:lang w:val="fr-FR"/>
        </w:rPr>
        <w:t>notant</w:t>
      </w:r>
    </w:p>
    <w:p w14:paraId="7A0EAD7B" w14:textId="77777777" w:rsidR="00F26DB9" w:rsidRPr="007D4F79" w:rsidRDefault="00F26DB9" w:rsidP="00F26DB9">
      <w:pPr>
        <w:rPr>
          <w:lang w:val="fr-FR"/>
        </w:rPr>
      </w:pPr>
      <w:r w:rsidRPr="007D4F79">
        <w:rPr>
          <w:i/>
          <w:iCs/>
          <w:lang w:val="fr-FR"/>
        </w:rPr>
        <w:t>a)</w:t>
      </w:r>
      <w:r w:rsidRPr="007D4F79">
        <w:rPr>
          <w:lang w:val="fr-FR"/>
        </w:rPr>
        <w:tab/>
        <w:t>que l'analyse des résultats de l'enquête a permis de mettre en évidence les principales interventions et initiatives suivantes:</w:t>
      </w:r>
    </w:p>
    <w:p w14:paraId="20223A53" w14:textId="77777777" w:rsidR="00F26DB9" w:rsidRDefault="00F26DB9" w:rsidP="00F26DB9">
      <w:pPr>
        <w:tabs>
          <w:tab w:val="clear" w:pos="1134"/>
          <w:tab w:val="clear" w:pos="1871"/>
          <w:tab w:val="clear" w:pos="2268"/>
        </w:tabs>
        <w:overflowPunct/>
        <w:autoSpaceDE/>
        <w:autoSpaceDN/>
        <w:adjustRightInd/>
        <w:spacing w:before="0" w:after="0"/>
        <w:jc w:val="left"/>
        <w:textAlignment w:val="auto"/>
        <w:rPr>
          <w:lang w:val="fr-FR"/>
        </w:rPr>
      </w:pPr>
      <w:r>
        <w:rPr>
          <w:lang w:val="fr-FR"/>
        </w:rPr>
        <w:br w:type="page"/>
      </w:r>
    </w:p>
    <w:p w14:paraId="5C2458B1" w14:textId="77777777" w:rsidR="00F26DB9" w:rsidRPr="007D4F79" w:rsidRDefault="00F26DB9" w:rsidP="00F26DB9">
      <w:pPr>
        <w:pStyle w:val="enumlev2"/>
        <w:rPr>
          <w:lang w:val="fr-FR"/>
        </w:rPr>
      </w:pPr>
      <w:r w:rsidRPr="007D4F79">
        <w:rPr>
          <w:lang w:val="fr-FR"/>
        </w:rPr>
        <w:lastRenderedPageBreak/>
        <w:t>i)</w:t>
      </w:r>
      <w:r w:rsidRPr="007D4F79">
        <w:rPr>
          <w:lang w:val="fr-FR"/>
        </w:rPr>
        <w:tab/>
        <w:t>que la définition des "zones rurales et isolées" repose sur la faible densité de population et des conditions géographiques difficiles et que certains pays ont l'obligation, en vertu de licences, de desservir un certain pourcentage de la population dans ces zones;</w:t>
      </w:r>
    </w:p>
    <w:p w14:paraId="796B76A2" w14:textId="77777777" w:rsidR="00F26DB9" w:rsidRPr="007D4F79" w:rsidRDefault="00F26DB9" w:rsidP="00F26DB9">
      <w:pPr>
        <w:pStyle w:val="enumlev2"/>
        <w:rPr>
          <w:lang w:val="fr-FR"/>
        </w:rPr>
      </w:pPr>
      <w:r w:rsidRPr="007D4F79">
        <w:rPr>
          <w:lang w:val="fr-FR"/>
        </w:rPr>
        <w:t>ii)</w:t>
      </w:r>
      <w:r w:rsidRPr="007D4F79">
        <w:rPr>
          <w:lang w:val="fr-FR"/>
        </w:rPr>
        <w:tab/>
        <w:t>que la plupart des pays ayant répondu à l'enquête appliquent des politiques publiques concrètes en ce qui concerne le développement des télécommunications/TIC/du large bande dans les zones rurales et isolées, et qu'ils ont notamment recours aux instruments correspondants – dispositions relatives au service universel, Fonds d'accès universel, obligations en matière de licences, objectifs de couverture en matière de large bande, taux de pénétration et débits de données par exemple – définis dans leurs législations et réglementations relatives aux télécommunications;</w:t>
      </w:r>
    </w:p>
    <w:p w14:paraId="2AB31A1E" w14:textId="77777777" w:rsidR="00F26DB9" w:rsidRPr="007D4F79" w:rsidRDefault="00F26DB9" w:rsidP="00F26DB9">
      <w:pPr>
        <w:pStyle w:val="enumlev2"/>
        <w:rPr>
          <w:lang w:val="fr-FR"/>
        </w:rPr>
      </w:pPr>
      <w:r w:rsidRPr="007D4F79">
        <w:rPr>
          <w:lang w:val="fr-FR"/>
        </w:rPr>
        <w:t>iii)</w:t>
      </w:r>
      <w:r w:rsidRPr="007D4F79">
        <w:rPr>
          <w:lang w:val="fr-FR"/>
        </w:rPr>
        <w:tab/>
        <w:t>que des fonds sont recueillis par les ministères des gouvernements ou les régulateurs des télécommunications des pays, sous la forme d'un pourcentage des recettes annuelles brutes ou dans le cadre d'un autre mécanisme, proportionnellement à leurs recettes/recettes annuelles nettes/chiffre d'affaires et que ces fonds sont également gérés et versés par le ministère concerné ou le régulateur;</w:t>
      </w:r>
    </w:p>
    <w:p w14:paraId="33FDAEB7" w14:textId="77777777" w:rsidR="00F26DB9" w:rsidRPr="007D4F79" w:rsidRDefault="00F26DB9" w:rsidP="00F26DB9">
      <w:pPr>
        <w:pStyle w:val="enumlev2"/>
        <w:rPr>
          <w:lang w:val="fr-FR"/>
        </w:rPr>
      </w:pPr>
      <w:r w:rsidRPr="007D4F79">
        <w:rPr>
          <w:lang w:val="fr-FR"/>
        </w:rPr>
        <w:t>iv)</w:t>
      </w:r>
      <w:r w:rsidRPr="007D4F79">
        <w:rPr>
          <w:lang w:val="fr-FR"/>
        </w:rPr>
        <w:tab/>
        <w:t>que l'élaboration et l'adoption d'un modèle économique ou d'un modèle d'activité approprié sont primordiales pour le développement et la viabilité des réseaux de télécommunication/TIC/large bande ainsi que pour la fourniture de services dans les zones rurales et isolées et qu'il a été constaté que différents types de modèles économiques et de modèles d'activité avaient été adoptés par les États Membres en fonction des spécificités et des besoins des pays;</w:t>
      </w:r>
    </w:p>
    <w:p w14:paraId="262476B4" w14:textId="77777777" w:rsidR="00F26DB9" w:rsidRPr="007D4F79" w:rsidRDefault="00F26DB9" w:rsidP="00F26DB9">
      <w:pPr>
        <w:pStyle w:val="enumlev2"/>
        <w:rPr>
          <w:lang w:val="fr-FR"/>
        </w:rPr>
      </w:pPr>
      <w:r w:rsidRPr="007D4F79">
        <w:rPr>
          <w:lang w:val="fr-FR"/>
        </w:rPr>
        <w:t>v)</w:t>
      </w:r>
      <w:r w:rsidRPr="007D4F79">
        <w:rPr>
          <w:lang w:val="fr-FR"/>
        </w:rPr>
        <w:tab/>
        <w:t>que dans les zones rurales et isolées, la mutualisation des infrastructures de réseau dorsal entre opérateurs, à la différence de la construction d'infrastructures de réseau financée par un budget spécial du gouvernement et le Fonds de service universel, constitue une solution possible;</w:t>
      </w:r>
    </w:p>
    <w:p w14:paraId="5FEA9129" w14:textId="77777777" w:rsidR="00F26DB9" w:rsidRPr="007D4F79" w:rsidRDefault="00F26DB9" w:rsidP="00F26DB9">
      <w:pPr>
        <w:pStyle w:val="enumlev2"/>
        <w:rPr>
          <w:lang w:val="fr-FR"/>
        </w:rPr>
      </w:pPr>
      <w:r w:rsidRPr="007D4F79">
        <w:rPr>
          <w:lang w:val="fr-FR"/>
        </w:rPr>
        <w:t>vi)</w:t>
      </w:r>
      <w:r w:rsidRPr="007D4F79">
        <w:rPr>
          <w:lang w:val="fr-FR"/>
        </w:rPr>
        <w:tab/>
        <w:t>que des cadres politiques, juridiques ou réglementaires spéciaux pour la mutualisation des infrastructures dans les zones rurales et isolées, moyennant par exemple l'utilisation de câbles à fibres optiques et de stations d'émission-réception de base, de pylônes hertziens et d'infrastructures d'appui connexes, est une solution qu'il convient de prendre en compte dans les pays en développement et les PMA,</w:t>
      </w:r>
    </w:p>
    <w:p w14:paraId="44CFAD75" w14:textId="77777777" w:rsidR="00F26DB9" w:rsidRDefault="00F26DB9" w:rsidP="00F26DB9">
      <w:pPr>
        <w:tabs>
          <w:tab w:val="clear" w:pos="1134"/>
          <w:tab w:val="clear" w:pos="1871"/>
          <w:tab w:val="clear" w:pos="2268"/>
        </w:tabs>
        <w:overflowPunct/>
        <w:autoSpaceDE/>
        <w:autoSpaceDN/>
        <w:adjustRightInd/>
        <w:spacing w:before="0" w:after="0"/>
        <w:jc w:val="left"/>
        <w:textAlignment w:val="auto"/>
        <w:rPr>
          <w:rFonts w:cstheme="minorHAnsi"/>
          <w:i/>
          <w:lang w:val="fr-FR"/>
        </w:rPr>
      </w:pPr>
      <w:r>
        <w:rPr>
          <w:rFonts w:cstheme="minorHAnsi"/>
          <w:lang w:val="fr-FR"/>
        </w:rPr>
        <w:br w:type="page"/>
      </w:r>
    </w:p>
    <w:p w14:paraId="6E3E39FE" w14:textId="77777777" w:rsidR="00F26DB9" w:rsidRPr="007D4F79" w:rsidRDefault="00F26DB9" w:rsidP="00F26DB9">
      <w:pPr>
        <w:pStyle w:val="Call"/>
        <w:rPr>
          <w:rFonts w:cstheme="minorHAnsi"/>
          <w:lang w:val="fr-FR"/>
        </w:rPr>
      </w:pPr>
      <w:r w:rsidRPr="007D4F79">
        <w:rPr>
          <w:rFonts w:cstheme="minorHAnsi"/>
          <w:lang w:val="fr-FR"/>
        </w:rPr>
        <w:lastRenderedPageBreak/>
        <w:t>convaincue du fait</w:t>
      </w:r>
    </w:p>
    <w:p w14:paraId="6443B2F7" w14:textId="77777777" w:rsidR="00F26DB9" w:rsidRPr="003B7429" w:rsidRDefault="00F26DB9" w:rsidP="00F26DB9">
      <w:pPr>
        <w:rPr>
          <w:lang w:val="fr-FR"/>
        </w:rPr>
      </w:pPr>
      <w:r w:rsidRPr="003B7429">
        <w:rPr>
          <w:i/>
          <w:iCs/>
          <w:lang w:val="fr-FR"/>
        </w:rPr>
        <w:t>a)</w:t>
      </w:r>
      <w:r w:rsidRPr="003B7429">
        <w:rPr>
          <w:lang w:val="fr-FR"/>
        </w:rPr>
        <w:tab/>
        <w:t>que le développement des télécommunications/TIC/services à large bande est essentiel au développement socio-économique et culturel dans son ensemble ainsi qu'à la promotion d'autres secteurs;</w:t>
      </w:r>
    </w:p>
    <w:p w14:paraId="1435AAF0" w14:textId="77777777" w:rsidR="00F26DB9" w:rsidRPr="003B7429" w:rsidRDefault="00F26DB9" w:rsidP="00F26DB9">
      <w:pPr>
        <w:rPr>
          <w:lang w:val="fr-FR"/>
        </w:rPr>
      </w:pPr>
      <w:r w:rsidRPr="003B7429">
        <w:rPr>
          <w:i/>
          <w:iCs/>
          <w:lang w:val="fr-FR"/>
        </w:rPr>
        <w:t>b)</w:t>
      </w:r>
      <w:r w:rsidRPr="003B7429">
        <w:rPr>
          <w:lang w:val="fr-FR"/>
        </w:rPr>
        <w:tab/>
        <w:t>que le développement de l'infrastructure des TIC constitue une mesure importante pour enrayer la migration vers les zones urbaines;</w:t>
      </w:r>
    </w:p>
    <w:p w14:paraId="69EB80AB" w14:textId="77777777" w:rsidR="00F26DB9" w:rsidRPr="003B7429" w:rsidRDefault="00F26DB9" w:rsidP="00F26DB9">
      <w:pPr>
        <w:rPr>
          <w:lang w:val="fr-FR"/>
        </w:rPr>
      </w:pPr>
      <w:r w:rsidRPr="003B7429">
        <w:rPr>
          <w:i/>
          <w:iCs/>
          <w:lang w:val="fr-FR"/>
        </w:rPr>
        <w:t>c)</w:t>
      </w:r>
      <w:r w:rsidRPr="003B7429">
        <w:rPr>
          <w:lang w:val="fr-FR"/>
        </w:rPr>
        <w:tab/>
        <w:t>que l'infrastructure des télécommunications/TIC est un instrument important pour mesurer les facteurs liés à la protection de l'environnement,</w:t>
      </w:r>
    </w:p>
    <w:p w14:paraId="0AB404E7" w14:textId="77777777" w:rsidR="00F26DB9" w:rsidRPr="007D4F79" w:rsidRDefault="00F26DB9" w:rsidP="00F26DB9">
      <w:pPr>
        <w:pStyle w:val="Call"/>
        <w:rPr>
          <w:rFonts w:cstheme="minorHAnsi"/>
          <w:lang w:val="fr-FR"/>
        </w:rPr>
      </w:pPr>
      <w:r w:rsidRPr="007D4F79">
        <w:rPr>
          <w:rFonts w:cstheme="minorHAnsi"/>
          <w:lang w:val="fr-FR"/>
        </w:rPr>
        <w:t>recommande</w:t>
      </w:r>
    </w:p>
    <w:p w14:paraId="372CD129" w14:textId="77777777" w:rsidR="00F26DB9" w:rsidRPr="003B7429" w:rsidRDefault="00F26DB9" w:rsidP="00F26DB9">
      <w:pPr>
        <w:rPr>
          <w:lang w:val="fr-FR"/>
        </w:rPr>
      </w:pPr>
      <w:r w:rsidRPr="003B7429">
        <w:rPr>
          <w:lang w:val="fr-FR"/>
        </w:rPr>
        <w:t>1</w:t>
      </w:r>
      <w:r w:rsidRPr="003B7429">
        <w:rPr>
          <w:lang w:val="fr-FR"/>
        </w:rPr>
        <w:tab/>
        <w:t>que les gouvernements et les régulateurs du monde entier en général, ainsi que des pays en développement et des PMA en particulier, prennent des mesures réglementaires et politiques pour accélérer le développement des télécommunications/TIC/du large bande dans les zones rurales et isolées, dans le cadre d'interventions ou d'initiatives politiques et réglementaires spéciales qui seront intégrées dans leurs plans nationaux de développement;</w:t>
      </w:r>
    </w:p>
    <w:p w14:paraId="4D60D10F" w14:textId="77777777" w:rsidR="00F26DB9" w:rsidRPr="003B7429" w:rsidRDefault="00F26DB9" w:rsidP="00F26DB9">
      <w:pPr>
        <w:rPr>
          <w:lang w:val="fr-FR"/>
        </w:rPr>
      </w:pPr>
      <w:r w:rsidRPr="003B7429">
        <w:rPr>
          <w:lang w:val="fr-FR"/>
        </w:rPr>
        <w:t>2</w:t>
      </w:r>
      <w:r w:rsidRPr="003B7429">
        <w:rPr>
          <w:lang w:val="fr-FR"/>
        </w:rPr>
        <w:tab/>
        <w:t>que les opérateurs et les fournisseurs de services mettent en œuvre un service universel de télécommunication/TIC dans les zones rurales et isolées;</w:t>
      </w:r>
    </w:p>
    <w:p w14:paraId="16410B03" w14:textId="77777777" w:rsidR="00F26DB9" w:rsidRPr="003B7429" w:rsidRDefault="00F26DB9" w:rsidP="00F26DB9">
      <w:pPr>
        <w:rPr>
          <w:lang w:val="fr-FR"/>
        </w:rPr>
      </w:pPr>
      <w:r w:rsidRPr="003B7429">
        <w:rPr>
          <w:lang w:val="fr-FR"/>
        </w:rPr>
        <w:t>3</w:t>
      </w:r>
      <w:r w:rsidRPr="003B7429">
        <w:rPr>
          <w:lang w:val="fr-FR"/>
        </w:rPr>
        <w:tab/>
        <w:t>que les Membres de Secteur, les Associés et les établissements universitaires prennent des mesures, afin d'entreprendre davantage d'études sur les équipements économiques, à faible consommation d'énergie et propres qui conviennent pour le développement de l'infrastructure des TIC dans les zones rurales et isolées;</w:t>
      </w:r>
    </w:p>
    <w:p w14:paraId="58502E68" w14:textId="77777777" w:rsidR="00F26DB9" w:rsidRPr="003B7429" w:rsidRDefault="00F26DB9" w:rsidP="00F26DB9">
      <w:pPr>
        <w:rPr>
          <w:lang w:val="fr-FR"/>
        </w:rPr>
      </w:pPr>
      <w:r w:rsidRPr="003B7429">
        <w:rPr>
          <w:lang w:val="fr-FR"/>
        </w:rPr>
        <w:t>4</w:t>
      </w:r>
      <w:r w:rsidRPr="003B7429">
        <w:rPr>
          <w:lang w:val="fr-FR"/>
        </w:rPr>
        <w:tab/>
        <w:t>que les techniques et technologies perfectionnées et rentables de développement des infrastructures à large bande les mieux adaptées aux conditions géographiques et économiques des zones rurales et isolées soient mises en place, pour permettre à ces zones d'avoir accès à différentes cyberapplications, en particulier à celles qui les intègrent dans des secteurs nationaux tels que la cybergouvernance, la cybersanté, le cyberenseignement, la cyberagriculture, etc., afin d'insuffler un nouveau dynamisme au sein des communautés rurales par le biais d'interventions ou d'initiatives politiques ou réglementaires;</w:t>
      </w:r>
    </w:p>
    <w:p w14:paraId="17112E17" w14:textId="77777777" w:rsidR="00F26DB9" w:rsidRPr="003B7429" w:rsidRDefault="00F26DB9" w:rsidP="00F26DB9">
      <w:pPr>
        <w:rPr>
          <w:lang w:val="fr-FR"/>
        </w:rPr>
      </w:pPr>
      <w:r w:rsidRPr="003B7429">
        <w:rPr>
          <w:lang w:val="fr-FR"/>
        </w:rPr>
        <w:t>5</w:t>
      </w:r>
      <w:r w:rsidRPr="003B7429">
        <w:rPr>
          <w:lang w:val="fr-FR"/>
        </w:rPr>
        <w:tab/>
        <w:t>que les indices de pauvreté relatifs aux pays ou aux régions publiés par l'Organisation des Nations Unies/la Banque mondiale soient dûment pris en considération lors de la mise en œuvre du service universel de télécommunication/TIC dans les zones rurales et isolées,</w:t>
      </w:r>
    </w:p>
    <w:p w14:paraId="0921E7D3" w14:textId="77777777" w:rsidR="00F26DB9" w:rsidRPr="007D4F79" w:rsidRDefault="00F26DB9" w:rsidP="00F26DB9">
      <w:pPr>
        <w:pStyle w:val="Call"/>
        <w:rPr>
          <w:rFonts w:cstheme="minorHAnsi"/>
          <w:lang w:val="fr-FR"/>
        </w:rPr>
      </w:pPr>
      <w:r w:rsidRPr="007D4F79">
        <w:rPr>
          <w:rFonts w:cstheme="minorHAnsi"/>
          <w:lang w:val="fr-FR"/>
        </w:rPr>
        <w:t>invite le Directeur du BDT</w:t>
      </w:r>
    </w:p>
    <w:p w14:paraId="74C7375B" w14:textId="77777777" w:rsidR="00F26DB9" w:rsidRPr="003B7429" w:rsidRDefault="00F26DB9" w:rsidP="00F26DB9">
      <w:pPr>
        <w:rPr>
          <w:lang w:val="fr-FR"/>
        </w:rPr>
      </w:pPr>
      <w:r w:rsidRPr="003B7429">
        <w:rPr>
          <w:lang w:val="fr-FR"/>
        </w:rPr>
        <w:t>à continuer d'organiser des colloques, des séminaires, des ateliers et des activités connexes sur la question.</w:t>
      </w:r>
    </w:p>
    <w:p w14:paraId="19A3969F" w14:textId="77777777" w:rsidR="00F26DB9" w:rsidRDefault="00F26DB9" w:rsidP="00F26DB9">
      <w:pPr>
        <w:pStyle w:val="Normalhalfspaceafter"/>
      </w:pPr>
    </w:p>
    <w:p w14:paraId="33D60F47" w14:textId="77777777" w:rsidR="00F16487" w:rsidRDefault="00F16487"/>
    <w:sectPr w:rsidR="00F16487" w:rsidSect="00F26DB9">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E8AA9" w14:textId="77777777" w:rsidR="00F26DB9" w:rsidRDefault="00F26DB9" w:rsidP="00F26DB9">
      <w:pPr>
        <w:spacing w:before="0" w:after="0"/>
      </w:pPr>
      <w:r>
        <w:separator/>
      </w:r>
    </w:p>
  </w:endnote>
  <w:endnote w:type="continuationSeparator" w:id="0">
    <w:p w14:paraId="216872FE" w14:textId="77777777" w:rsidR="00F26DB9" w:rsidRDefault="00F26DB9" w:rsidP="00F26DB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CF8BC" w14:textId="77777777" w:rsidR="00F26DB9" w:rsidRDefault="00F26DB9" w:rsidP="00F26DB9">
      <w:pPr>
        <w:spacing w:before="0" w:after="0"/>
      </w:pPr>
      <w:r>
        <w:separator/>
      </w:r>
    </w:p>
  </w:footnote>
  <w:footnote w:type="continuationSeparator" w:id="0">
    <w:p w14:paraId="29401BB9" w14:textId="77777777" w:rsidR="00F26DB9" w:rsidRDefault="00F26DB9" w:rsidP="00F26DB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469739894"/>
      <w:docPartObj>
        <w:docPartGallery w:val="Page Numbers (Top of Page)"/>
        <w:docPartUnique/>
      </w:docPartObj>
    </w:sdtPr>
    <w:sdtEndPr>
      <w:rPr>
        <w:noProof/>
      </w:rPr>
    </w:sdtEndPr>
    <w:sdtContent>
      <w:p w14:paraId="792B106C" w14:textId="3D58E500" w:rsidR="00F26DB9" w:rsidRPr="00F26DB9" w:rsidRDefault="00F26DB9" w:rsidP="00F26DB9">
        <w:pPr>
          <w:tabs>
            <w:tab w:val="left" w:pos="426"/>
            <w:tab w:val="left" w:pos="851"/>
          </w:tabs>
          <w:spacing w:before="0"/>
          <w:jc w:val="left"/>
          <w:rPr>
            <w:rFonts w:ascii="Calibri" w:hAnsi="Calibri"/>
            <w:sz w:val="16"/>
            <w:szCs w:val="16"/>
            <w:lang w:val="fr-FR"/>
          </w:rPr>
        </w:pPr>
        <w:r w:rsidRPr="00F26DB9">
          <w:rPr>
            <w:rFonts w:ascii="Calibri" w:hAnsi="Calibri"/>
            <w:sz w:val="16"/>
            <w:szCs w:val="16"/>
          </w:rPr>
          <w:fldChar w:fldCharType="begin"/>
        </w:r>
        <w:r w:rsidRPr="00F26DB9">
          <w:rPr>
            <w:rFonts w:ascii="Calibri" w:hAnsi="Calibri"/>
            <w:sz w:val="16"/>
            <w:szCs w:val="16"/>
            <w:lang w:val="fr-FR"/>
          </w:rPr>
          <w:instrText xml:space="preserve"> PAGE   \* MERGEFORMAT </w:instrText>
        </w:r>
        <w:r w:rsidRPr="00F26DB9">
          <w:rPr>
            <w:rFonts w:ascii="Calibri" w:hAnsi="Calibri"/>
            <w:sz w:val="16"/>
            <w:szCs w:val="16"/>
          </w:rPr>
          <w:fldChar w:fldCharType="separate"/>
        </w:r>
        <w:r w:rsidRPr="00F26DB9">
          <w:rPr>
            <w:rFonts w:ascii="Calibri" w:hAnsi="Calibri"/>
            <w:sz w:val="16"/>
            <w:szCs w:val="16"/>
          </w:rPr>
          <w:t>410</w:t>
        </w:r>
        <w:r w:rsidRPr="00F26DB9">
          <w:rPr>
            <w:rFonts w:ascii="Calibri" w:hAnsi="Calibri"/>
            <w:noProof/>
            <w:sz w:val="16"/>
            <w:szCs w:val="16"/>
          </w:rPr>
          <w:fldChar w:fldCharType="end"/>
        </w:r>
        <w:r w:rsidRPr="00F26DB9">
          <w:rPr>
            <w:rFonts w:ascii="Calibri" w:hAnsi="Calibri"/>
            <w:sz w:val="16"/>
            <w:szCs w:val="16"/>
            <w:lang w:val="fr-FR"/>
          </w:rPr>
          <w:tab/>
          <w:t>Rapport final de la CMDT-22 – Partie IV – Recommandation UIT-D 2</w:t>
        </w:r>
        <w:r>
          <w:rPr>
            <w:rFonts w:ascii="Calibri" w:hAnsi="Calibri"/>
            <w:sz w:val="16"/>
            <w:szCs w:val="16"/>
            <w:lang w:val="fr-FR"/>
          </w:rPr>
          <w:t>0</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58198926"/>
      <w:docPartObj>
        <w:docPartGallery w:val="Page Numbers (Top of Page)"/>
        <w:docPartUnique/>
      </w:docPartObj>
    </w:sdtPr>
    <w:sdtEndPr>
      <w:rPr>
        <w:noProof/>
      </w:rPr>
    </w:sdtEndPr>
    <w:sdtContent>
      <w:p w14:paraId="06BCE0AC" w14:textId="7110F61A" w:rsidR="00F26DB9" w:rsidRPr="00004366" w:rsidRDefault="00F26DB9" w:rsidP="00F26DB9">
        <w:pPr>
          <w:tabs>
            <w:tab w:val="clear" w:pos="1134"/>
            <w:tab w:val="clear" w:pos="1871"/>
            <w:tab w:val="clear" w:pos="2268"/>
            <w:tab w:val="left" w:pos="4678"/>
            <w:tab w:val="left" w:pos="9356"/>
          </w:tabs>
          <w:spacing w:before="0"/>
          <w:jc w:val="right"/>
          <w:rPr>
            <w:rFonts w:ascii="Calibri" w:hAnsi="Calibri"/>
            <w:sz w:val="16"/>
            <w:szCs w:val="16"/>
            <w:lang w:val="fr-FR"/>
          </w:rPr>
        </w:pPr>
        <w:r w:rsidRPr="00004366">
          <w:rPr>
            <w:rFonts w:ascii="Calibri" w:hAnsi="Calibri"/>
            <w:sz w:val="16"/>
            <w:szCs w:val="16"/>
            <w:lang w:val="fr-FR"/>
          </w:rPr>
          <w:tab/>
          <w:t xml:space="preserve">Rapport final de la CMDT-22 – Partie IV – Recommandation UIT-D </w:t>
        </w:r>
        <w:r>
          <w:rPr>
            <w:rFonts w:ascii="Calibri" w:hAnsi="Calibri"/>
            <w:sz w:val="16"/>
            <w:szCs w:val="16"/>
            <w:lang w:val="fr-FR"/>
          </w:rPr>
          <w:t>20</w:t>
        </w:r>
        <w:r w:rsidRPr="00004366">
          <w:rPr>
            <w:rFonts w:ascii="Calibri" w:hAnsi="Calibri"/>
            <w:sz w:val="16"/>
            <w:szCs w:val="16"/>
            <w:lang w:val="fr-FR"/>
          </w:rPr>
          <w:tab/>
        </w:r>
        <w:r w:rsidRPr="00004366">
          <w:rPr>
            <w:rFonts w:ascii="Calibri" w:hAnsi="Calibri"/>
            <w:sz w:val="16"/>
            <w:szCs w:val="16"/>
          </w:rPr>
          <w:fldChar w:fldCharType="begin"/>
        </w:r>
        <w:r w:rsidRPr="00004366">
          <w:rPr>
            <w:rFonts w:ascii="Calibri" w:hAnsi="Calibri"/>
            <w:sz w:val="16"/>
            <w:szCs w:val="16"/>
            <w:lang w:val="fr-FR"/>
          </w:rPr>
          <w:instrText xml:space="preserve"> PAGE   \* MERGEFORMAT </w:instrText>
        </w:r>
        <w:r w:rsidRPr="00004366">
          <w:rPr>
            <w:rFonts w:ascii="Calibri" w:hAnsi="Calibri"/>
            <w:sz w:val="16"/>
            <w:szCs w:val="16"/>
          </w:rPr>
          <w:fldChar w:fldCharType="separate"/>
        </w:r>
        <w:r>
          <w:rPr>
            <w:rFonts w:ascii="Calibri" w:hAnsi="Calibri"/>
            <w:sz w:val="16"/>
            <w:szCs w:val="16"/>
          </w:rPr>
          <w:t>1</w:t>
        </w:r>
        <w:r w:rsidRPr="00004366">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DB9"/>
    <w:rsid w:val="00400A99"/>
    <w:rsid w:val="0045258F"/>
    <w:rsid w:val="004A0B3D"/>
    <w:rsid w:val="0051703C"/>
    <w:rsid w:val="005C0E4B"/>
    <w:rsid w:val="007359FB"/>
    <w:rsid w:val="0076311C"/>
    <w:rsid w:val="00855D16"/>
    <w:rsid w:val="008630CC"/>
    <w:rsid w:val="00950AD1"/>
    <w:rsid w:val="00DC1DAE"/>
    <w:rsid w:val="00F06AC3"/>
    <w:rsid w:val="00F16487"/>
    <w:rsid w:val="00F26DB9"/>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C943"/>
  <w15:chartTrackingRefBased/>
  <w15:docId w15:val="{442EDDE5-814F-45C1-93EE-D0F7834C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DB9"/>
    <w:pPr>
      <w:tabs>
        <w:tab w:val="left" w:pos="1134"/>
        <w:tab w:val="left" w:pos="1871"/>
        <w:tab w:val="left" w:pos="2268"/>
      </w:tabs>
      <w:overflowPunct w:val="0"/>
      <w:autoSpaceDE w:val="0"/>
      <w:autoSpaceDN w:val="0"/>
      <w:adjustRightInd w:val="0"/>
      <w:spacing w:before="120" w:after="120" w:line="240" w:lineRule="auto"/>
      <w:jc w:val="both"/>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F26DB9"/>
    <w:pPr>
      <w:keepNext/>
      <w:keepLines/>
      <w:spacing w:before="160"/>
      <w:ind w:left="1134"/>
    </w:pPr>
    <w:rPr>
      <w:i/>
    </w:rPr>
  </w:style>
  <w:style w:type="paragraph" w:customStyle="1" w:styleId="enumlev2">
    <w:name w:val="enumlev2"/>
    <w:basedOn w:val="Normal"/>
    <w:link w:val="enumlev2Char"/>
    <w:qFormat/>
    <w:rsid w:val="00F26DB9"/>
    <w:pPr>
      <w:tabs>
        <w:tab w:val="clear" w:pos="2268"/>
        <w:tab w:val="left" w:pos="2608"/>
        <w:tab w:val="left" w:pos="3345"/>
      </w:tabs>
      <w:spacing w:before="40"/>
      <w:ind w:left="1871" w:hanging="737"/>
    </w:pPr>
  </w:style>
  <w:style w:type="paragraph" w:customStyle="1" w:styleId="Normalaftertitle">
    <w:name w:val="Normal after title"/>
    <w:basedOn w:val="Normal"/>
    <w:next w:val="Normal"/>
    <w:link w:val="NormalaftertitleChar"/>
    <w:rsid w:val="00F26DB9"/>
    <w:pPr>
      <w:spacing w:before="280"/>
    </w:pPr>
  </w:style>
  <w:style w:type="paragraph" w:customStyle="1" w:styleId="RecNo">
    <w:name w:val="Rec_No"/>
    <w:basedOn w:val="Normal"/>
    <w:next w:val="Normal"/>
    <w:rsid w:val="00F26DB9"/>
    <w:pPr>
      <w:keepNext/>
      <w:keepLines/>
      <w:spacing w:before="480"/>
      <w:jc w:val="center"/>
      <w:outlineLvl w:val="0"/>
    </w:pPr>
    <w:rPr>
      <w:caps/>
      <w:sz w:val="28"/>
    </w:rPr>
  </w:style>
  <w:style w:type="paragraph" w:customStyle="1" w:styleId="Rectitle">
    <w:name w:val="Rec_title"/>
    <w:basedOn w:val="RecNo"/>
    <w:next w:val="Normal"/>
    <w:rsid w:val="00F26DB9"/>
    <w:pPr>
      <w:spacing w:before="240"/>
    </w:pPr>
    <w:rPr>
      <w:b/>
      <w:caps w:val="0"/>
    </w:rPr>
  </w:style>
  <w:style w:type="character" w:customStyle="1" w:styleId="NormalaftertitleChar">
    <w:name w:val="Normal after title Char"/>
    <w:basedOn w:val="DefaultParagraphFont"/>
    <w:link w:val="Normalaftertitle"/>
    <w:locked/>
    <w:rsid w:val="00F26DB9"/>
    <w:rPr>
      <w:rFonts w:eastAsia="Times New Roman" w:cs="Times New Roman"/>
      <w:sz w:val="24"/>
      <w:szCs w:val="20"/>
      <w:lang w:val="en-GB"/>
    </w:rPr>
  </w:style>
  <w:style w:type="character" w:customStyle="1" w:styleId="href">
    <w:name w:val="href"/>
    <w:basedOn w:val="DefaultParagraphFont"/>
    <w:rsid w:val="00F26DB9"/>
    <w:rPr>
      <w:color w:val="auto"/>
    </w:rPr>
  </w:style>
  <w:style w:type="paragraph" w:customStyle="1" w:styleId="Normalhalfspaceafter">
    <w:name w:val="Normal half space after"/>
    <w:basedOn w:val="Normal"/>
    <w:rsid w:val="00F26DB9"/>
    <w:pPr>
      <w:spacing w:before="0"/>
    </w:pPr>
    <w:rPr>
      <w:rFonts w:eastAsia="SimSun"/>
      <w:color w:val="595959" w:themeColor="text1" w:themeTint="A6"/>
      <w:sz w:val="22"/>
      <w:lang w:val="fr-FR"/>
    </w:rPr>
  </w:style>
  <w:style w:type="character" w:customStyle="1" w:styleId="enumlev2Char">
    <w:name w:val="enumlev2 Char"/>
    <w:basedOn w:val="DefaultParagraphFont"/>
    <w:link w:val="enumlev2"/>
    <w:rsid w:val="00F26DB9"/>
    <w:rPr>
      <w:rFonts w:eastAsia="Times New Roman" w:cs="Times New Roman"/>
      <w:sz w:val="24"/>
      <w:szCs w:val="20"/>
      <w:lang w:val="en-GB"/>
    </w:rPr>
  </w:style>
  <w:style w:type="paragraph" w:styleId="Header">
    <w:name w:val="header"/>
    <w:basedOn w:val="Normal"/>
    <w:link w:val="HeaderChar"/>
    <w:uiPriority w:val="99"/>
    <w:unhideWhenUsed/>
    <w:rsid w:val="00F26DB9"/>
    <w:pPr>
      <w:tabs>
        <w:tab w:val="clear" w:pos="1134"/>
        <w:tab w:val="clear" w:pos="1871"/>
        <w:tab w:val="clear" w:pos="2268"/>
        <w:tab w:val="center" w:pos="4513"/>
        <w:tab w:val="right" w:pos="9026"/>
      </w:tabs>
      <w:spacing w:before="0" w:after="0"/>
    </w:pPr>
  </w:style>
  <w:style w:type="character" w:customStyle="1" w:styleId="HeaderChar">
    <w:name w:val="Header Char"/>
    <w:basedOn w:val="DefaultParagraphFont"/>
    <w:link w:val="Header"/>
    <w:uiPriority w:val="99"/>
    <w:rsid w:val="00F26DB9"/>
    <w:rPr>
      <w:rFonts w:eastAsia="Times New Roman" w:cs="Times New Roman"/>
      <w:sz w:val="24"/>
      <w:szCs w:val="20"/>
      <w:lang w:val="en-GB"/>
    </w:rPr>
  </w:style>
  <w:style w:type="paragraph" w:styleId="Footer">
    <w:name w:val="footer"/>
    <w:basedOn w:val="Normal"/>
    <w:link w:val="FooterChar"/>
    <w:uiPriority w:val="99"/>
    <w:unhideWhenUsed/>
    <w:rsid w:val="00F26DB9"/>
    <w:pPr>
      <w:tabs>
        <w:tab w:val="clear" w:pos="1134"/>
        <w:tab w:val="clear" w:pos="1871"/>
        <w:tab w:val="clear" w:pos="2268"/>
        <w:tab w:val="center" w:pos="4513"/>
        <w:tab w:val="right" w:pos="9026"/>
      </w:tabs>
      <w:spacing w:before="0" w:after="0"/>
    </w:pPr>
  </w:style>
  <w:style w:type="character" w:customStyle="1" w:styleId="FooterChar">
    <w:name w:val="Footer Char"/>
    <w:basedOn w:val="DefaultParagraphFont"/>
    <w:link w:val="Footer"/>
    <w:uiPriority w:val="99"/>
    <w:rsid w:val="00F26DB9"/>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1484</Words>
  <Characters>8165</Characters>
  <Application>Microsoft Office Word</Application>
  <DocSecurity>0</DocSecurity>
  <Lines>68</Lines>
  <Paragraphs>19</Paragraphs>
  <ScaleCrop>false</ScaleCrop>
  <Company>ITU</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Saez Grau, Ricardo</dc:creator>
  <cp:keywords/>
  <dc:description/>
  <cp:lastModifiedBy>Saez Grau, Ricardo</cp:lastModifiedBy>
  <cp:revision>1</cp:revision>
  <dcterms:created xsi:type="dcterms:W3CDTF">2023-10-17T07:27:00Z</dcterms:created>
  <dcterms:modified xsi:type="dcterms:W3CDTF">2023-10-17T07:35:00Z</dcterms:modified>
</cp:coreProperties>
</file>