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BD96" w14:textId="77777777" w:rsidR="00F54322" w:rsidRPr="002B2BF7" w:rsidRDefault="00F54322" w:rsidP="00F54322">
      <w:pPr>
        <w:pStyle w:val="RecNo"/>
        <w:rPr>
          <w:lang w:val="ru-RU"/>
        </w:rPr>
      </w:pPr>
      <w:bookmarkStart w:id="0" w:name="_Toc116554274"/>
      <w:r w:rsidRPr="002B2BF7">
        <w:rPr>
          <w:lang w:val="ru-RU"/>
        </w:rPr>
        <w:t xml:space="preserve">РЕКОМЕНДАЦИЯ МСЭ-D </w:t>
      </w:r>
      <w:r w:rsidRPr="002B2BF7">
        <w:rPr>
          <w:rStyle w:val="href"/>
          <w:lang w:val="ru-RU"/>
        </w:rPr>
        <w:t>19</w:t>
      </w:r>
      <w:bookmarkEnd w:id="0"/>
    </w:p>
    <w:p w14:paraId="635306D8" w14:textId="77777777" w:rsidR="00F54322" w:rsidRPr="002B2BF7" w:rsidRDefault="00F54322" w:rsidP="00F54322">
      <w:pPr>
        <w:pStyle w:val="Rectitle"/>
        <w:rPr>
          <w:lang w:val="ru-RU"/>
        </w:rPr>
      </w:pPr>
      <w:bookmarkStart w:id="1" w:name="_Toc116554275"/>
      <w:r w:rsidRPr="002B2BF7">
        <w:rPr>
          <w:lang w:val="ru-RU"/>
        </w:rPr>
        <w:t>Электросвязь для сельских и отдаленных районов</w:t>
      </w:r>
      <w:bookmarkEnd w:id="1"/>
    </w:p>
    <w:p w14:paraId="033A8721" w14:textId="77777777" w:rsidR="00F54322" w:rsidRPr="002B2BF7" w:rsidRDefault="00F54322" w:rsidP="00F54322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(Дубай, 2014 г.),</w:t>
      </w:r>
    </w:p>
    <w:p w14:paraId="775EBDB9" w14:textId="77777777" w:rsidR="00F54322" w:rsidRPr="002B2BF7" w:rsidRDefault="00F54322" w:rsidP="00F54322">
      <w:pPr>
        <w:pStyle w:val="Call"/>
        <w:rPr>
          <w:i w:val="0"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lang w:val="ru-RU"/>
        </w:rPr>
        <w:t>,</w:t>
      </w:r>
    </w:p>
    <w:p w14:paraId="08A16005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следующей Рекомендации, подготовленной по итогам работы в исследовательском периоде МСЭ-D 1998–2002 годов, представлены руководящие указания по ряду вопросов, касающихся электросвязи/информационно-коммуникационных технологий (ИКТ) в сельских и отдаленных районах:</w:t>
      </w:r>
    </w:p>
    <w:p w14:paraId="31ED42F5" w14:textId="77777777" w:rsidR="00F54322" w:rsidRPr="002B2BF7" w:rsidRDefault="00F54322" w:rsidP="00F54322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Рекомендация МСЭ-D 17, Совместное использование средств в сельских и отдаленных районах (январь 2002 г.);</w:t>
      </w:r>
    </w:p>
    <w:p w14:paraId="762E921C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7-я Оперативная группа по электросвязи в сельских районах рассматривает технологические решения, возможности обслуживания и механизмы финансирования для предоставления электросвязи/ИКТ в сельских и отдаленных районах;</w:t>
      </w:r>
    </w:p>
    <w:p w14:paraId="73A82598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Бюро развития электросвязи (БРЭ), через инициативу "Соединим школу – соединим сообщество", разработало рекомендации и передовой опыт по государственной политике развития ИКТ в сообществах коренных народов и что в них, на основании соответствующих исследований конкретных ситуаций в различных странах мира, отмечается важность создания условий для предоставления услуг электросвязи в этих районах в рамках проектов, которые направлены на достижение экономии за счет масштаба и управляются самими местными сообществами,</w:t>
      </w:r>
    </w:p>
    <w:p w14:paraId="14B727F1" w14:textId="77777777" w:rsidR="00F54322" w:rsidRPr="002B2BF7" w:rsidRDefault="00F54322" w:rsidP="00F54322">
      <w:pPr>
        <w:pStyle w:val="Call"/>
        <w:rPr>
          <w:i w:val="0"/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lang w:val="ru-RU"/>
        </w:rPr>
        <w:t>,</w:t>
      </w:r>
    </w:p>
    <w:p w14:paraId="5183F56F" w14:textId="77777777" w:rsidR="00F54322" w:rsidRPr="002B2BF7" w:rsidRDefault="00F54322" w:rsidP="00F54322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7-я Оперативная группа уделяла особое внимание роли учреждений по микрофинансированию (MFI) в содействии доступу к услугам и приложениям ИКТ путем поддержки мелких предпринимателей;</w:t>
      </w:r>
      <w:r w:rsidRPr="002B2BF7">
        <w:rPr>
          <w:i/>
          <w:iCs/>
          <w:lang w:val="ru-RU"/>
        </w:rPr>
        <w:br w:type="page"/>
      </w:r>
    </w:p>
    <w:p w14:paraId="4E6B7598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отличные результаты исследовательского периода 2006–2010 годов, в которых обобщаются имеющиеся во всем мире знания об успешном предоставлении электросвязи/ИКТ сельским и отдаленным районам, основанные, среди прочего, на информации, представленной в библиотеку по тематическим исследованиям и электронном обсуждении вопросов, определенных Группой Докладчика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;</w:t>
      </w:r>
    </w:p>
    <w:p w14:paraId="0B8B32FF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накопленные во всем мире знания, учитывая развертываемые в сельских и отдаленных районах появляющиеся технологии, обеспечивающие широкополосную связь, проводную среду передачи и беспроводную среду передачи, свидетельствует о стремительном уменьшении стоимости, увеличении области распространения и пропускной способности и что все эти изменения приводят к тому, что обеспечение соединений в сельских районах становится реальностью;</w:t>
      </w:r>
    </w:p>
    <w:p w14:paraId="76300DE4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беспроводные линии транзитной связи играют ключевую роль в расширении предоставления услуг широкополосной связи и покрытия сельских и отделенных районов;</w:t>
      </w:r>
    </w:p>
    <w:p w14:paraId="2C91D8F1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развертывание платформ на базе IP, обслуживающих обширные районы, может обеспечить предоставление населению сельских районов целого ряда связанных с развитием услуг и приложений, таких как образование, здравоохранение, сельское хозяйство и т. д.;</w:t>
      </w:r>
    </w:p>
    <w:p w14:paraId="723C6BCA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в отдаленных и сельских районах возможно оптимизировать использование спектра благодаря применению новых подходов к предоставлению доступа к спектру;</w:t>
      </w:r>
    </w:p>
    <w:p w14:paraId="13002736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такие изменения обеспечивают возможность предоставления в сельских и отдаленных районах услуг и приложений электросвязи/ИКТ малыми и средними предприятиями, местными органами власти и неправительственными организациями с соответствующими бизнес-моделями;</w:t>
      </w:r>
    </w:p>
    <w:p w14:paraId="07ECFBCB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технические знания и способность внедрения технологий являются важными факторами планирования, внедрения и эксплуатации таких средств;</w:t>
      </w:r>
    </w:p>
    <w:p w14:paraId="29843E90" w14:textId="77777777" w:rsidR="00F54322" w:rsidRPr="002B2BF7" w:rsidRDefault="00F54322" w:rsidP="00F54322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что в сельских и отдаленных районах развивающихся стран низкие доходы, неграмотность и отсутствие компьютерной грамотности ограничивают число людей, которые могут получать доступ в интернет у себя дома: таким группам населения необходимы средства ИКТ общего доступа, которые могут использоваться для связи, предоставления услуг и различной деятельности по созданию потенциала, и в этом процессе определенную роль могут играть мелкие предприниматели, местные органы власти, школы и почтовые отделения;</w:t>
      </w:r>
      <w:r w:rsidRPr="002B2BF7">
        <w:rPr>
          <w:i/>
          <w:iCs/>
          <w:lang w:val="ru-RU"/>
        </w:rPr>
        <w:br w:type="page"/>
      </w:r>
    </w:p>
    <w:p w14:paraId="5160ED68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j)</w:t>
      </w:r>
      <w:r w:rsidRPr="002B2BF7">
        <w:rPr>
          <w:lang w:val="ru-RU"/>
        </w:rPr>
        <w:tab/>
        <w:t>что предоставление услуг и приложений ИКТ в сельских и отдаленных районах мелкими предпринимателями может приводить к созданию рабочих мест, и такие предприятия могут поддерживаться финансовыми учреждениями и получать помощь в рамках различных государственных программ;</w:t>
      </w:r>
    </w:p>
    <w:p w14:paraId="0E80997C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что важнейшим аспектом поддержки структур в сельских районах является тщательно спланированная программа технического обслуживания и эксплуатации, обеспечивающая содержание в хорошем рабочем состоянии инфраструктуры и связанного с ней оборудования, включая оконечное оборудование;</w:t>
      </w:r>
    </w:p>
    <w:p w14:paraId="768CD055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l)</w:t>
      </w:r>
      <w:r w:rsidRPr="002B2BF7">
        <w:rPr>
          <w:lang w:val="ru-RU"/>
        </w:rPr>
        <w:tab/>
        <w:t>плодотворное сотрудничество между БРЭ и Всемирным почтовым союзом в содействии использованию почтовых отделений в качестве средства предоставления доступа к услугам и приложениям электросвязи/ИКТ в сельских и отдаленных районах;</w:t>
      </w:r>
    </w:p>
    <w:p w14:paraId="1321461E" w14:textId="77777777" w:rsidR="00F54322" w:rsidRPr="002B2BF7" w:rsidRDefault="00F54322" w:rsidP="00F54322">
      <w:pPr>
        <w:rPr>
          <w:lang w:val="ru-RU" w:bidi="ar-EG"/>
        </w:rPr>
      </w:pPr>
      <w:r w:rsidRPr="002B2BF7">
        <w:rPr>
          <w:i/>
          <w:iCs/>
          <w:lang w:val="ru-RU"/>
        </w:rPr>
        <w:t>m)</w:t>
      </w:r>
      <w:r w:rsidRPr="002B2BF7">
        <w:rPr>
          <w:lang w:val="ru-RU"/>
        </w:rPr>
        <w:tab/>
        <w:t>что энергоснабжение является одним из основных ограничивающих факторов распространения электросвязи/ИКТ в сельских и отдаленных районах и что передовые виды использования источников солнечной энергии и энергии ветра, иногда в сочетании, успешно применяются во многих странах для обеспечения надежных источников электроэнергии для базовых станций подвижной связи</w:t>
      </w:r>
      <w:r w:rsidRPr="002B2BF7">
        <w:rPr>
          <w:lang w:val="ru-RU" w:bidi="ar-EG"/>
        </w:rPr>
        <w:t>,</w:t>
      </w:r>
    </w:p>
    <w:p w14:paraId="7E8B9C79" w14:textId="77777777" w:rsidR="00F54322" w:rsidRPr="002B2BF7" w:rsidRDefault="00F54322" w:rsidP="00F54322">
      <w:pPr>
        <w:pStyle w:val="Call"/>
        <w:rPr>
          <w:i w:val="0"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lang w:val="ru-RU"/>
        </w:rPr>
        <w:t>,</w:t>
      </w:r>
    </w:p>
    <w:p w14:paraId="4CFEDB45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предоставление услуг и приложений электросвязи/ИКТ может существенно способствовать повышению качества жизни жителей сельских и отдаленных районов;</w:t>
      </w:r>
    </w:p>
    <w:p w14:paraId="682ED615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стимулирование спроса на электросвязь/ИКТ с помощью активной политики правительств играет ключевую роль в реализации их преимуществ;</w:t>
      </w:r>
    </w:p>
    <w:p w14:paraId="67D7D2AC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накопленный во всем мире опыт, связанный с пунктами коллективного доступа (телекиосками, многоцелевыми коллективными центрами электросвязи, мультимедийными центрами), свидетельствует о необходимости активной и поддерживающей политики правительств по стимулированию спроса на имеющиеся услуги;</w:t>
      </w:r>
    </w:p>
    <w:p w14:paraId="5DB9F1AA" w14:textId="77777777" w:rsidR="00F54322" w:rsidRPr="002B2BF7" w:rsidRDefault="00F54322" w:rsidP="00F54322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дополнение к имеющейся информации необходимо совершенствовать навыки и предоставлять капитал, с тем чтобы информация использовалась должным образом; и</w:t>
      </w:r>
    </w:p>
    <w:p w14:paraId="4178F727" w14:textId="77777777" w:rsidR="00F54322" w:rsidRPr="002B2BF7" w:rsidRDefault="00F54322" w:rsidP="00F54322">
      <w:pPr>
        <w:rPr>
          <w:i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доступ к электросвязи/ИКТ для всех будет способствовать максимальному росту общественного благосостояния, повышению производительности, сохранению ресурсов и защите прав человека,</w:t>
      </w:r>
      <w:r w:rsidRPr="002B2BF7">
        <w:rPr>
          <w:lang w:val="ru-RU"/>
        </w:rPr>
        <w:br w:type="page"/>
      </w:r>
    </w:p>
    <w:p w14:paraId="58AE5853" w14:textId="77777777" w:rsidR="00F54322" w:rsidRPr="002B2BF7" w:rsidRDefault="00F54322" w:rsidP="00F54322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рекомендует</w:t>
      </w:r>
      <w:r w:rsidRPr="002B2BF7">
        <w:rPr>
          <w:i w:val="0"/>
          <w:iCs/>
          <w:lang w:val="ru-RU"/>
        </w:rPr>
        <w:t>,</w:t>
      </w:r>
    </w:p>
    <w:p w14:paraId="337F5B18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чтобы развивающиеся страны включали в свои национальные планы развития положение об электросвязи/ИКТ в сельских и отдаленных районах;</w:t>
      </w:r>
    </w:p>
    <w:p w14:paraId="37D6739F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чтобы при планировании развития инфраструктуры в сельских и отдаленных районах большое внимание уделялось оценке всех имеющихся на рынке технологий с учетом регуляторной среды, географических условий, климата, затрат (капитальных расходов и эксплуатационных расходов), надежности в эксплуатации, удобства в использовании, устойчивости и т. д. на основе результатов обследования площадок и потребностей сообществ;</w:t>
      </w:r>
    </w:p>
    <w:p w14:paraId="391E74AD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чтобы коллективному доступу к средствам и услугам ИКТ в сельских и отдаленных районах уделялось особое внимание: бизнес-модели, которые способны обеспечить финансовую и эксплуатационную устойчивость, могут применяться местными предпринимателями, которым оказывается поддержка в рамках различных инициатив, и если необходимо, эти средства как один из важнейших компонентов связи в сельских районах также должны поддерживаться за счет фондов универсального обслуживания;</w:t>
      </w:r>
    </w:p>
    <w:p w14:paraId="606EE97C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чтобы уделялось большое внимание поощрению использования почтовых отделений для предоставления услуг электросвязи/ИКТ ввиду того, что в жизни населения сельских районов они играют роль центров связи;</w:t>
      </w:r>
    </w:p>
    <w:p w14:paraId="1A0035AE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чтобы к планированию и внедрению средств ИКТ привлекались местные учреждения;</w:t>
      </w:r>
    </w:p>
    <w:p w14:paraId="151822D0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чтобы совершенствование технических знаний на местном уровне и увеличение способности внедрения технологий имели большое значение для успешного внедрения услуг и приложений ИКТ в сельских и отдаленных районах, и, таким образом, для обеспечения устойчивости и эффективности следует уделять внимание профессиональной подготовке, обмену информацией и совместному техническому обслуживанию оборудования;</w:t>
      </w:r>
    </w:p>
    <w:p w14:paraId="59FC4DCB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чтобы оказывалось содействие внедрению широкополосных технологий;</w:t>
      </w:r>
    </w:p>
    <w:p w14:paraId="3F41427B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чтобы поддержание в хорошем рабочем состоянии оборудования с помощью эффективных программ профилактического технического обслуживания являлось важнейшей частью обеспечения жизнеспособности электросвязи в сельских районах и получало поддержку, не допуская при этом превращения развивающихся стран в рынки сбыта устаревших технологий;</w:t>
      </w:r>
    </w:p>
    <w:p w14:paraId="45A04B70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>чтобы понималась важность принятия мер для обеспечения постоянной надежности оборудования в сельских условиях, такие как разработка соответствующей стратегии технического обслуживания и эксплуатации и содействие профессиональной подготовке технического персонала;</w:t>
      </w:r>
      <w:r w:rsidRPr="002B2BF7">
        <w:rPr>
          <w:lang w:val="ru-RU"/>
        </w:rPr>
        <w:br w:type="page"/>
      </w:r>
    </w:p>
    <w:p w14:paraId="317AF0F7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lastRenderedPageBreak/>
        <w:t>10</w:t>
      </w:r>
      <w:r w:rsidRPr="002B2BF7">
        <w:rPr>
          <w:lang w:val="ru-RU"/>
        </w:rPr>
        <w:tab/>
        <w:t>что важно принимать во внимание малых и некоммерческих операторов сообществ с помощью надлежащих регуляторных мер, которые позволят им получать доступ к базовой инфраструктуре на справедливых условиях, для того чтобы обеспечивать возможность установления широкополосных соединений для пользователей в сельских и отдаленных районах, используя преимущества научно-технических достижений;</w:t>
      </w:r>
    </w:p>
    <w:p w14:paraId="547AEF13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11</w:t>
      </w:r>
      <w:r w:rsidRPr="002B2BF7">
        <w:rPr>
          <w:lang w:val="ru-RU"/>
        </w:rPr>
        <w:tab/>
        <w:t>что важно также, чтобы администрации, при осуществлении своей деятельности по планированию и лицензированию использования радиочастотного спектра, учитывали механизмы, содействующие развертыванию услуг широкополосной связи в сельских и отдаленных районах малыми и некоммерческими операторами сообществ;</w:t>
      </w:r>
    </w:p>
    <w:p w14:paraId="0B32805A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>что с учетом того, что отсутствие энергоснабжения является одним из основных ограничивающих факторов предоставления электросвязи/ИКТ в сельских и отдаленных районах, принимая во внимание экологические вопросы, во всех случаях, когда это возможно, следует использовать возобновляемые источники энергии;</w:t>
      </w:r>
    </w:p>
    <w:p w14:paraId="2B72A502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13</w:t>
      </w:r>
      <w:r w:rsidRPr="002B2BF7">
        <w:rPr>
          <w:lang w:val="ru-RU"/>
        </w:rPr>
        <w:tab/>
        <w:t>что с учетом того, что высокие затраты на инвестиции в транзитную связь составляют еще одно препятствие при обеспечении электросвязи/ИКТ в сельских и отдаленных районах, развитию этих сетей могут помочь новая нормативно-правовая основа совместного использования инфраструктуры и ускоренный процесс лицензирования;</w:t>
      </w:r>
    </w:p>
    <w:p w14:paraId="68310CEC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14</w:t>
      </w:r>
      <w:r w:rsidRPr="002B2BF7">
        <w:rPr>
          <w:lang w:val="ru-RU"/>
        </w:rPr>
        <w:tab/>
        <w:t>что желательно сотрудничество между правительствами, отраслью, местными органами и международными организациями при разработке недорогой инфраструктуры ИКТ, включая возобновляемые источники энергии и терминалы для предоставления электросвязи/ИКТ в сельских и отдаленных районах;</w:t>
      </w:r>
    </w:p>
    <w:p w14:paraId="3CC9B9B6" w14:textId="77777777" w:rsidR="00F54322" w:rsidRPr="002B2BF7" w:rsidRDefault="00F54322" w:rsidP="00F54322">
      <w:pPr>
        <w:rPr>
          <w:lang w:val="ru-RU"/>
        </w:rPr>
      </w:pPr>
      <w:r w:rsidRPr="002B2BF7">
        <w:rPr>
          <w:lang w:val="ru-RU"/>
        </w:rPr>
        <w:t>15</w:t>
      </w:r>
      <w:r w:rsidRPr="002B2BF7">
        <w:rPr>
          <w:lang w:val="ru-RU"/>
        </w:rPr>
        <w:tab/>
        <w:t>что Государства-Члены должны содействовать использованию наилучших вариантов для развертывания рентабельных решений транзитной связи для сетей широкополосной доступа в сельских и отдаленных районах.</w:t>
      </w:r>
    </w:p>
    <w:p w14:paraId="21E65E40" w14:textId="77777777" w:rsidR="00F54322" w:rsidRPr="002B2BF7" w:rsidRDefault="00F54322" w:rsidP="00F54322">
      <w:pPr>
        <w:pStyle w:val="Reasons"/>
        <w:rPr>
          <w:lang w:val="ru-RU"/>
        </w:rPr>
      </w:pPr>
    </w:p>
    <w:p w14:paraId="3FBB6BCD" w14:textId="77777777" w:rsidR="00E45F09" w:rsidRPr="00F54322" w:rsidRDefault="00E45F09" w:rsidP="00F54322">
      <w:pPr>
        <w:rPr>
          <w:lang w:val="ru-RU"/>
        </w:rPr>
      </w:pPr>
    </w:p>
    <w:sectPr w:rsidR="00E45F09" w:rsidRPr="00F54322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1DBA7CA4" w14:textId="77777777" w:rsidR="00F54322" w:rsidRPr="00B91FDD" w:rsidRDefault="00F54322" w:rsidP="00F543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B91FDD">
        <w:rPr>
          <w:lang w:val="ru-RU"/>
        </w:rPr>
        <w:t>Библиотека</w:t>
      </w:r>
      <w:r w:rsidRPr="00A85537">
        <w:rPr>
          <w:lang w:val="ru-RU"/>
        </w:rPr>
        <w:t xml:space="preserve"> </w:t>
      </w:r>
      <w:r w:rsidRPr="00B91FDD">
        <w:rPr>
          <w:lang w:val="ru-RU"/>
        </w:rPr>
        <w:t>по</w:t>
      </w:r>
      <w:r w:rsidRPr="00A85537">
        <w:rPr>
          <w:lang w:val="ru-RU"/>
        </w:rPr>
        <w:t xml:space="preserve"> </w:t>
      </w:r>
      <w:r w:rsidRPr="00B91FDD">
        <w:rPr>
          <w:lang w:val="ru-RU"/>
        </w:rPr>
        <w:t>тематическим</w:t>
      </w:r>
      <w:r w:rsidRPr="00A85537">
        <w:rPr>
          <w:lang w:val="ru-RU"/>
        </w:rPr>
        <w:t xml:space="preserve"> </w:t>
      </w:r>
      <w:r w:rsidRPr="00B91FDD">
        <w:rPr>
          <w:lang w:val="ru-RU"/>
        </w:rPr>
        <w:t>исследованиям</w:t>
      </w:r>
      <w:r w:rsidRPr="00A85537">
        <w:rPr>
          <w:lang w:val="ru-RU"/>
        </w:rPr>
        <w:t xml:space="preserve"> </w:t>
      </w:r>
      <w:r w:rsidRPr="00B91FDD">
        <w:rPr>
          <w:lang w:val="ru-RU"/>
        </w:rPr>
        <w:t>по Вопросу</w:t>
      </w:r>
      <w:r w:rsidRPr="00D82069">
        <w:t> </w:t>
      </w:r>
      <w:r w:rsidRPr="00B91FDD">
        <w:rPr>
          <w:lang w:val="ru-RU"/>
        </w:rPr>
        <w:t xml:space="preserve">10-2/2 размещена по адресу: </w:t>
      </w:r>
      <w:hyperlink r:id="rId1" w:history="1">
        <w:r w:rsidRPr="003F3CAB">
          <w:rPr>
            <w:rStyle w:val="Hyperlink"/>
          </w:rPr>
          <w:t>http</w:t>
        </w:r>
        <w:r w:rsidRPr="003F3CAB">
          <w:rPr>
            <w:rStyle w:val="Hyperlink"/>
            <w:lang w:val="ru-RU"/>
          </w:rPr>
          <w:t>://</w:t>
        </w:r>
        <w:r w:rsidRPr="003F3CAB">
          <w:rPr>
            <w:rStyle w:val="Hyperlink"/>
          </w:rPr>
          <w:t>www</w:t>
        </w:r>
        <w:r w:rsidRPr="003F3CAB">
          <w:rPr>
            <w:rStyle w:val="Hyperlink"/>
            <w:lang w:val="ru-RU"/>
          </w:rPr>
          <w:t>.</w:t>
        </w:r>
        <w:r w:rsidRPr="003F3CAB">
          <w:rPr>
            <w:rStyle w:val="Hyperlink"/>
          </w:rPr>
          <w:t>itu</w:t>
        </w:r>
        <w:r w:rsidRPr="003F3CAB">
          <w:rPr>
            <w:rStyle w:val="Hyperlink"/>
            <w:lang w:val="ru-RU"/>
          </w:rPr>
          <w:t>.</w:t>
        </w:r>
        <w:r w:rsidRPr="003F3CAB">
          <w:rPr>
            <w:rStyle w:val="Hyperlink"/>
          </w:rPr>
          <w:t>int</w:t>
        </w:r>
        <w:r w:rsidRPr="003F3CAB">
          <w:rPr>
            <w:rStyle w:val="Hyperlink"/>
            <w:lang w:val="ru-RU"/>
          </w:rPr>
          <w:t>/</w:t>
        </w:r>
        <w:r w:rsidRPr="003F3CAB">
          <w:rPr>
            <w:rStyle w:val="Hyperlink"/>
          </w:rPr>
          <w:t>ITU</w:t>
        </w:r>
        <w:r w:rsidRPr="003F3CAB">
          <w:rPr>
            <w:rStyle w:val="Hyperlink"/>
            <w:lang w:val="ru-RU"/>
          </w:rPr>
          <w:t>-</w:t>
        </w:r>
        <w:r w:rsidRPr="003F3CAB">
          <w:rPr>
            <w:rStyle w:val="Hyperlink"/>
          </w:rPr>
          <w:t>D</w:t>
        </w:r>
        <w:r w:rsidRPr="003F3CAB">
          <w:rPr>
            <w:rStyle w:val="Hyperlink"/>
            <w:lang w:val="ru-RU"/>
          </w:rPr>
          <w:t>/</w:t>
        </w:r>
        <w:r w:rsidRPr="003F3CAB">
          <w:rPr>
            <w:rStyle w:val="Hyperlink"/>
          </w:rPr>
          <w:t>study</w:t>
        </w:r>
        <w:r w:rsidRPr="003F3CAB">
          <w:rPr>
            <w:rStyle w:val="Hyperlink"/>
            <w:lang w:val="ru-RU"/>
          </w:rPr>
          <w:t>_</w:t>
        </w:r>
        <w:r w:rsidRPr="003F3CAB">
          <w:rPr>
            <w:rStyle w:val="Hyperlink"/>
          </w:rPr>
          <w:t>groups</w:t>
        </w:r>
        <w:r w:rsidRPr="003F3CAB">
          <w:rPr>
            <w:rStyle w:val="Hyperlink"/>
            <w:lang w:val="ru-RU"/>
          </w:rPr>
          <w:t>/</w:t>
        </w:r>
        <w:r w:rsidRPr="003F3CAB">
          <w:rPr>
            <w:rStyle w:val="Hyperlink"/>
          </w:rPr>
          <w:t>SGP</w:t>
        </w:r>
        <w:r w:rsidRPr="003F3CAB">
          <w:rPr>
            <w:rStyle w:val="Hyperlink"/>
            <w:lang w:val="ru-RU"/>
          </w:rPr>
          <w:t>_2006-2010/</w:t>
        </w:r>
        <w:r w:rsidRPr="003F3CAB">
          <w:rPr>
            <w:rStyle w:val="Hyperlink"/>
          </w:rPr>
          <w:t>events</w:t>
        </w:r>
        <w:r w:rsidRPr="003F3CAB">
          <w:rPr>
            <w:rStyle w:val="Hyperlink"/>
            <w:lang w:val="ru-RU"/>
          </w:rPr>
          <w:t>/</w:t>
        </w:r>
        <w:r w:rsidRPr="003F3CAB">
          <w:rPr>
            <w:rStyle w:val="Hyperlink"/>
          </w:rPr>
          <w:t>Case</w:t>
        </w:r>
        <w:r w:rsidRPr="003F3CAB">
          <w:rPr>
            <w:rStyle w:val="Hyperlink"/>
            <w:lang w:val="ru-RU"/>
          </w:rPr>
          <w:t>_</w:t>
        </w:r>
        <w:r w:rsidRPr="003F3CAB">
          <w:rPr>
            <w:rStyle w:val="Hyperlink"/>
          </w:rPr>
          <w:t>Library</w:t>
        </w:r>
        <w:r w:rsidRPr="003F3CAB">
          <w:rPr>
            <w:rStyle w:val="Hyperlink"/>
            <w:lang w:val="ru-RU"/>
          </w:rPr>
          <w:t>/</w:t>
        </w:r>
        <w:r w:rsidRPr="003F3CAB">
          <w:rPr>
            <w:rStyle w:val="Hyperlink"/>
          </w:rPr>
          <w:t>index</w:t>
        </w:r>
        <w:r w:rsidRPr="003F3CAB">
          <w:rPr>
            <w:rStyle w:val="Hyperlink"/>
            <w:lang w:val="ru-RU"/>
          </w:rPr>
          <w:t>.</w:t>
        </w:r>
        <w:r w:rsidRPr="003F3CAB">
          <w:rPr>
            <w:rStyle w:val="Hyperlink"/>
          </w:rPr>
          <w:t>asp</w:t>
        </w:r>
      </w:hyperlink>
      <w:r w:rsidRPr="00B91FDD">
        <w:rPr>
          <w:lang w:val="ru-RU"/>
        </w:rPr>
        <w:t>. Веб</w:t>
      </w:r>
      <w:r>
        <w:rPr>
          <w:lang w:val="ru-RU"/>
        </w:rPr>
        <w:noBreakHyphen/>
      </w:r>
      <w:r w:rsidRPr="00B91FDD">
        <w:rPr>
          <w:lang w:val="ru-RU"/>
        </w:rPr>
        <w:t xml:space="preserve">страница электронных обсуждений размещена по адресу: </w:t>
      </w:r>
      <w:hyperlink r:id="rId2" w:history="1">
        <w:r w:rsidRPr="00FE68F4">
          <w:rPr>
            <w:rStyle w:val="Hyperlink"/>
          </w:rPr>
          <w:t>http</w:t>
        </w:r>
        <w:r w:rsidRPr="00FE68F4">
          <w:rPr>
            <w:rStyle w:val="Hyperlink"/>
            <w:lang w:val="ru-RU"/>
          </w:rPr>
          <w:t>://</w:t>
        </w:r>
        <w:r w:rsidRPr="00FE68F4">
          <w:rPr>
            <w:rStyle w:val="Hyperlink"/>
          </w:rPr>
          <w:t>www</w:t>
        </w:r>
        <w:r w:rsidRPr="00FE68F4">
          <w:rPr>
            <w:rStyle w:val="Hyperlink"/>
            <w:lang w:val="ru-RU"/>
          </w:rPr>
          <w:t>.</w:t>
        </w:r>
        <w:r w:rsidRPr="00FE68F4">
          <w:rPr>
            <w:rStyle w:val="Hyperlink"/>
          </w:rPr>
          <w:t>itu</w:t>
        </w:r>
        <w:r w:rsidRPr="00FE68F4">
          <w:rPr>
            <w:rStyle w:val="Hyperlink"/>
            <w:lang w:val="ru-RU"/>
          </w:rPr>
          <w:t>.</w:t>
        </w:r>
        <w:r w:rsidRPr="00FE68F4">
          <w:rPr>
            <w:rStyle w:val="Hyperlink"/>
          </w:rPr>
          <w:t>int</w:t>
        </w:r>
        <w:r w:rsidRPr="00FE68F4">
          <w:rPr>
            <w:rStyle w:val="Hyperlink"/>
            <w:lang w:val="ru-RU"/>
          </w:rPr>
          <w:t>/</w:t>
        </w:r>
        <w:r w:rsidRPr="00FE68F4">
          <w:rPr>
            <w:rStyle w:val="Hyperlink"/>
          </w:rPr>
          <w:t>ituweblogs</w:t>
        </w:r>
        <w:r w:rsidRPr="00FE68F4">
          <w:rPr>
            <w:rStyle w:val="Hyperlink"/>
            <w:lang w:val="ru-RU"/>
          </w:rPr>
          <w:t>/</w:t>
        </w:r>
        <w:r w:rsidRPr="00FE68F4">
          <w:rPr>
            <w:rStyle w:val="Hyperlink"/>
          </w:rPr>
          <w:t>ITU</w:t>
        </w:r>
        <w:r w:rsidRPr="00FE68F4">
          <w:rPr>
            <w:rStyle w:val="Hyperlink"/>
            <w:lang w:val="ru-RU"/>
          </w:rPr>
          <w:t>-</w:t>
        </w:r>
        <w:r w:rsidRPr="00FE68F4">
          <w:rPr>
            <w:rStyle w:val="Hyperlink"/>
          </w:rPr>
          <w:t>D</w:t>
        </w:r>
        <w:r w:rsidRPr="00FE68F4">
          <w:rPr>
            <w:rStyle w:val="Hyperlink"/>
            <w:lang w:val="ru-RU"/>
          </w:rPr>
          <w:t>-</w:t>
        </w:r>
        <w:r w:rsidRPr="00FE68F4">
          <w:rPr>
            <w:rStyle w:val="Hyperlink"/>
          </w:rPr>
          <w:t>SG</w:t>
        </w:r>
        <w:r w:rsidRPr="00FE68F4">
          <w:rPr>
            <w:rStyle w:val="Hyperlink"/>
            <w:lang w:val="ru-RU"/>
          </w:rPr>
          <w:t>2-</w:t>
        </w:r>
        <w:r w:rsidRPr="00FE68F4">
          <w:rPr>
            <w:rStyle w:val="Hyperlink"/>
          </w:rPr>
          <w:t>Q</w:t>
        </w:r>
        <w:r w:rsidRPr="00FE68F4">
          <w:rPr>
            <w:rStyle w:val="Hyperlink"/>
            <w:lang w:val="ru-RU"/>
          </w:rPr>
          <w:t>10/</w:t>
        </w:r>
      </w:hyperlink>
      <w:r w:rsidRPr="00B91FD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51A288EC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="0092144F" w:rsidRPr="00EE2024">
          <w:rPr>
            <w:szCs w:val="22"/>
            <w:lang w:val="ru-RU"/>
          </w:rPr>
          <w:t>Рекомендация</w:t>
        </w:r>
        <w:r w:rsidR="0092144F" w:rsidRPr="00E3202A">
          <w:rPr>
            <w:szCs w:val="22"/>
            <w:lang w:val="ru-RU"/>
          </w:rPr>
          <w:t xml:space="preserve"> </w:t>
        </w:r>
        <w:r w:rsidR="0092144F" w:rsidRPr="00EE2024">
          <w:rPr>
            <w:szCs w:val="22"/>
            <w:lang w:val="ru-RU"/>
          </w:rPr>
          <w:t>МСЭ-D</w:t>
        </w:r>
        <w:r>
          <w:rPr>
            <w:szCs w:val="22"/>
            <w:lang w:val="ru-RU"/>
          </w:rPr>
          <w:t xml:space="preserve">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F54322">
          <w:rPr>
            <w:noProof/>
            <w:szCs w:val="22"/>
          </w:rPr>
          <w:t>19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6A1E2FD6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</w:t>
    </w:r>
    <w:r w:rsidR="0092144F" w:rsidRPr="00EE2024">
      <w:rPr>
        <w:szCs w:val="22"/>
        <w:lang w:val="ru-RU"/>
      </w:rPr>
      <w:t>Рекомендация</w:t>
    </w:r>
    <w:r w:rsidR="0092144F" w:rsidRPr="00E3202A">
      <w:rPr>
        <w:szCs w:val="22"/>
        <w:lang w:val="ru-RU"/>
      </w:rPr>
      <w:t xml:space="preserve"> </w:t>
    </w:r>
    <w:r w:rsidR="0092144F" w:rsidRPr="00EE2024">
      <w:rPr>
        <w:szCs w:val="22"/>
        <w:lang w:val="ru-RU"/>
      </w:rPr>
      <w:t>МСЭ-D</w:t>
    </w:r>
    <w:r>
      <w:rPr>
        <w:szCs w:val="22"/>
        <w:lang w:val="ru-RU"/>
      </w:rPr>
      <w:t xml:space="preserve">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F54322">
      <w:rPr>
        <w:noProof/>
        <w:szCs w:val="22"/>
      </w:rPr>
      <w:t>19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55C35"/>
    <w:rsid w:val="004F44FF"/>
    <w:rsid w:val="00523CDB"/>
    <w:rsid w:val="00556CD7"/>
    <w:rsid w:val="00633EC9"/>
    <w:rsid w:val="006677D6"/>
    <w:rsid w:val="00681361"/>
    <w:rsid w:val="00686D9E"/>
    <w:rsid w:val="006B4A10"/>
    <w:rsid w:val="00713A5E"/>
    <w:rsid w:val="007631BF"/>
    <w:rsid w:val="00791A97"/>
    <w:rsid w:val="008616D5"/>
    <w:rsid w:val="00905C06"/>
    <w:rsid w:val="0092144F"/>
    <w:rsid w:val="009D3EFE"/>
    <w:rsid w:val="00AE16DB"/>
    <w:rsid w:val="00AF003A"/>
    <w:rsid w:val="00B65A4E"/>
    <w:rsid w:val="00B7660C"/>
    <w:rsid w:val="00B95B42"/>
    <w:rsid w:val="00C0416F"/>
    <w:rsid w:val="00C7514C"/>
    <w:rsid w:val="00D35EEE"/>
    <w:rsid w:val="00D90490"/>
    <w:rsid w:val="00DD3985"/>
    <w:rsid w:val="00E1417E"/>
    <w:rsid w:val="00E45F09"/>
    <w:rsid w:val="00E94C50"/>
    <w:rsid w:val="00F4199B"/>
    <w:rsid w:val="00F54322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  <w:style w:type="paragraph" w:customStyle="1" w:styleId="RecNo">
    <w:name w:val="Rec_No"/>
    <w:basedOn w:val="Heading2"/>
    <w:next w:val="Normal"/>
    <w:rsid w:val="00455C35"/>
    <w:pPr>
      <w:spacing w:before="480"/>
      <w:jc w:val="center"/>
      <w:outlineLvl w:val="0"/>
    </w:pPr>
    <w:rPr>
      <w:rFonts w:ascii="Calibri" w:eastAsia="Times New Roman" w:hAnsi="Calibri" w:cs="Times New Roman"/>
      <w:caps/>
      <w:color w:val="auto"/>
      <w:sz w:val="28"/>
      <w:szCs w:val="20"/>
    </w:rPr>
  </w:style>
  <w:style w:type="paragraph" w:customStyle="1" w:styleId="Rectitle">
    <w:name w:val="Rec_title"/>
    <w:basedOn w:val="RecNo"/>
    <w:next w:val="Normal"/>
    <w:rsid w:val="00455C35"/>
    <w:pPr>
      <w:spacing w:before="240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weblogs/ITU-D-SG2-Q10/" TargetMode="External"/><Relationship Id="rId1" Type="http://schemas.openxmlformats.org/officeDocument/2006/relationships/hyperlink" Target="http://www.itu.int/ITU-D/study_groups/SGP_2006-2010/events/Case_Library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45</cp:revision>
  <dcterms:created xsi:type="dcterms:W3CDTF">2023-10-16T12:49:00Z</dcterms:created>
  <dcterms:modified xsi:type="dcterms:W3CDTF">2023-10-16T14:24:00Z</dcterms:modified>
</cp:coreProperties>
</file>