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75006ED9" w:rsidR="006E5CD0" w:rsidRPr="00BA1B84" w:rsidRDefault="00694B10" w:rsidP="00BA1B84">
      <w:pPr>
        <w:pStyle w:val="RecNo"/>
        <w:outlineLvl w:val="0"/>
      </w:pPr>
      <w:bookmarkStart w:id="0" w:name="_Toc116895611"/>
      <w:bookmarkStart w:id="1" w:name="_Toc116911740"/>
      <w:r w:rsidRPr="00BA1B84">
        <w:rPr>
          <w:rFonts w:hint="eastAsia"/>
        </w:rPr>
        <w:t>I</w:t>
      </w:r>
      <w:r w:rsidRPr="00BA1B84">
        <w:t>TU-D</w:t>
      </w:r>
      <w:r w:rsidR="00BC603B" w:rsidRPr="00BA1B84">
        <w:t>第</w:t>
      </w:r>
      <w:r w:rsidR="00B67571" w:rsidRPr="00BA1B84">
        <w:rPr>
          <w:rStyle w:val="href"/>
        </w:rPr>
        <w:t>17</w:t>
      </w:r>
      <w:proofErr w:type="spellStart"/>
      <w:r w:rsidR="00BC603B" w:rsidRPr="00BA1B84">
        <w:t>号</w:t>
      </w:r>
      <w:r w:rsidRPr="00BA1B84">
        <w:rPr>
          <w:rFonts w:hint="eastAsia"/>
        </w:rPr>
        <w:t>建议</w:t>
      </w:r>
      <w:bookmarkEnd w:id="0"/>
      <w:bookmarkEnd w:id="1"/>
      <w:proofErr w:type="spellEnd"/>
    </w:p>
    <w:p w14:paraId="762F1A04" w14:textId="5F735E07" w:rsidR="006E5CD0" w:rsidRPr="006E5CD0" w:rsidRDefault="00B67571" w:rsidP="00B67571">
      <w:pPr>
        <w:pStyle w:val="Rectitle"/>
        <w:outlineLvl w:val="0"/>
        <w:rPr>
          <w:lang w:val="ru-RU" w:eastAsia="zh-CN"/>
        </w:rPr>
      </w:pPr>
      <w:r w:rsidRPr="00B67571">
        <w:rPr>
          <w:rFonts w:hint="eastAsia"/>
          <w:lang w:eastAsia="zh-CN"/>
        </w:rPr>
        <w:t>农村和边远地区的设施共享</w:t>
      </w:r>
    </w:p>
    <w:p w14:paraId="64FB6883" w14:textId="77777777" w:rsidR="00694B10" w:rsidRPr="00A677DE" w:rsidRDefault="00694B10" w:rsidP="00694B10">
      <w:pPr>
        <w:pStyle w:val="Normalcenteraligned"/>
        <w:spacing w:before="40"/>
        <w:jc w:val="center"/>
      </w:pPr>
      <w:r w:rsidRPr="00A677DE">
        <w:t>（</w:t>
      </w:r>
      <w:r w:rsidRPr="00A677DE">
        <w:t>2002</w:t>
      </w:r>
      <w:r w:rsidRPr="00A677DE">
        <w:t>年</w:t>
      </w:r>
      <w:r w:rsidRPr="00A677DE">
        <w:t>1</w:t>
      </w:r>
      <w:r w:rsidRPr="00A677DE">
        <w:t>月）</w:t>
      </w:r>
    </w:p>
    <w:p w14:paraId="2E5F3B65" w14:textId="166E461C" w:rsidR="00B67571" w:rsidRDefault="00B67571" w:rsidP="00694B10">
      <w:pPr>
        <w:pStyle w:val="Normalnoindent"/>
        <w:spacing w:before="240"/>
      </w:pPr>
      <w:r w:rsidRPr="00A677DE">
        <w:rPr>
          <w:rFonts w:hint="eastAsia"/>
        </w:rPr>
        <w:t>第</w:t>
      </w:r>
      <w:r w:rsidRPr="00A677DE">
        <w:t>10/2</w:t>
      </w:r>
      <w:r w:rsidRPr="00A677DE">
        <w:rPr>
          <w:rFonts w:hint="eastAsia"/>
        </w:rPr>
        <w:t>号课题：</w:t>
      </w:r>
      <w:r w:rsidRPr="004247E4">
        <w:rPr>
          <w:rFonts w:ascii="STKaiti" w:eastAsia="STKaiti" w:hAnsi="STKaiti" w:hint="eastAsia"/>
          <w:kern w:val="2"/>
        </w:rPr>
        <w:t>农村和边远地区的通信</w:t>
      </w:r>
    </w:p>
    <w:p w14:paraId="777CC5C3" w14:textId="11DEE6F9" w:rsidR="003D04C8" w:rsidRPr="00A677DE" w:rsidRDefault="00694B10" w:rsidP="003D04C8">
      <w:pPr>
        <w:pStyle w:val="Normalnoindent"/>
      </w:pPr>
      <w:r w:rsidRPr="00694B10">
        <w:rPr>
          <w:rFonts w:hint="eastAsia"/>
        </w:rPr>
        <w:t>国际电</w:t>
      </w:r>
      <w:proofErr w:type="gramStart"/>
      <w:r w:rsidRPr="00694B10">
        <w:rPr>
          <w:rFonts w:hint="eastAsia"/>
        </w:rPr>
        <w:t>联电信</w:t>
      </w:r>
      <w:proofErr w:type="gramEnd"/>
      <w:r w:rsidRPr="00694B10">
        <w:rPr>
          <w:rFonts w:hint="eastAsia"/>
        </w:rPr>
        <w:t>发展局（</w:t>
      </w:r>
      <w:r w:rsidRPr="00694B10">
        <w:rPr>
          <w:rFonts w:hint="eastAsia"/>
        </w:rPr>
        <w:t>ITU-D</w:t>
      </w:r>
      <w:r w:rsidRPr="00694B10">
        <w:rPr>
          <w:rFonts w:hint="eastAsia"/>
        </w:rPr>
        <w:t>），</w:t>
      </w:r>
    </w:p>
    <w:p w14:paraId="250E18DA" w14:textId="77777777" w:rsidR="00403C41" w:rsidRPr="00A677DE" w:rsidRDefault="00403C41" w:rsidP="00403C41">
      <w:pPr>
        <w:pStyle w:val="Call"/>
        <w:spacing w:before="240"/>
        <w:rPr>
          <w:rFonts w:cstheme="minorHAnsi"/>
          <w:lang w:eastAsia="zh-CN"/>
        </w:rPr>
      </w:pPr>
      <w:r w:rsidRPr="00A677DE">
        <w:rPr>
          <w:rFonts w:cstheme="minorHAnsi" w:hint="eastAsia"/>
          <w:lang w:eastAsia="zh-CN"/>
        </w:rPr>
        <w:t>考虑到</w:t>
      </w:r>
    </w:p>
    <w:p w14:paraId="28DC24E9" w14:textId="77777777" w:rsidR="00403C41" w:rsidRPr="00A677DE" w:rsidRDefault="00403C41" w:rsidP="00403C41">
      <w:pPr>
        <w:pStyle w:val="Normalnoindent"/>
        <w:spacing w:before="240"/>
        <w:rPr>
          <w:rFonts w:cstheme="minorHAnsi"/>
          <w:noProof/>
        </w:rPr>
      </w:pPr>
      <w:r w:rsidRPr="00A677DE">
        <w:rPr>
          <w:rFonts w:cstheme="minorHAnsi"/>
          <w:i/>
          <w:iCs/>
          <w:noProof/>
        </w:rPr>
        <w:t>a)</w:t>
      </w:r>
      <w:r w:rsidRPr="00A677DE">
        <w:rPr>
          <w:rFonts w:cstheme="minorHAnsi"/>
          <w:noProof/>
        </w:rPr>
        <w:tab/>
      </w:r>
      <w:r w:rsidRPr="00A677DE">
        <w:rPr>
          <w:rFonts w:cstheme="minorHAnsi" w:hint="eastAsia"/>
          <w:noProof/>
        </w:rPr>
        <w:t>第</w:t>
      </w:r>
      <w:r w:rsidRPr="00A677DE">
        <w:rPr>
          <w:rFonts w:cstheme="minorHAnsi"/>
          <w:noProof/>
        </w:rPr>
        <w:t>7</w:t>
      </w:r>
      <w:r w:rsidRPr="00A677DE">
        <w:rPr>
          <w:rFonts w:cstheme="minorHAnsi" w:hint="eastAsia"/>
          <w:noProof/>
        </w:rPr>
        <w:t>焦点组</w:t>
      </w:r>
      <w:r w:rsidRPr="00A677DE">
        <w:rPr>
          <w:rStyle w:val="FootnoteReference"/>
          <w:rFonts w:cstheme="minorHAnsi"/>
          <w:noProof/>
        </w:rPr>
        <w:footnoteReference w:id="1"/>
      </w:r>
      <w:r w:rsidRPr="00A677DE">
        <w:rPr>
          <w:rFonts w:cstheme="minorHAnsi" w:hint="eastAsia"/>
          <w:noProof/>
        </w:rPr>
        <w:t>的工作、该组的报告</w:t>
      </w:r>
      <w:r w:rsidRPr="00A677DE">
        <w:rPr>
          <w:rStyle w:val="FootnoteReference"/>
          <w:rFonts w:cstheme="minorHAnsi"/>
          <w:noProof/>
        </w:rPr>
        <w:footnoteReference w:id="2"/>
      </w:r>
      <w:r w:rsidRPr="00A677DE">
        <w:rPr>
          <w:rFonts w:cstheme="minorHAnsi" w:hint="eastAsia"/>
          <w:noProof/>
        </w:rPr>
        <w:t>以及有关农村和边远地区通信的最新报告；</w:t>
      </w:r>
      <w:r w:rsidRPr="00A677DE">
        <w:rPr>
          <w:rFonts w:cstheme="minorHAnsi" w:hint="eastAsia"/>
          <w:noProof/>
        </w:rPr>
        <w:t xml:space="preserve"> </w:t>
      </w:r>
    </w:p>
    <w:p w14:paraId="2080BD96" w14:textId="77777777" w:rsidR="00403C41" w:rsidRPr="00A677DE" w:rsidRDefault="00403C41" w:rsidP="00403C41">
      <w:pPr>
        <w:pStyle w:val="Normalnoindent"/>
        <w:spacing w:before="240"/>
        <w:rPr>
          <w:rFonts w:cstheme="minorHAnsi"/>
          <w:noProof/>
        </w:rPr>
      </w:pPr>
      <w:r w:rsidRPr="00A677DE">
        <w:rPr>
          <w:rFonts w:cstheme="minorHAnsi"/>
          <w:i/>
          <w:iCs/>
          <w:noProof/>
        </w:rPr>
        <w:t>b)</w:t>
      </w:r>
      <w:r w:rsidRPr="00A677DE">
        <w:rPr>
          <w:rFonts w:cstheme="minorHAnsi"/>
          <w:noProof/>
        </w:rPr>
        <w:tab/>
      </w:r>
      <w:r w:rsidRPr="00A677DE">
        <w:rPr>
          <w:rFonts w:cstheme="minorHAnsi" w:hint="eastAsia"/>
          <w:noProof/>
        </w:rPr>
        <w:t>有必要提供基本电信服务和先进的电信服务并实现这方面的基本目标；</w:t>
      </w:r>
    </w:p>
    <w:p w14:paraId="05F5ED27" w14:textId="77777777" w:rsidR="00403C41" w:rsidRPr="00A677DE" w:rsidRDefault="00403C41" w:rsidP="00403C41">
      <w:pPr>
        <w:pStyle w:val="Normalnoindent"/>
        <w:spacing w:before="240"/>
        <w:rPr>
          <w:rFonts w:cstheme="minorHAnsi"/>
          <w:noProof/>
        </w:rPr>
      </w:pPr>
      <w:r w:rsidRPr="00A677DE">
        <w:rPr>
          <w:rFonts w:cstheme="minorHAnsi"/>
          <w:i/>
          <w:iCs/>
          <w:noProof/>
        </w:rPr>
        <w:t>c)</w:t>
      </w:r>
      <w:r w:rsidRPr="00A677DE">
        <w:rPr>
          <w:rFonts w:cstheme="minorHAnsi"/>
          <w:noProof/>
        </w:rPr>
        <w:tab/>
      </w:r>
      <w:r w:rsidRPr="00A677DE">
        <w:rPr>
          <w:rFonts w:cstheme="minorHAnsi" w:hint="eastAsia"/>
          <w:noProof/>
        </w:rPr>
        <w:t>实际接入和使用公众或社区通信中心（如，公用电话局、多用途社区电信中心及其它社区接入中心）的重要性；以及</w:t>
      </w:r>
    </w:p>
    <w:p w14:paraId="4697937C" w14:textId="77777777" w:rsidR="00403C41" w:rsidRPr="00A677DE" w:rsidRDefault="00403C41" w:rsidP="00403C41">
      <w:pPr>
        <w:pStyle w:val="Normalnoindent"/>
        <w:spacing w:before="240"/>
        <w:rPr>
          <w:rFonts w:cstheme="minorHAnsi"/>
          <w:noProof/>
        </w:rPr>
      </w:pPr>
      <w:r w:rsidRPr="00A677DE">
        <w:rPr>
          <w:rFonts w:cstheme="minorHAnsi"/>
          <w:i/>
          <w:iCs/>
          <w:noProof/>
        </w:rPr>
        <w:t>d)</w:t>
      </w:r>
      <w:r w:rsidRPr="00A677DE">
        <w:rPr>
          <w:rFonts w:cstheme="minorHAnsi"/>
          <w:noProof/>
        </w:rPr>
        <w:tab/>
      </w:r>
      <w:r w:rsidRPr="00A677DE">
        <w:rPr>
          <w:rFonts w:cstheme="minorHAnsi" w:hint="eastAsia"/>
          <w:noProof/>
        </w:rPr>
        <w:t>可通过这些设施为服务欠缺社区带来的益处，</w:t>
      </w:r>
    </w:p>
    <w:p w14:paraId="4001DD3B" w14:textId="77777777" w:rsidR="00403C41" w:rsidRPr="00A677DE" w:rsidRDefault="00403C41" w:rsidP="00403C41">
      <w:pPr>
        <w:pStyle w:val="Call"/>
        <w:spacing w:before="240"/>
        <w:rPr>
          <w:i/>
          <w:noProof/>
          <w:lang w:eastAsia="zh-CN"/>
        </w:rPr>
      </w:pPr>
      <w:r w:rsidRPr="00A677DE">
        <w:rPr>
          <w:rFonts w:hint="eastAsia"/>
          <w:lang w:eastAsia="zh-CN"/>
        </w:rPr>
        <w:t>铭记</w:t>
      </w:r>
    </w:p>
    <w:p w14:paraId="2290EA77" w14:textId="77777777" w:rsidR="00403C41" w:rsidRPr="00A677DE" w:rsidRDefault="00403C41" w:rsidP="00403C41">
      <w:pPr>
        <w:pStyle w:val="Normalnoindent"/>
        <w:spacing w:before="240"/>
        <w:rPr>
          <w:rFonts w:cstheme="minorHAnsi"/>
          <w:noProof/>
        </w:rPr>
      </w:pPr>
      <w:r w:rsidRPr="00A677DE">
        <w:rPr>
          <w:rFonts w:cstheme="minorHAnsi"/>
          <w:i/>
          <w:iCs/>
          <w:noProof/>
        </w:rPr>
        <w:t>a)</w:t>
      </w:r>
      <w:r w:rsidRPr="00A677DE">
        <w:rPr>
          <w:rFonts w:cstheme="minorHAnsi"/>
          <w:noProof/>
        </w:rPr>
        <w:tab/>
      </w:r>
      <w:r w:rsidRPr="00A677DE">
        <w:rPr>
          <w:rFonts w:cstheme="minorHAnsi" w:hint="eastAsia"/>
          <w:noProof/>
        </w:rPr>
        <w:t>社区接入联系点的成功亦取决于接入、可用性、费用、社区参与、可靠性、可持续性以及所提供的服务；</w:t>
      </w:r>
    </w:p>
    <w:p w14:paraId="2C7F9C64" w14:textId="77777777" w:rsidR="00403C41" w:rsidRPr="00A677DE" w:rsidRDefault="00403C41" w:rsidP="00403C41">
      <w:pPr>
        <w:pStyle w:val="Normalnoindent"/>
        <w:spacing w:before="240"/>
        <w:rPr>
          <w:rFonts w:cstheme="minorHAnsi"/>
          <w:noProof/>
        </w:rPr>
      </w:pPr>
      <w:r w:rsidRPr="00A677DE">
        <w:rPr>
          <w:rFonts w:cstheme="minorHAnsi"/>
          <w:i/>
          <w:iCs/>
          <w:noProof/>
        </w:rPr>
        <w:t>b)</w:t>
      </w:r>
      <w:r w:rsidRPr="00A677DE">
        <w:rPr>
          <w:rFonts w:cstheme="minorHAnsi"/>
          <w:noProof/>
        </w:rPr>
        <w:tab/>
      </w:r>
      <w:r w:rsidRPr="00A677DE">
        <w:rPr>
          <w:rFonts w:cstheme="minorHAnsi" w:hint="eastAsia"/>
          <w:noProof/>
        </w:rPr>
        <w:t>社区接入联系点的成功亦取决于对社区需求的分析和评估以及适当的技术、社区行动和业务规划以及技能、专业力量和人力资源方面的开发，</w:t>
      </w:r>
    </w:p>
    <w:p w14:paraId="369F74E8" w14:textId="77777777" w:rsidR="00403C41" w:rsidRPr="00A677DE" w:rsidRDefault="00403C41" w:rsidP="00403C41">
      <w:pPr>
        <w:pStyle w:val="Call"/>
        <w:spacing w:before="240"/>
        <w:rPr>
          <w:rFonts w:cstheme="minorHAnsi"/>
          <w:lang w:eastAsia="zh-CN"/>
        </w:rPr>
      </w:pPr>
      <w:r w:rsidRPr="00A677DE">
        <w:rPr>
          <w:rFonts w:cstheme="minorHAnsi" w:hint="eastAsia"/>
          <w:lang w:eastAsia="zh-CN"/>
        </w:rPr>
        <w:t>注意到</w:t>
      </w:r>
    </w:p>
    <w:p w14:paraId="1E54B430" w14:textId="77777777" w:rsidR="00403C41" w:rsidRDefault="00403C41" w:rsidP="00403C41">
      <w:pPr>
        <w:spacing w:before="240"/>
        <w:ind w:firstLineChars="200" w:firstLine="480"/>
        <w:rPr>
          <w:rFonts w:cstheme="minorHAnsi"/>
          <w:noProof/>
        </w:rPr>
      </w:pPr>
      <w:r w:rsidRPr="00A677DE">
        <w:rPr>
          <w:rFonts w:cstheme="minorHAnsi" w:hint="eastAsia"/>
          <w:noProof/>
        </w:rPr>
        <w:t>没有单一的模式能够满足某个社区的需要的，但是某些组成部分可适用于其他社区模式，</w:t>
      </w:r>
    </w:p>
    <w:p w14:paraId="329148FD" w14:textId="77777777" w:rsidR="00403C41" w:rsidRDefault="00403C41" w:rsidP="00403C41">
      <w:pPr>
        <w:spacing w:before="240"/>
        <w:ind w:firstLineChars="200" w:firstLine="480"/>
        <w:rPr>
          <w:rFonts w:cstheme="minorHAnsi"/>
          <w:noProof/>
        </w:rPr>
      </w:pPr>
      <w:r>
        <w:rPr>
          <w:rFonts w:cstheme="minorHAnsi"/>
          <w:noProof/>
        </w:rPr>
        <w:br w:type="page"/>
      </w:r>
    </w:p>
    <w:p w14:paraId="0AA9EA8E" w14:textId="77777777" w:rsidR="00403C41" w:rsidRPr="00A677DE" w:rsidRDefault="00403C41" w:rsidP="00403C41">
      <w:pPr>
        <w:pStyle w:val="Call"/>
        <w:spacing w:before="240"/>
        <w:rPr>
          <w:rFonts w:cstheme="minorHAnsi"/>
          <w:lang w:eastAsia="zh-CN"/>
        </w:rPr>
      </w:pPr>
      <w:r w:rsidRPr="00A677DE">
        <w:rPr>
          <w:rFonts w:cstheme="minorHAnsi" w:hint="eastAsia"/>
          <w:lang w:eastAsia="zh-CN"/>
        </w:rPr>
        <w:lastRenderedPageBreak/>
        <w:t>做出建议</w:t>
      </w:r>
    </w:p>
    <w:p w14:paraId="3397F87E" w14:textId="77777777" w:rsidR="00403C41" w:rsidRPr="00A677DE" w:rsidRDefault="00403C41" w:rsidP="00403C41">
      <w:pPr>
        <w:pStyle w:val="Normalnoindent"/>
        <w:spacing w:before="240"/>
        <w:rPr>
          <w:rFonts w:cstheme="minorHAnsi"/>
          <w:noProof/>
        </w:rPr>
      </w:pPr>
      <w:r w:rsidRPr="00A677DE">
        <w:rPr>
          <w:rFonts w:cstheme="minorHAnsi"/>
          <w:noProof/>
        </w:rPr>
        <w:t>1</w:t>
      </w:r>
      <w:r w:rsidRPr="00A677DE">
        <w:rPr>
          <w:rFonts w:cstheme="minorHAnsi"/>
          <w:noProof/>
        </w:rPr>
        <w:tab/>
      </w:r>
      <w:r w:rsidRPr="00A677DE">
        <w:rPr>
          <w:rFonts w:cstheme="minorHAnsi" w:hint="eastAsia"/>
          <w:noProof/>
        </w:rPr>
        <w:t>社区各利益攸关方、政策制定机构、私营部门以及监管机构从实际可行及合作伙伴的角度出发，推进共享社区接入设施的最具包容性框架，并开展协作，将社区中心</w:t>
      </w:r>
      <w:r w:rsidRPr="00A677DE">
        <w:rPr>
          <w:rFonts w:cstheme="minorHAnsi"/>
          <w:noProof/>
        </w:rPr>
        <w:t>/</w:t>
      </w:r>
      <w:r w:rsidRPr="00A677DE">
        <w:rPr>
          <w:rFonts w:cstheme="minorHAnsi" w:hint="eastAsia"/>
          <w:noProof/>
        </w:rPr>
        <w:t>接入设施的成功和可持续性案例记录在案，而且</w:t>
      </w:r>
    </w:p>
    <w:p w14:paraId="6824C85F" w14:textId="77777777" w:rsidR="00403C41" w:rsidRPr="00A677DE" w:rsidRDefault="00403C41" w:rsidP="00403C41">
      <w:pPr>
        <w:pStyle w:val="Normalnoindent"/>
        <w:spacing w:before="240"/>
        <w:rPr>
          <w:rFonts w:cstheme="minorHAnsi"/>
          <w:noProof/>
        </w:rPr>
      </w:pPr>
      <w:r w:rsidRPr="00A677DE">
        <w:rPr>
          <w:rFonts w:cstheme="minorHAnsi"/>
          <w:noProof/>
        </w:rPr>
        <w:t>2</w:t>
      </w:r>
      <w:r w:rsidRPr="00A677DE">
        <w:rPr>
          <w:rFonts w:cstheme="minorHAnsi"/>
          <w:noProof/>
        </w:rPr>
        <w:tab/>
      </w:r>
      <w:r w:rsidRPr="00A677DE">
        <w:rPr>
          <w:rFonts w:cstheme="minorHAnsi" w:hint="eastAsia"/>
          <w:noProof/>
        </w:rPr>
        <w:t>各利益攸关方应充分利用发展组织、非政府组织、国际电联成员和国际电联专家在创建可持续的社区接入中心方面通过吸取的经验教训而总结出的知识。</w:t>
      </w:r>
    </w:p>
    <w:p w14:paraId="6627D31B" w14:textId="77777777" w:rsidR="00403C41" w:rsidRDefault="00403C41" w:rsidP="00403C41"/>
    <w:p w14:paraId="4F667F64" w14:textId="77777777" w:rsidR="00403C41" w:rsidRDefault="00403C41" w:rsidP="00403C41"/>
    <w:p w14:paraId="649DC5BC" w14:textId="77777777" w:rsidR="00403C41" w:rsidRDefault="00403C41" w:rsidP="00403C41"/>
    <w:p w14:paraId="3063CC2C" w14:textId="77777777" w:rsidR="00403C41" w:rsidRDefault="00403C41" w:rsidP="00403C41"/>
    <w:p w14:paraId="7F74D339" w14:textId="77777777" w:rsidR="00403C41" w:rsidRDefault="00403C41" w:rsidP="00403C41"/>
    <w:p w14:paraId="1BF138E3" w14:textId="77777777" w:rsidR="00403C41" w:rsidRDefault="00403C41" w:rsidP="00403C41"/>
    <w:p w14:paraId="5C0B5DE8" w14:textId="77777777" w:rsidR="00403C41" w:rsidRPr="00A677DE" w:rsidRDefault="00403C41" w:rsidP="00403C41"/>
    <w:p w14:paraId="20DA908C" w14:textId="77777777" w:rsidR="00403C41" w:rsidRPr="00A677DE" w:rsidRDefault="00403C41" w:rsidP="00403C41"/>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ED09" w14:textId="77777777" w:rsidR="00E979FA" w:rsidRDefault="00E979FA" w:rsidP="00BC603B">
      <w:pPr>
        <w:spacing w:after="0" w:line="240" w:lineRule="auto"/>
      </w:pPr>
      <w:r>
        <w:separator/>
      </w:r>
    </w:p>
  </w:endnote>
  <w:endnote w:type="continuationSeparator" w:id="0">
    <w:p w14:paraId="31B7C958" w14:textId="77777777" w:rsidR="00E979FA" w:rsidRDefault="00E979FA"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3CF7" w14:textId="77777777" w:rsidR="00E979FA" w:rsidRDefault="00E979FA" w:rsidP="00BC603B">
      <w:pPr>
        <w:spacing w:after="0" w:line="240" w:lineRule="auto"/>
      </w:pPr>
      <w:r>
        <w:separator/>
      </w:r>
    </w:p>
  </w:footnote>
  <w:footnote w:type="continuationSeparator" w:id="0">
    <w:p w14:paraId="36EF0C55" w14:textId="77777777" w:rsidR="00E979FA" w:rsidRDefault="00E979FA" w:rsidP="00BC603B">
      <w:pPr>
        <w:spacing w:after="0" w:line="240" w:lineRule="auto"/>
      </w:pPr>
      <w:r>
        <w:continuationSeparator/>
      </w:r>
    </w:p>
  </w:footnote>
  <w:footnote w:id="1">
    <w:p w14:paraId="7BE80740" w14:textId="77777777" w:rsidR="00403C41" w:rsidRDefault="00403C41" w:rsidP="00403C41">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Calibri" w:hAnsi="Calibri" w:hint="eastAsia"/>
          <w:noProof/>
          <w:lang w:eastAsia="zh-CN"/>
        </w:rPr>
        <w:t>第</w:t>
      </w:r>
      <w:r>
        <w:rPr>
          <w:rFonts w:ascii="Calibri" w:hAnsi="Calibri"/>
          <w:noProof/>
          <w:lang w:eastAsia="zh-CN"/>
        </w:rPr>
        <w:t>7</w:t>
      </w:r>
      <w:r>
        <w:rPr>
          <w:rFonts w:ascii="Calibri" w:hAnsi="Calibri" w:hint="eastAsia"/>
          <w:noProof/>
          <w:lang w:eastAsia="zh-CN"/>
        </w:rPr>
        <w:t>焦点组</w:t>
      </w:r>
      <w:r>
        <w:rPr>
          <w:rFonts w:hint="eastAsia"/>
          <w:lang w:eastAsia="zh-CN"/>
        </w:rPr>
        <w:t>在</w:t>
      </w:r>
      <w:r>
        <w:rPr>
          <w:lang w:eastAsia="zh-CN"/>
        </w:rPr>
        <w:t>1998</w:t>
      </w:r>
      <w:r>
        <w:rPr>
          <w:rFonts w:hint="eastAsia"/>
          <w:lang w:eastAsia="zh-CN"/>
        </w:rPr>
        <w:t>年</w:t>
      </w:r>
      <w:r>
        <w:rPr>
          <w:rFonts w:hint="eastAsia"/>
          <w:lang w:eastAsia="zh-CN"/>
        </w:rPr>
        <w:t xml:space="preserve"> </w:t>
      </w:r>
      <w:r>
        <w:rPr>
          <w:rFonts w:hint="eastAsia"/>
          <w:lang w:eastAsia="zh-CN"/>
        </w:rPr>
        <w:t>世界电信发展大会（</w:t>
      </w:r>
      <w:r>
        <w:rPr>
          <w:lang w:eastAsia="zh-CN"/>
        </w:rPr>
        <w:t>WTDC-98</w:t>
      </w:r>
      <w:r>
        <w:rPr>
          <w:rFonts w:hint="eastAsia"/>
          <w:lang w:eastAsia="zh-CN"/>
        </w:rPr>
        <w:t>）上成立，研究内容是，促进将新的电信技术发展用于农村的各种机制。</w:t>
      </w:r>
      <w:r>
        <w:rPr>
          <w:rFonts w:ascii="Calibri" w:hAnsi="Calibri" w:hint="eastAsia"/>
          <w:noProof/>
          <w:lang w:eastAsia="zh-CN"/>
        </w:rPr>
        <w:t>第</w:t>
      </w:r>
      <w:r>
        <w:rPr>
          <w:rFonts w:ascii="Calibri" w:hAnsi="Calibri"/>
          <w:noProof/>
          <w:lang w:eastAsia="zh-CN"/>
        </w:rPr>
        <w:t>7</w:t>
      </w:r>
      <w:r>
        <w:rPr>
          <w:rFonts w:ascii="Calibri" w:hAnsi="Calibri" w:hint="eastAsia"/>
          <w:noProof/>
          <w:lang w:eastAsia="zh-CN"/>
        </w:rPr>
        <w:t>焦点组于</w:t>
      </w:r>
      <w:r>
        <w:rPr>
          <w:lang w:eastAsia="zh-CN"/>
        </w:rPr>
        <w:t>2000</w:t>
      </w:r>
      <w:r>
        <w:rPr>
          <w:rFonts w:ascii="Calibri" w:hAnsi="Calibri" w:hint="eastAsia"/>
          <w:noProof/>
          <w:lang w:eastAsia="zh-CN"/>
        </w:rPr>
        <w:t>年底完成了工作。</w:t>
      </w:r>
    </w:p>
  </w:footnote>
  <w:footnote w:id="2">
    <w:p w14:paraId="0F6B0B87" w14:textId="77777777" w:rsidR="00403C41" w:rsidRDefault="00403C41" w:rsidP="00403C41">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ascii="Calibri" w:hAnsi="Calibri" w:hint="eastAsia"/>
          <w:noProof/>
          <w:lang w:eastAsia="zh-CN"/>
        </w:rPr>
        <w:t>题为“用于农村应用的新技术”的第</w:t>
      </w:r>
      <w:r>
        <w:rPr>
          <w:rFonts w:ascii="Calibri" w:hAnsi="Calibri"/>
          <w:noProof/>
          <w:lang w:eastAsia="zh-CN"/>
        </w:rPr>
        <w:t>7</w:t>
      </w:r>
      <w:r>
        <w:rPr>
          <w:rFonts w:ascii="Calibri" w:hAnsi="Calibri" w:hint="eastAsia"/>
          <w:noProof/>
          <w:lang w:eastAsia="zh-CN"/>
        </w:rPr>
        <w:t>焦点组报告于</w:t>
      </w:r>
      <w:r>
        <w:rPr>
          <w:rFonts w:ascii="Calibri" w:hAnsi="Calibri"/>
          <w:noProof/>
          <w:lang w:eastAsia="zh-CN"/>
        </w:rPr>
        <w:t>2001</w:t>
      </w:r>
      <w:r>
        <w:rPr>
          <w:rFonts w:ascii="Calibri" w:hAnsi="Calibri" w:hint="eastAsia"/>
          <w:noProof/>
          <w:lang w:eastAsia="zh-CN"/>
        </w:rPr>
        <w:t>年</w:t>
      </w:r>
      <w:r>
        <w:rPr>
          <w:rFonts w:ascii="Calibri" w:hAnsi="Calibri"/>
          <w:noProof/>
          <w:lang w:eastAsia="zh-CN"/>
        </w:rPr>
        <w:t>2</w:t>
      </w:r>
      <w:r>
        <w:rPr>
          <w:rFonts w:ascii="Calibri" w:hAnsi="Calibri" w:hint="eastAsia"/>
          <w:noProof/>
          <w:lang w:eastAsia="zh-CN"/>
        </w:rPr>
        <w:t>月出版。亦见</w:t>
      </w:r>
      <w:r>
        <w:rPr>
          <w:rStyle w:val="Hyperlink"/>
          <w:lang w:eastAsia="zh-CN"/>
        </w:rPr>
        <w:t>http://www7.itu.int/itudfg7/</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0D363B61" w:rsidR="001D3055" w:rsidRDefault="00062F63"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BA1B84" w:rsidRPr="00BA1B84">
          <w:rPr>
            <w:rFonts w:cstheme="minorHAnsi"/>
            <w:noProof/>
            <w:lang w:val="en-US" w:eastAsia="zh-CN"/>
          </w:rPr>
          <w:t>17</w:t>
        </w:r>
        <w:r w:rsidRPr="008C424D">
          <w:rPr>
            <w:rFonts w:cstheme="minorHAnsi"/>
            <w:lang w:eastAsia="zh-CN"/>
          </w:rPr>
          <w:fldChar w:fldCharType="end"/>
        </w:r>
        <w:r>
          <w:rPr>
            <w:rFonts w:cstheme="minorHAnsi" w:hint="eastAsia"/>
            <w:lang w:eastAsia="zh-CN"/>
          </w:rPr>
          <w:t>号</w:t>
        </w:r>
        <w:r w:rsidR="000410FB">
          <w:rPr>
            <w:rFonts w:cstheme="minorHAnsi" w:hint="eastAsia"/>
            <w:lang w:eastAsia="zh-CN"/>
          </w:rPr>
          <w:t>建议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71DABD71" w:rsidR="001D3055" w:rsidRDefault="00062F63"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062F63">
          <w:rPr>
            <w:rFonts w:cstheme="minorHAnsi"/>
            <w:noProof/>
            <w:lang w:val="en-US" w:eastAsia="zh-CN"/>
          </w:rPr>
          <w:t>17</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33D1D471" w:rsidR="001D3055" w:rsidRDefault="00062F63"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B67571">
          <w:rPr>
            <w:rFonts w:cstheme="minorHAnsi"/>
            <w:noProof/>
            <w:lang w:eastAsia="zh-CN"/>
          </w:rPr>
          <w:fldChar w:fldCharType="begin"/>
        </w:r>
        <w:r w:rsidRPr="00B67571">
          <w:rPr>
            <w:rFonts w:cstheme="minorHAnsi"/>
            <w:noProof/>
            <w:lang w:eastAsia="zh-CN"/>
          </w:rPr>
          <w:instrText xml:space="preserve"> STYLEREF  href  \* MERGEFORMAT </w:instrText>
        </w:r>
        <w:r w:rsidRPr="00B67571">
          <w:rPr>
            <w:rFonts w:cstheme="minorHAnsi"/>
            <w:noProof/>
            <w:lang w:eastAsia="zh-CN"/>
          </w:rPr>
          <w:fldChar w:fldCharType="separate"/>
        </w:r>
        <w:r w:rsidR="00BA1B84" w:rsidRPr="00BA1B84">
          <w:rPr>
            <w:rFonts w:cstheme="minorHAnsi"/>
            <w:noProof/>
            <w:lang w:val="en-US" w:eastAsia="zh-CN"/>
          </w:rPr>
          <w:t>17</w:t>
        </w:r>
        <w:r w:rsidRPr="00B67571">
          <w:rPr>
            <w:rFonts w:cstheme="minorHAnsi"/>
            <w:noProof/>
            <w:lang w:eastAsia="zh-CN"/>
          </w:rPr>
          <w:fldChar w:fldCharType="end"/>
        </w:r>
        <w:r>
          <w:rPr>
            <w:rFonts w:cstheme="minorHAnsi" w:hint="eastAsia"/>
            <w:noProof/>
            <w:lang w:eastAsia="zh-CN"/>
          </w:rPr>
          <w:t>号</w:t>
        </w:r>
        <w:r w:rsidR="00694B10">
          <w:rPr>
            <w:rFonts w:cstheme="minorHAnsi" w:hint="eastAsia"/>
            <w:noProof/>
            <w:lang w:eastAsia="zh-CN"/>
          </w:rPr>
          <w:t>建议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410FB"/>
    <w:rsid w:val="00062F63"/>
    <w:rsid w:val="000A6BD3"/>
    <w:rsid w:val="001A0DBE"/>
    <w:rsid w:val="001D3055"/>
    <w:rsid w:val="002867C1"/>
    <w:rsid w:val="002A57FC"/>
    <w:rsid w:val="003324A7"/>
    <w:rsid w:val="003D04C8"/>
    <w:rsid w:val="00403C41"/>
    <w:rsid w:val="00564FB6"/>
    <w:rsid w:val="00677A04"/>
    <w:rsid w:val="00694B10"/>
    <w:rsid w:val="006E5CD0"/>
    <w:rsid w:val="007577EE"/>
    <w:rsid w:val="008778F6"/>
    <w:rsid w:val="008C424D"/>
    <w:rsid w:val="00AD1D0D"/>
    <w:rsid w:val="00B67571"/>
    <w:rsid w:val="00BA1B84"/>
    <w:rsid w:val="00BC603B"/>
    <w:rsid w:val="00CD79EF"/>
    <w:rsid w:val="00CE6E63"/>
    <w:rsid w:val="00D21081"/>
    <w:rsid w:val="00DF6B6D"/>
    <w:rsid w:val="00E35E48"/>
    <w:rsid w:val="00E979FA"/>
    <w:rsid w:val="00EA325D"/>
    <w:rsid w:val="00EA5AEB"/>
    <w:rsid w:val="00EB1C37"/>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94B1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cs="Times New Roman"/>
      <w:caps/>
      <w:kern w:val="0"/>
      <w:sz w:val="28"/>
      <w:szCs w:val="20"/>
      <w:lang w:eastAsia="en-US"/>
      <w14:ligatures w14:val="none"/>
    </w:rPr>
  </w:style>
  <w:style w:type="paragraph" w:customStyle="1" w:styleId="Rectitle">
    <w:name w:val="Rec_title"/>
    <w:basedOn w:val="RecNo"/>
    <w:next w:val="Normal"/>
    <w:rsid w:val="00694B1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2023-10-16T13:37:00Z</cp:lastPrinted>
  <dcterms:created xsi:type="dcterms:W3CDTF">2023-10-16T13:37:00Z</dcterms:created>
  <dcterms:modified xsi:type="dcterms:W3CDTF">2023-10-17T08:18:00Z</dcterms:modified>
</cp:coreProperties>
</file>