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23D3" w14:textId="77777777" w:rsidR="001E2964" w:rsidRPr="003A2A2A" w:rsidRDefault="001E2964" w:rsidP="001E2964">
      <w:pPr>
        <w:pStyle w:val="RecNo"/>
        <w:rPr>
          <w:rtl/>
          <w:lang w:bidi="ar-SY"/>
        </w:rPr>
      </w:pPr>
      <w:bookmarkStart w:id="0" w:name="_Toc116546925"/>
      <w:r w:rsidRPr="003A2A2A">
        <w:rPr>
          <w:rFonts w:hint="cs"/>
          <w:rtl/>
        </w:rPr>
        <w:t xml:space="preserve">التوصيـة </w:t>
      </w:r>
      <w:r w:rsidRPr="003A2A2A">
        <w:t>ITU–D 17</w:t>
      </w:r>
      <w:bookmarkEnd w:id="0"/>
    </w:p>
    <w:p w14:paraId="5A0B2DEB" w14:textId="77777777" w:rsidR="001E2964" w:rsidRPr="003A2A2A" w:rsidRDefault="001E2964" w:rsidP="001E2964">
      <w:pPr>
        <w:pStyle w:val="Rectitle"/>
        <w:rPr>
          <w:rtl/>
          <w:lang w:bidi="ar-SY"/>
        </w:rPr>
      </w:pPr>
      <w:bookmarkStart w:id="1" w:name="_Toc116546926"/>
      <w:r w:rsidRPr="003A2A2A">
        <w:rPr>
          <w:rFonts w:hint="cs"/>
          <w:rtl/>
        </w:rPr>
        <w:t>تقاسم المرافق في المناطق الريفية والمناطق النائية</w:t>
      </w:r>
      <w:bookmarkEnd w:id="1"/>
    </w:p>
    <w:p w14:paraId="79ED6928" w14:textId="77777777" w:rsidR="001E2964" w:rsidRPr="003A2A2A" w:rsidRDefault="001E2964" w:rsidP="001E2964">
      <w:pPr>
        <w:pStyle w:val="Normalcenteraligned"/>
        <w:rPr>
          <w:i/>
          <w:iCs/>
          <w:rtl/>
        </w:rPr>
      </w:pPr>
      <w:r w:rsidRPr="003A2A2A">
        <w:rPr>
          <w:rFonts w:hint="cs"/>
          <w:i/>
          <w:iCs/>
          <w:rtl/>
        </w:rPr>
        <w:t xml:space="preserve">(يناير </w:t>
      </w:r>
      <w:r w:rsidRPr="003A2A2A">
        <w:rPr>
          <w:i/>
          <w:iCs/>
        </w:rPr>
        <w:t>2002</w:t>
      </w:r>
      <w:r w:rsidRPr="003A2A2A">
        <w:rPr>
          <w:rFonts w:hint="cs"/>
          <w:i/>
          <w:iCs/>
          <w:rtl/>
        </w:rPr>
        <w:t>)</w:t>
      </w:r>
    </w:p>
    <w:p w14:paraId="23E82D1A" w14:textId="77777777" w:rsidR="001E2964" w:rsidRPr="003A2A2A" w:rsidRDefault="001E2964" w:rsidP="001E2964">
      <w:pPr>
        <w:pStyle w:val="Normalaftertitle"/>
        <w:rPr>
          <w:rtl/>
        </w:rPr>
      </w:pPr>
      <w:r w:rsidRPr="003A2A2A">
        <w:rPr>
          <w:rFonts w:hint="cs"/>
          <w:rtl/>
        </w:rPr>
        <w:t xml:space="preserve">المسألة </w:t>
      </w:r>
      <w:r w:rsidRPr="003A2A2A">
        <w:t>10/2</w:t>
      </w:r>
      <w:r w:rsidRPr="003A2A2A">
        <w:rPr>
          <w:rFonts w:hint="cs"/>
          <w:rtl/>
        </w:rPr>
        <w:t>: توفير الاتصالات في المناطق الريفية والمناطق النائية</w:t>
      </w:r>
    </w:p>
    <w:p w14:paraId="1D1704CE" w14:textId="77777777" w:rsidR="001E2964" w:rsidRPr="003A2A2A" w:rsidRDefault="001E2964" w:rsidP="001E2964">
      <w:pPr>
        <w:pStyle w:val="Normalaftertitle"/>
        <w:rPr>
          <w:rtl/>
        </w:rPr>
      </w:pPr>
      <w:r w:rsidRPr="003A2A2A">
        <w:rPr>
          <w:rFonts w:hint="cs"/>
          <w:rtl/>
        </w:rPr>
        <w:t xml:space="preserve">إن قطاع تنمية الاتصالات للاتحاد الدولي للاتصالات </w:t>
      </w:r>
      <w:r w:rsidRPr="003A2A2A">
        <w:t>(ITU–D)</w:t>
      </w:r>
      <w:r w:rsidRPr="003A2A2A">
        <w:rPr>
          <w:rFonts w:hint="cs"/>
          <w:rtl/>
        </w:rPr>
        <w:t>،</w:t>
      </w:r>
    </w:p>
    <w:p w14:paraId="17201BD2" w14:textId="77777777" w:rsidR="001E2964" w:rsidRPr="003A2A2A" w:rsidRDefault="001E2964" w:rsidP="001E2964">
      <w:pPr>
        <w:pStyle w:val="Call"/>
        <w:rPr>
          <w:rtl/>
          <w:lang w:bidi="ar-SY"/>
        </w:rPr>
      </w:pPr>
      <w:r w:rsidRPr="003A2A2A">
        <w:rPr>
          <w:rFonts w:hint="cs"/>
          <w:rtl/>
          <w:lang w:bidi="ar-SY"/>
        </w:rPr>
        <w:t>إذ يضع في اعتباره</w:t>
      </w:r>
    </w:p>
    <w:p w14:paraId="45D7F79E" w14:textId="77777777" w:rsidR="001E2964" w:rsidRPr="003A2A2A" w:rsidRDefault="001E2964" w:rsidP="001E2964">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 xml:space="preserve">أعمال الفريق المتخصص </w:t>
      </w:r>
      <w:r w:rsidRPr="003A2A2A">
        <w:t>7</w:t>
      </w:r>
      <w:r w:rsidRPr="003A2A2A">
        <w:rPr>
          <w:rStyle w:val="FootnoteReference"/>
        </w:rPr>
        <w:footnoteReference w:id="1"/>
      </w:r>
      <w:r w:rsidRPr="003A2A2A">
        <w:rPr>
          <w:rFonts w:hint="cs"/>
          <w:rtl/>
        </w:rPr>
        <w:t xml:space="preserve"> وتقريره</w:t>
      </w:r>
      <w:r w:rsidRPr="003A2A2A">
        <w:rPr>
          <w:rStyle w:val="FootnoteReference"/>
          <w:rtl/>
        </w:rPr>
        <w:footnoteReference w:id="2"/>
      </w:r>
      <w:r w:rsidRPr="003A2A2A">
        <w:rPr>
          <w:rFonts w:hint="cs"/>
          <w:rtl/>
        </w:rPr>
        <w:t xml:space="preserve"> والتقرير المحدث بشأن توفير الاتصالات في المناطق الريفية والمناطق النائية؛</w:t>
      </w:r>
    </w:p>
    <w:p w14:paraId="0943484F" w14:textId="77777777" w:rsidR="001E2964" w:rsidRPr="003A2A2A" w:rsidRDefault="001E2964" w:rsidP="001E2964">
      <w:pPr>
        <w:rPr>
          <w:rtl/>
        </w:rPr>
      </w:pPr>
      <w:r w:rsidRPr="003A2A2A">
        <w:rPr>
          <w:rFonts w:hint="cs"/>
          <w:i/>
          <w:iCs/>
          <w:rtl/>
        </w:rPr>
        <w:t>ب)</w:t>
      </w:r>
      <w:r w:rsidRPr="003A2A2A">
        <w:rPr>
          <w:rFonts w:hint="cs"/>
          <w:rtl/>
        </w:rPr>
        <w:tab/>
        <w:t>الحاجة إلى توفير النفاذ إلى خدمات الاتصالات الأساسية والمتقدمة والهدف الأساسي الذي ينطوي عليه ذلك؛</w:t>
      </w:r>
    </w:p>
    <w:p w14:paraId="7539C55B" w14:textId="77777777" w:rsidR="001E2964" w:rsidRPr="003A2A2A" w:rsidRDefault="001E2964" w:rsidP="001E2964">
      <w:pPr>
        <w:rPr>
          <w:rtl/>
        </w:rPr>
      </w:pPr>
      <w:r w:rsidRPr="003A2A2A">
        <w:rPr>
          <w:rFonts w:hint="cs"/>
          <w:i/>
          <w:iCs/>
          <w:rtl/>
        </w:rPr>
        <w:t>ج)</w:t>
      </w:r>
      <w:r w:rsidRPr="003A2A2A">
        <w:rPr>
          <w:rFonts w:hint="cs"/>
          <w:rtl/>
        </w:rPr>
        <w:tab/>
        <w:t>أهمية الحصول على نفاذ مادي إلى مراكز الاتصالات العمومية أو المجتمعية واستعمالها (مثل المكاتب الهاتفية العمومية ومراكز الاتصالات المجتمعية متعددة الأغراض وغيرها من مراكز النفاذ المجتمعية؛</w:t>
      </w:r>
    </w:p>
    <w:p w14:paraId="445518EA" w14:textId="77777777" w:rsidR="001E2964" w:rsidRPr="003A2A2A" w:rsidRDefault="001E2964" w:rsidP="001E2964">
      <w:pPr>
        <w:rPr>
          <w:rtl/>
        </w:rPr>
      </w:pPr>
      <w:proofErr w:type="gramStart"/>
      <w:r w:rsidRPr="003A2A2A">
        <w:rPr>
          <w:rFonts w:hint="cs"/>
          <w:i/>
          <w:iCs/>
          <w:rtl/>
        </w:rPr>
        <w:t>د )</w:t>
      </w:r>
      <w:proofErr w:type="gramEnd"/>
      <w:r w:rsidRPr="003A2A2A">
        <w:rPr>
          <w:rFonts w:hint="cs"/>
          <w:rtl/>
        </w:rPr>
        <w:tab/>
        <w:t>الفوائد التي تجلبها هذه المرافق إلى المجتمعات المحلية التي تعاني نقصاً في الخدمات،</w:t>
      </w:r>
    </w:p>
    <w:p w14:paraId="0FA98F5E" w14:textId="77777777" w:rsidR="001E2964" w:rsidRPr="003A2A2A" w:rsidRDefault="001E2964" w:rsidP="001E2964">
      <w:pPr>
        <w:pStyle w:val="Call"/>
        <w:rPr>
          <w:rtl/>
          <w:lang w:bidi="ar-SY"/>
        </w:rPr>
      </w:pPr>
      <w:r w:rsidRPr="003A2A2A">
        <w:rPr>
          <w:rFonts w:hint="cs"/>
          <w:rtl/>
          <w:lang w:bidi="ar-SY"/>
        </w:rPr>
        <w:t>وإذ يأخذ في الحسبان</w:t>
      </w:r>
    </w:p>
    <w:p w14:paraId="76EDD220" w14:textId="77777777" w:rsidR="001E2964" w:rsidRPr="003A2A2A" w:rsidRDefault="001E2964" w:rsidP="001E2964">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أن نجاح مركز محوري للنفاذ المجتمعي يعتمد أيضاً على النفاذ والتوافر والتكلفة ومشاركة المجتمع المحلي والموثوقية والاستدامة والخدمات المقدمة؛</w:t>
      </w:r>
    </w:p>
    <w:p w14:paraId="1CA312AF" w14:textId="77777777" w:rsidR="001E2964" w:rsidRPr="003A2A2A" w:rsidRDefault="001E2964" w:rsidP="001E2964">
      <w:pPr>
        <w:rPr>
          <w:rtl/>
        </w:rPr>
      </w:pPr>
      <w:r w:rsidRPr="003A2A2A">
        <w:rPr>
          <w:rFonts w:hint="cs"/>
          <w:i/>
          <w:iCs/>
          <w:rtl/>
        </w:rPr>
        <w:t>ب)</w:t>
      </w:r>
      <w:r w:rsidRPr="003A2A2A">
        <w:rPr>
          <w:rFonts w:hint="cs"/>
          <w:rtl/>
        </w:rPr>
        <w:tab/>
        <w:t>أن نجاح مركز محوري للنفاذ المجتمعي يعتمد أيضاً على تحليل وتقييم احتياجات المجتمع المحلي والتكنولوجيا الملائمة وخطة العمل والخطة التجارية للمجتمع المحلي وتطوير المهارات والخبرة والموارد البشرية،</w:t>
      </w:r>
    </w:p>
    <w:p w14:paraId="37107D32" w14:textId="77777777" w:rsidR="001E2964" w:rsidRPr="003A2A2A" w:rsidRDefault="001E2964" w:rsidP="001E2964">
      <w:pPr>
        <w:pStyle w:val="Call"/>
        <w:rPr>
          <w:rtl/>
          <w:lang w:bidi="ar-SY"/>
        </w:rPr>
      </w:pPr>
      <w:r w:rsidRPr="003A2A2A">
        <w:rPr>
          <w:rFonts w:hint="cs"/>
          <w:rtl/>
          <w:lang w:bidi="ar-SY"/>
        </w:rPr>
        <w:t>وإذ يلاحظ</w:t>
      </w:r>
    </w:p>
    <w:p w14:paraId="0E9FB4CB" w14:textId="77777777" w:rsidR="001E2964" w:rsidRPr="003A2A2A" w:rsidRDefault="001E2964" w:rsidP="001E2964">
      <w:pPr>
        <w:rPr>
          <w:rtl/>
        </w:rPr>
      </w:pPr>
      <w:r w:rsidRPr="003A2A2A">
        <w:rPr>
          <w:rFonts w:hint="cs"/>
          <w:rtl/>
        </w:rPr>
        <w:t>أنه لا يوجد نموذج واحد يفي باحتياجات مجتمع واحد، بل قد تكون العناصر قابلة للتطبيق في نماذج مجتمعية أخرى،</w:t>
      </w:r>
      <w:r w:rsidRPr="003A2A2A">
        <w:rPr>
          <w:rtl/>
          <w:lang w:bidi="ar-SY"/>
        </w:rPr>
        <w:br w:type="page"/>
      </w:r>
    </w:p>
    <w:p w14:paraId="1FE78A1E" w14:textId="77777777" w:rsidR="001E2964" w:rsidRPr="003A2A2A" w:rsidRDefault="001E2964" w:rsidP="001E2964">
      <w:pPr>
        <w:pStyle w:val="Call"/>
        <w:rPr>
          <w:rtl/>
          <w:lang w:bidi="ar-SY"/>
        </w:rPr>
      </w:pPr>
      <w:r w:rsidRPr="003A2A2A">
        <w:rPr>
          <w:rFonts w:hint="cs"/>
          <w:rtl/>
          <w:lang w:bidi="ar-SY"/>
        </w:rPr>
        <w:lastRenderedPageBreak/>
        <w:t>يوصي</w:t>
      </w:r>
    </w:p>
    <w:p w14:paraId="10AA677C" w14:textId="77777777" w:rsidR="001E2964" w:rsidRPr="003A2A2A" w:rsidRDefault="001E2964" w:rsidP="001E2964">
      <w:pPr>
        <w:rPr>
          <w:rtl/>
        </w:rPr>
      </w:pPr>
      <w:r w:rsidRPr="003A2A2A">
        <w:t>1</w:t>
      </w:r>
      <w:r w:rsidRPr="003A2A2A">
        <w:rPr>
          <w:rFonts w:hint="cs"/>
          <w:b/>
          <w:bCs/>
          <w:rtl/>
        </w:rPr>
        <w:tab/>
      </w:r>
      <w:r w:rsidRPr="003A2A2A">
        <w:rPr>
          <w:rFonts w:hint="cs"/>
          <w:rtl/>
        </w:rPr>
        <w:t>بأن يقوم أصحاب المصلحة وواضعو السياسات والقطاع الخاص والمنظمون في المجتمعات المحلية بتيسير أكثر الأطر شمولاً لتقاسم مرافق النفاذ المجتمعية من منظور عملي ومنظور الشراكة، والتعاون من أجل توثيق أمثلة ناجحة ومستدامة للمراكز المجتمعية/مرافق النفاذ،</w:t>
      </w:r>
    </w:p>
    <w:p w14:paraId="7450B791" w14:textId="77777777" w:rsidR="001E2964" w:rsidRPr="003A2A2A" w:rsidRDefault="001E2964" w:rsidP="001E2964">
      <w:pPr>
        <w:rPr>
          <w:rtl/>
        </w:rPr>
      </w:pPr>
      <w:r w:rsidRPr="00E64359">
        <w:rPr>
          <w:spacing w:val="-2"/>
        </w:rPr>
        <w:t>2</w:t>
      </w:r>
      <w:r w:rsidRPr="00E64359">
        <w:rPr>
          <w:rFonts w:hint="cs"/>
          <w:b/>
          <w:bCs/>
          <w:spacing w:val="-2"/>
          <w:rtl/>
        </w:rPr>
        <w:tab/>
      </w:r>
      <w:r w:rsidRPr="00E64359">
        <w:rPr>
          <w:rFonts w:hint="cs"/>
          <w:spacing w:val="-2"/>
          <w:rtl/>
        </w:rPr>
        <w:t>بأن يستفيد أصحاب المصلحة من ثروة المعارف المكتسبة لدى منظمات التنمية والمنظمات غير الحكومية وأعضاء</w:t>
      </w:r>
      <w:r w:rsidRPr="003A2A2A">
        <w:rPr>
          <w:rFonts w:hint="cs"/>
          <w:rtl/>
        </w:rPr>
        <w:t xml:space="preserve"> الاتحاد وخبرائه بشأن الدروس المستفادة من إنشاء مراكز نفاذ مجتمعية مستدامة.</w:t>
      </w:r>
    </w:p>
    <w:p w14:paraId="579F265E" w14:textId="77777777" w:rsidR="001E2964" w:rsidRPr="003A2A2A" w:rsidRDefault="001E2964" w:rsidP="001E2964">
      <w:pPr>
        <w:rPr>
          <w:rtl/>
        </w:rPr>
      </w:pPr>
    </w:p>
    <w:p w14:paraId="0F8FC52F" w14:textId="77777777" w:rsidR="001E2964" w:rsidRPr="003A2A2A" w:rsidRDefault="001E2964" w:rsidP="001E2964">
      <w:pPr>
        <w:rPr>
          <w:rtl/>
        </w:rPr>
      </w:pPr>
    </w:p>
    <w:p w14:paraId="198C582B" w14:textId="77777777" w:rsidR="001E2964" w:rsidRPr="003A2A2A" w:rsidRDefault="001E2964" w:rsidP="001E2964">
      <w:pPr>
        <w:rPr>
          <w:rtl/>
        </w:rPr>
      </w:pPr>
    </w:p>
    <w:p w14:paraId="381F3706" w14:textId="77777777" w:rsidR="001E2964" w:rsidRPr="003A2A2A" w:rsidRDefault="001E2964" w:rsidP="001E2964">
      <w:pPr>
        <w:rPr>
          <w:rtl/>
        </w:rPr>
      </w:pPr>
    </w:p>
    <w:p w14:paraId="208EAD02" w14:textId="77777777" w:rsidR="001E2964" w:rsidRPr="003A2A2A" w:rsidRDefault="001E2964" w:rsidP="001E2964">
      <w:pPr>
        <w:rPr>
          <w:rtl/>
        </w:rPr>
      </w:pPr>
    </w:p>
    <w:p w14:paraId="1C8FF8AD" w14:textId="77777777" w:rsidR="001E2964" w:rsidRPr="003A2A2A" w:rsidRDefault="001E2964" w:rsidP="001E2964">
      <w:pPr>
        <w:rPr>
          <w:rtl/>
        </w:rPr>
      </w:pPr>
    </w:p>
    <w:p w14:paraId="5A43BB3F" w14:textId="77777777" w:rsidR="001E2964" w:rsidRPr="003A2A2A" w:rsidRDefault="001E2964" w:rsidP="001E2964">
      <w:pPr>
        <w:rPr>
          <w:rtl/>
        </w:rPr>
      </w:pPr>
    </w:p>
    <w:p w14:paraId="737334C7" w14:textId="77777777" w:rsidR="001E2964" w:rsidRPr="003A2A2A" w:rsidRDefault="001E2964" w:rsidP="001E2964">
      <w:pPr>
        <w:rPr>
          <w:rtl/>
        </w:rPr>
      </w:pPr>
    </w:p>
    <w:p w14:paraId="25BCAEC8" w14:textId="77777777" w:rsidR="001E2964" w:rsidRPr="003A2A2A" w:rsidRDefault="001E2964" w:rsidP="001E2964">
      <w:pPr>
        <w:rPr>
          <w:rtl/>
        </w:rPr>
      </w:pPr>
    </w:p>
    <w:p w14:paraId="5289E521" w14:textId="77777777" w:rsidR="001E2964" w:rsidRPr="003A2A2A" w:rsidRDefault="001E2964" w:rsidP="001E2964">
      <w:pPr>
        <w:rPr>
          <w:rtl/>
        </w:rPr>
      </w:pPr>
    </w:p>
    <w:p w14:paraId="0F27FEDB" w14:textId="77777777" w:rsidR="001E2964" w:rsidRPr="003A2A2A" w:rsidRDefault="001E2964" w:rsidP="001E2964">
      <w:pPr>
        <w:rPr>
          <w:rtl/>
        </w:rPr>
      </w:pPr>
    </w:p>
    <w:p w14:paraId="0C68BF33" w14:textId="77777777" w:rsidR="001E2964" w:rsidRPr="003A2A2A" w:rsidRDefault="001E2964" w:rsidP="001E2964">
      <w:pPr>
        <w:rPr>
          <w:rtl/>
        </w:rPr>
      </w:pPr>
    </w:p>
    <w:p w14:paraId="297BBE60" w14:textId="77777777" w:rsidR="001E2964" w:rsidRPr="003A2A2A" w:rsidRDefault="001E2964" w:rsidP="001E2964">
      <w:pPr>
        <w:rPr>
          <w:rtl/>
        </w:rPr>
      </w:pPr>
    </w:p>
    <w:p w14:paraId="0B434138" w14:textId="77777777" w:rsidR="001E2964" w:rsidRPr="003A2A2A" w:rsidRDefault="001E2964" w:rsidP="001E2964">
      <w:pPr>
        <w:rPr>
          <w:rtl/>
        </w:rPr>
      </w:pPr>
    </w:p>
    <w:p w14:paraId="2E29BABE" w14:textId="77777777" w:rsidR="001E2964" w:rsidRPr="003A2A2A" w:rsidRDefault="001E2964" w:rsidP="001E2964">
      <w:pPr>
        <w:rPr>
          <w:rtl/>
        </w:rPr>
      </w:pPr>
    </w:p>
    <w:p w14:paraId="11EDC3BF"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9CF4" w14:textId="77777777" w:rsidR="001E2964" w:rsidRDefault="001E2964" w:rsidP="001E2964">
      <w:pPr>
        <w:spacing w:line="240" w:lineRule="auto"/>
      </w:pPr>
      <w:r>
        <w:separator/>
      </w:r>
    </w:p>
  </w:endnote>
  <w:endnote w:type="continuationSeparator" w:id="0">
    <w:p w14:paraId="76839685" w14:textId="77777777" w:rsidR="001E2964" w:rsidRDefault="001E2964" w:rsidP="001E2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1D12" w14:textId="77777777" w:rsidR="00E64359" w:rsidRDefault="00E6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C4F6" w14:textId="77777777" w:rsidR="00E64359" w:rsidRDefault="00E64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804D" w14:textId="77777777" w:rsidR="00E64359" w:rsidRDefault="00E6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3D1E" w14:textId="77777777" w:rsidR="001E2964" w:rsidRDefault="001E2964" w:rsidP="001E2964">
      <w:pPr>
        <w:spacing w:line="240" w:lineRule="auto"/>
      </w:pPr>
      <w:r>
        <w:separator/>
      </w:r>
    </w:p>
  </w:footnote>
  <w:footnote w:type="continuationSeparator" w:id="0">
    <w:p w14:paraId="5703E24B" w14:textId="77777777" w:rsidR="001E2964" w:rsidRDefault="001E2964" w:rsidP="001E2964">
      <w:pPr>
        <w:spacing w:line="240" w:lineRule="auto"/>
      </w:pPr>
      <w:r>
        <w:continuationSeparator/>
      </w:r>
    </w:p>
  </w:footnote>
  <w:footnote w:id="1">
    <w:p w14:paraId="0D5D6C6C" w14:textId="77777777" w:rsidR="001E2964" w:rsidRPr="00FE5DC9" w:rsidRDefault="001E2964" w:rsidP="001E2964">
      <w:pPr>
        <w:pStyle w:val="FootnoteText"/>
        <w:rPr>
          <w:lang w:bidi="ar-EG"/>
        </w:rPr>
      </w:pPr>
      <w:r w:rsidRPr="00FE5DC9">
        <w:rPr>
          <w:rStyle w:val="FootnoteReference"/>
        </w:rPr>
        <w:footnoteRef/>
      </w:r>
      <w:r w:rsidRPr="00FE5DC9">
        <w:rPr>
          <w:rtl/>
        </w:rPr>
        <w:t xml:space="preserve"> </w:t>
      </w:r>
      <w:r>
        <w:rPr>
          <w:rtl/>
        </w:rPr>
        <w:tab/>
      </w:r>
      <w:r w:rsidRPr="00E64359">
        <w:rPr>
          <w:rFonts w:hint="cs"/>
          <w:spacing w:val="-2"/>
          <w:rtl/>
        </w:rPr>
        <w:t xml:space="preserve">أنشئ الفريق المتخصص </w:t>
      </w:r>
      <w:r w:rsidRPr="00E64359">
        <w:rPr>
          <w:spacing w:val="-2"/>
        </w:rPr>
        <w:t>7</w:t>
      </w:r>
      <w:r w:rsidRPr="00E64359">
        <w:rPr>
          <w:rFonts w:hint="cs"/>
          <w:spacing w:val="-2"/>
          <w:rtl/>
        </w:rPr>
        <w:t xml:space="preserve"> في المؤتمر العالمي لتنمية الاتصالات لعام </w:t>
      </w:r>
      <w:r w:rsidRPr="00E64359">
        <w:rPr>
          <w:spacing w:val="-2"/>
        </w:rPr>
        <w:t>1998</w:t>
      </w:r>
      <w:r w:rsidRPr="00E64359">
        <w:rPr>
          <w:rFonts w:hint="cs"/>
          <w:spacing w:val="-2"/>
          <w:rtl/>
        </w:rPr>
        <w:t>من أجل دراسة مختلف الآليات التي يمكن بها تعزيز تنمية تكنولوجيات</w:t>
      </w:r>
      <w:r w:rsidRPr="00FE5DC9">
        <w:rPr>
          <w:rFonts w:hint="cs"/>
          <w:spacing w:val="2"/>
          <w:rtl/>
        </w:rPr>
        <w:t xml:space="preserve"> الاتصالات الجديدة من أجل التطبيقات الريفية. وأنجز الفريق المتخصص </w:t>
      </w:r>
      <w:r w:rsidRPr="00FE5DC9">
        <w:rPr>
          <w:spacing w:val="2"/>
        </w:rPr>
        <w:t>7</w:t>
      </w:r>
      <w:r w:rsidRPr="00FE5DC9">
        <w:rPr>
          <w:rFonts w:hint="cs"/>
          <w:spacing w:val="2"/>
          <w:rtl/>
        </w:rPr>
        <w:t xml:space="preserve"> أعماله في نهاية </w:t>
      </w:r>
      <w:r w:rsidRPr="00FE5DC9">
        <w:rPr>
          <w:spacing w:val="2"/>
        </w:rPr>
        <w:t>2000</w:t>
      </w:r>
      <w:r w:rsidRPr="00FE5DC9">
        <w:rPr>
          <w:rFonts w:hint="cs"/>
          <w:spacing w:val="2"/>
          <w:rtl/>
        </w:rPr>
        <w:t>.</w:t>
      </w:r>
    </w:p>
  </w:footnote>
  <w:footnote w:id="2">
    <w:p w14:paraId="54151950" w14:textId="77777777" w:rsidR="001E2964" w:rsidRDefault="001E2964" w:rsidP="001E2964">
      <w:pPr>
        <w:pStyle w:val="FootnoteText"/>
        <w:rPr>
          <w:lang w:bidi="ar-EG"/>
        </w:rPr>
      </w:pPr>
      <w:r w:rsidRPr="00FE5DC9">
        <w:rPr>
          <w:rStyle w:val="FootnoteReference"/>
        </w:rPr>
        <w:footnoteRef/>
      </w:r>
      <w:r w:rsidRPr="00FE5DC9">
        <w:rPr>
          <w:rtl/>
        </w:rPr>
        <w:t xml:space="preserve"> </w:t>
      </w:r>
      <w:r>
        <w:rPr>
          <w:rtl/>
        </w:rPr>
        <w:tab/>
      </w:r>
      <w:r w:rsidRPr="00FE5DC9">
        <w:rPr>
          <w:rFonts w:hint="cs"/>
          <w:spacing w:val="-2"/>
          <w:rtl/>
        </w:rPr>
        <w:t xml:space="preserve">نُشر تقرير الفريق المتخصص </w:t>
      </w:r>
      <w:r w:rsidRPr="00FE5DC9">
        <w:rPr>
          <w:spacing w:val="-2"/>
        </w:rPr>
        <w:t>7</w:t>
      </w:r>
      <w:r w:rsidRPr="00FE5DC9">
        <w:rPr>
          <w:rFonts w:hint="cs"/>
          <w:spacing w:val="-2"/>
          <w:rtl/>
        </w:rPr>
        <w:t xml:space="preserve"> بعنوان التكنولوجيات الجديدة من أجل التطبيقات الريفية في فبراير </w:t>
      </w:r>
      <w:r w:rsidRPr="00FE5DC9">
        <w:rPr>
          <w:spacing w:val="-2"/>
        </w:rPr>
        <w:t>2001</w:t>
      </w:r>
      <w:r w:rsidRPr="00FE5DC9">
        <w:rPr>
          <w:rFonts w:hint="cs"/>
          <w:spacing w:val="-2"/>
          <w:rtl/>
        </w:rPr>
        <w:t xml:space="preserve">. انظر أيضاً </w:t>
      </w:r>
      <w:r w:rsidRPr="00BC5357">
        <w:rPr>
          <w:rStyle w:val="Hyperlink"/>
        </w:rPr>
        <w:t>http://www7.itu.int/itudfg7/</w:t>
      </w:r>
      <w:r w:rsidRPr="00FE5DC9">
        <w:rPr>
          <w:rFonts w:hint="cs"/>
          <w:spacing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16444050"/>
      <w:docPartObj>
        <w:docPartGallery w:val="Page Numbers (Top of Page)"/>
        <w:docPartUnique/>
      </w:docPartObj>
    </w:sdtPr>
    <w:sdtEndPr>
      <w:rPr>
        <w:noProof/>
      </w:rPr>
    </w:sdtEndPr>
    <w:sdtContent>
      <w:p w14:paraId="37E20DAF" w14:textId="77777777" w:rsidR="00E64359" w:rsidRPr="00713E5A" w:rsidRDefault="00E64359" w:rsidP="00E64359">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394</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r>
          <w:rPr>
            <w:sz w:val="16"/>
            <w:szCs w:val="16"/>
          </w:rPr>
          <w:t>ITU-D 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230540"/>
      <w:docPartObj>
        <w:docPartGallery w:val="Page Numbers (Top of Page)"/>
        <w:docPartUnique/>
      </w:docPartObj>
    </w:sdtPr>
    <w:sdtEndPr>
      <w:rPr>
        <w:noProof/>
      </w:rPr>
    </w:sdtEndPr>
    <w:sdtContent>
      <w:p w14:paraId="75EA4287" w14:textId="77777777" w:rsidR="001E2964" w:rsidRPr="00713E5A" w:rsidRDefault="001E2964"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t>ITU-D 17</w:t>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96835726"/>
      <w:docPartObj>
        <w:docPartGallery w:val="Page Numbers (Top of Page)"/>
        <w:docPartUnique/>
      </w:docPartObj>
    </w:sdtPr>
    <w:sdtEndPr>
      <w:rPr>
        <w:noProof/>
      </w:rPr>
    </w:sdtEndPr>
    <w:sdtContent>
      <w:p w14:paraId="145273C3" w14:textId="77777777" w:rsidR="00E64359" w:rsidRPr="00713E5A" w:rsidRDefault="00E64359" w:rsidP="00E6435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395</w:t>
        </w:r>
        <w:r w:rsidRPr="00713E5A">
          <w:rPr>
            <w:noProof/>
            <w:sz w:val="16"/>
            <w:szCs w:val="16"/>
          </w:rPr>
          <w:fldChar w:fldCharType="end"/>
        </w:r>
        <w:r>
          <w:rPr>
            <w:sz w:val="16"/>
            <w:szCs w:val="16"/>
          </w:rPr>
          <w:tab/>
          <w:t>ITU-D 17</w:t>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 xml:space="preserve">الجزء الرابع – التوصية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964"/>
    <w:rsid w:val="000C7E7E"/>
    <w:rsid w:val="0012086A"/>
    <w:rsid w:val="001C1912"/>
    <w:rsid w:val="001E2964"/>
    <w:rsid w:val="00312F86"/>
    <w:rsid w:val="00370784"/>
    <w:rsid w:val="00503CDC"/>
    <w:rsid w:val="0066087E"/>
    <w:rsid w:val="006E326C"/>
    <w:rsid w:val="007C6F7A"/>
    <w:rsid w:val="00844E50"/>
    <w:rsid w:val="00A641FA"/>
    <w:rsid w:val="00C01150"/>
    <w:rsid w:val="00CE6C6B"/>
    <w:rsid w:val="00D54A42"/>
    <w:rsid w:val="00E64359"/>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0768E"/>
  <w14:defaultImageDpi w14:val="32767"/>
  <w15:chartTrackingRefBased/>
  <w15:docId w15:val="{42227377-375A-4719-B82A-345F9626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59"/>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1E2964"/>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1E2964"/>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1E2964"/>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1E2964"/>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1E2964"/>
    <w:pPr>
      <w:keepNext/>
      <w:tabs>
        <w:tab w:val="left" w:pos="794"/>
      </w:tabs>
      <w:spacing w:before="360"/>
    </w:pPr>
    <w:rPr>
      <w:rFonts w:eastAsiaTheme="minorEastAsia"/>
      <w:lang w:val="en-US" w:eastAsia="zh-CN" w:bidi="ar-SY"/>
    </w:rPr>
  </w:style>
  <w:style w:type="paragraph" w:customStyle="1" w:styleId="RecNo">
    <w:name w:val="Rec_No"/>
    <w:basedOn w:val="Normal"/>
    <w:qFormat/>
    <w:rsid w:val="001E2964"/>
    <w:pPr>
      <w:keepNext/>
      <w:keepLines/>
      <w:tabs>
        <w:tab w:val="left" w:pos="794"/>
      </w:tab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1E2964"/>
    <w:pPr>
      <w:keepNext/>
      <w:keepLines/>
      <w:tabs>
        <w:tab w:val="left" w:pos="794"/>
      </w:tabs>
      <w:spacing w:after="360"/>
      <w:jc w:val="center"/>
    </w:pPr>
    <w:rPr>
      <w:rFonts w:eastAsiaTheme="minorEastAsia"/>
      <w:b/>
      <w:bCs/>
      <w:sz w:val="26"/>
      <w:szCs w:val="26"/>
      <w:lang w:val="en-US" w:eastAsia="zh-CN"/>
    </w:rPr>
  </w:style>
  <w:style w:type="paragraph" w:styleId="Header">
    <w:name w:val="header"/>
    <w:basedOn w:val="Normal"/>
    <w:link w:val="HeaderChar"/>
    <w:uiPriority w:val="99"/>
    <w:unhideWhenUsed/>
    <w:rsid w:val="001E2964"/>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1E2964"/>
    <w:rPr>
      <w:rFonts w:ascii="Dubai" w:eastAsiaTheme="minorEastAsia" w:hAnsi="Dubai" w:cs="Dubai"/>
      <w:lang w:val="en-US" w:eastAsia="zh-CN"/>
    </w:rPr>
  </w:style>
  <w:style w:type="character" w:styleId="Hyperlink">
    <w:name w:val="Hyperlink"/>
    <w:aliases w:val="CEO_Hyperlink,超级链接"/>
    <w:basedOn w:val="DefaultParagraphFont"/>
    <w:unhideWhenUsed/>
    <w:rsid w:val="001E2964"/>
    <w:rPr>
      <w:rFonts w:ascii="Dubai" w:hAnsi="Dubai" w:cs="Dubai"/>
      <w:color w:val="0000FF"/>
      <w:u w:val="single"/>
    </w:rPr>
  </w:style>
  <w:style w:type="paragraph" w:customStyle="1" w:styleId="Normalcenteraligned">
    <w:name w:val="Normal center aligned"/>
    <w:basedOn w:val="Normal"/>
    <w:rsid w:val="001E2964"/>
    <w:pPr>
      <w:tabs>
        <w:tab w:val="left" w:pos="794"/>
      </w:tabs>
      <w:spacing w:after="360"/>
      <w:jc w:val="center"/>
    </w:pPr>
    <w:rPr>
      <w:rFonts w:eastAsiaTheme="minorEastAsia"/>
      <w:lang w:val="en-US" w:eastAsia="zh-CN"/>
    </w:rPr>
  </w:style>
  <w:style w:type="paragraph" w:styleId="Footer">
    <w:name w:val="footer"/>
    <w:basedOn w:val="Normal"/>
    <w:link w:val="FooterChar"/>
    <w:uiPriority w:val="99"/>
    <w:unhideWhenUsed/>
    <w:rsid w:val="00E64359"/>
    <w:pPr>
      <w:tabs>
        <w:tab w:val="center" w:pos="4513"/>
        <w:tab w:val="right" w:pos="9026"/>
      </w:tabs>
      <w:spacing w:line="240" w:lineRule="auto"/>
    </w:pPr>
  </w:style>
  <w:style w:type="character" w:customStyle="1" w:styleId="FooterChar">
    <w:name w:val="Footer Char"/>
    <w:basedOn w:val="DefaultParagraphFont"/>
    <w:link w:val="Footer"/>
    <w:uiPriority w:val="99"/>
    <w:rsid w:val="00E6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2023-10-16T07:43:00Z</dcterms:created>
  <dcterms:modified xsi:type="dcterms:W3CDTF">2023-10-17T06:26:00Z</dcterms:modified>
</cp:coreProperties>
</file>