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75810077" w:rsidR="006E5CD0" w:rsidRPr="006E5CD0" w:rsidRDefault="00694B10" w:rsidP="002B1EF0">
      <w:pPr>
        <w:pStyle w:val="RecNo"/>
        <w:outlineLvl w:val="0"/>
        <w:rPr>
          <w:lang w:eastAsia="zh-CN"/>
        </w:rPr>
      </w:pPr>
      <w:bookmarkStart w:id="0" w:name="_Toc116895611"/>
      <w:bookmarkStart w:id="1" w:name="_Toc116911740"/>
      <w:r>
        <w:rPr>
          <w:rFonts w:hint="eastAsia"/>
          <w:lang w:eastAsia="zh-CN"/>
        </w:rPr>
        <w:t>I</w:t>
      </w:r>
      <w:r>
        <w:rPr>
          <w:lang w:eastAsia="zh-CN"/>
        </w:rPr>
        <w:t>TU-D</w:t>
      </w:r>
      <w:r w:rsidR="00BC603B" w:rsidRPr="00A677DE">
        <w:rPr>
          <w:lang w:eastAsia="zh-CN"/>
        </w:rPr>
        <w:t>第</w:t>
      </w:r>
      <w:r w:rsidR="00AD1D0D">
        <w:rPr>
          <w:rStyle w:val="href"/>
          <w:lang w:val="ru-RU" w:eastAsia="zh-CN"/>
        </w:rPr>
        <w:t>16</w:t>
      </w:r>
      <w:r w:rsidR="00BC603B" w:rsidRPr="00A677DE">
        <w:rPr>
          <w:lang w:eastAsia="zh-CN"/>
        </w:rPr>
        <w:t>号</w:t>
      </w:r>
      <w:r>
        <w:rPr>
          <w:rFonts w:hint="eastAsia"/>
          <w:lang w:eastAsia="zh-CN"/>
        </w:rPr>
        <w:t>建议</w:t>
      </w:r>
      <w:bookmarkEnd w:id="0"/>
      <w:bookmarkEnd w:id="1"/>
    </w:p>
    <w:p w14:paraId="762F1A04" w14:textId="3FA33BFA" w:rsidR="006E5CD0" w:rsidRPr="006E5CD0" w:rsidRDefault="00AD1D0D" w:rsidP="002B1EF0">
      <w:pPr>
        <w:pStyle w:val="Rectitle"/>
        <w:outlineLvl w:val="0"/>
        <w:rPr>
          <w:lang w:val="ru-RU" w:eastAsia="zh-CN"/>
        </w:rPr>
      </w:pPr>
      <w:proofErr w:type="gramStart"/>
      <w:r w:rsidRPr="00AD1D0D">
        <w:rPr>
          <w:rFonts w:hint="eastAsia"/>
          <w:lang w:eastAsia="zh-CN"/>
        </w:rPr>
        <w:t>资费再</w:t>
      </w:r>
      <w:proofErr w:type="gramEnd"/>
      <w:r w:rsidRPr="00AD1D0D">
        <w:rPr>
          <w:rFonts w:hint="eastAsia"/>
          <w:lang w:eastAsia="zh-CN"/>
        </w:rPr>
        <w:t>平衡和以成本为导向的资费</w:t>
      </w:r>
    </w:p>
    <w:p w14:paraId="64FB6883" w14:textId="77777777" w:rsidR="00694B10" w:rsidRPr="00A677DE" w:rsidRDefault="00694B10" w:rsidP="00694B10">
      <w:pPr>
        <w:pStyle w:val="Normalcenteraligned"/>
        <w:spacing w:before="40"/>
        <w:jc w:val="center"/>
      </w:pPr>
      <w:r w:rsidRPr="00A677DE">
        <w:t>（</w:t>
      </w:r>
      <w:r w:rsidRPr="00A677DE">
        <w:t>2002</w:t>
      </w:r>
      <w:r w:rsidRPr="00A677DE">
        <w:t>年</w:t>
      </w:r>
      <w:r w:rsidRPr="00A677DE">
        <w:t>1</w:t>
      </w:r>
      <w:r w:rsidRPr="00A677DE">
        <w:t>月）</w:t>
      </w:r>
    </w:p>
    <w:p w14:paraId="72B07255" w14:textId="519802CF" w:rsidR="00694B10" w:rsidRDefault="00694B10" w:rsidP="00694B10">
      <w:pPr>
        <w:pStyle w:val="Normalnoindent"/>
        <w:spacing w:before="240"/>
      </w:pPr>
      <w:r w:rsidRPr="00A677DE">
        <w:rPr>
          <w:rFonts w:ascii="SimSun" w:hAnsi="SimSun" w:cs="MS Gothic" w:hint="eastAsia"/>
        </w:rPr>
        <w:t>第</w:t>
      </w:r>
      <w:r w:rsidRPr="00A677DE">
        <w:t>12/1</w:t>
      </w:r>
      <w:r w:rsidRPr="00A677DE">
        <w:rPr>
          <w:rFonts w:ascii="SimSun" w:hAnsi="SimSun" w:cs="MS Gothic" w:hint="eastAsia"/>
        </w:rPr>
        <w:t>号</w:t>
      </w:r>
      <w:r w:rsidRPr="00A677DE">
        <w:rPr>
          <w:rFonts w:ascii="SimSun" w:hAnsi="SimSun" w:cs="Microsoft JhengHei" w:hint="eastAsia"/>
        </w:rPr>
        <w:t>课题</w:t>
      </w:r>
      <w:r w:rsidRPr="00694B10">
        <w:rPr>
          <w:rFonts w:ascii="SimSun" w:hAnsi="SimSun" w:cs="Microsoft JhengHei" w:hint="eastAsia"/>
        </w:rPr>
        <w:t>：</w:t>
      </w:r>
      <w:r w:rsidR="00EB1C37" w:rsidRPr="00EB1C37">
        <w:rPr>
          <w:rFonts w:ascii="STKaiti" w:eastAsia="STKaiti" w:hAnsi="STKaiti" w:hint="eastAsia"/>
          <w:kern w:val="2"/>
        </w:rPr>
        <w:t>确定国家电信服务成本的资费政策、资费模式和方法</w:t>
      </w:r>
    </w:p>
    <w:p w14:paraId="777CC5C3" w14:textId="11DEE6F9" w:rsidR="003D04C8" w:rsidRPr="00A677DE" w:rsidRDefault="00694B10" w:rsidP="003D04C8">
      <w:pPr>
        <w:pStyle w:val="Normalnoindent"/>
      </w:pPr>
      <w:r w:rsidRPr="00694B10">
        <w:rPr>
          <w:rFonts w:hint="eastAsia"/>
        </w:rPr>
        <w:t>国际电</w:t>
      </w:r>
      <w:proofErr w:type="gramStart"/>
      <w:r w:rsidRPr="00694B10">
        <w:rPr>
          <w:rFonts w:hint="eastAsia"/>
        </w:rPr>
        <w:t>联电信</w:t>
      </w:r>
      <w:proofErr w:type="gramEnd"/>
      <w:r w:rsidRPr="00694B10">
        <w:rPr>
          <w:rFonts w:hint="eastAsia"/>
        </w:rPr>
        <w:t>发展局（</w:t>
      </w:r>
      <w:r w:rsidRPr="00694B10">
        <w:rPr>
          <w:rFonts w:hint="eastAsia"/>
        </w:rPr>
        <w:t>ITU-D</w:t>
      </w:r>
      <w:r w:rsidRPr="00694B10">
        <w:rPr>
          <w:rFonts w:hint="eastAsia"/>
        </w:rPr>
        <w:t>），</w:t>
      </w:r>
    </w:p>
    <w:p w14:paraId="544E28B8" w14:textId="77777777" w:rsidR="000410FB" w:rsidRPr="00A677DE" w:rsidRDefault="000410FB" w:rsidP="000410FB">
      <w:pPr>
        <w:pStyle w:val="Call"/>
        <w:rPr>
          <w:rFonts w:cstheme="minorHAnsi"/>
          <w:lang w:eastAsia="zh-CN"/>
        </w:rPr>
      </w:pPr>
      <w:r w:rsidRPr="00A677DE">
        <w:rPr>
          <w:rFonts w:cstheme="minorHAnsi" w:hint="eastAsia"/>
          <w:lang w:eastAsia="zh-CN"/>
        </w:rPr>
        <w:t>认识到</w:t>
      </w:r>
    </w:p>
    <w:p w14:paraId="557CF8BA" w14:textId="77777777" w:rsidR="000410FB" w:rsidRPr="00A677DE" w:rsidRDefault="000410FB" w:rsidP="000410FB">
      <w:pPr>
        <w:pStyle w:val="Normalnoindent"/>
        <w:rPr>
          <w:rFonts w:ascii="SimSun" w:hAnsi="SimSun"/>
        </w:rPr>
      </w:pPr>
      <w:r w:rsidRPr="00A677DE">
        <w:rPr>
          <w:i/>
          <w:iCs/>
        </w:rPr>
        <w:t>a)</w:t>
      </w:r>
      <w:r w:rsidRPr="00A677DE">
        <w:tab/>
      </w:r>
      <w:r w:rsidRPr="00A677DE">
        <w:rPr>
          <w:rFonts w:ascii="SimSun" w:hAnsi="SimSun" w:cs="MS Gothic" w:hint="eastAsia"/>
        </w:rPr>
        <w:t>在</w:t>
      </w:r>
      <w:r w:rsidRPr="00A677DE">
        <w:rPr>
          <w:rFonts w:ascii="SimSun" w:hAnsi="SimSun" w:cs="Microsoft JhengHei" w:hint="eastAsia"/>
        </w:rPr>
        <w:t>创建电信运营商所需的内部生成资金过程中，电信资费的水平和结构发挥重要作用，</w:t>
      </w:r>
      <w:proofErr w:type="gramStart"/>
      <w:r w:rsidRPr="00A677DE">
        <w:rPr>
          <w:rFonts w:ascii="SimSun" w:hAnsi="SimSun" w:cs="Microsoft JhengHei" w:hint="eastAsia"/>
        </w:rPr>
        <w:t>此类资金在大部分情况下用于资助电信实体的发展项目并亦用于满足他们的经常</w:t>
      </w:r>
      <w:r w:rsidRPr="00A677DE">
        <w:rPr>
          <w:rFonts w:ascii="SimSun" w:hAnsi="SimSun" w:cs="MS Gothic" w:hint="eastAsia"/>
        </w:rPr>
        <w:t>性支出需求；</w:t>
      </w:r>
      <w:proofErr w:type="gramEnd"/>
    </w:p>
    <w:p w14:paraId="365EE843" w14:textId="77777777" w:rsidR="000410FB" w:rsidRPr="00A677DE" w:rsidRDefault="000410FB" w:rsidP="000410FB">
      <w:pPr>
        <w:pStyle w:val="Normalnoindent"/>
        <w:rPr>
          <w:rFonts w:cstheme="minorHAnsi"/>
        </w:rPr>
      </w:pPr>
      <w:r w:rsidRPr="00A677DE">
        <w:rPr>
          <w:rFonts w:cstheme="minorHAnsi"/>
          <w:i/>
          <w:iCs/>
        </w:rPr>
        <w:t>b)</w:t>
      </w:r>
      <w:r w:rsidRPr="00A677DE">
        <w:rPr>
          <w:rFonts w:cstheme="minorHAnsi"/>
        </w:rPr>
        <w:tab/>
      </w:r>
      <w:r w:rsidRPr="00A677DE">
        <w:rPr>
          <w:rFonts w:cstheme="minorHAnsi" w:hint="eastAsia"/>
        </w:rPr>
        <w:t>平衡且有吸引力的电信资费结构的建立可推动网络和服务的有效使用，加强普遍服务的提供并对其他经济行业的发展产生积极影响，</w:t>
      </w:r>
    </w:p>
    <w:p w14:paraId="7201335F" w14:textId="77777777" w:rsidR="000410FB" w:rsidRPr="00A677DE" w:rsidRDefault="000410FB" w:rsidP="000410FB">
      <w:pPr>
        <w:pStyle w:val="Call"/>
        <w:rPr>
          <w:i/>
          <w:lang w:eastAsia="zh-CN"/>
        </w:rPr>
      </w:pPr>
      <w:r w:rsidRPr="00A677DE">
        <w:rPr>
          <w:rFonts w:hint="eastAsia"/>
          <w:lang w:eastAsia="zh-CN"/>
        </w:rPr>
        <w:t>注意到</w:t>
      </w:r>
    </w:p>
    <w:p w14:paraId="331CA5F8" w14:textId="77777777" w:rsidR="000410FB" w:rsidRPr="00A677DE" w:rsidRDefault="000410FB" w:rsidP="000410FB">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许多发展中国家在制定以成本为导向的资费方面缺乏足够的经验和技能，难以从电信资费政策、</w:t>
      </w:r>
      <w:proofErr w:type="gramStart"/>
      <w:r w:rsidRPr="00A677DE">
        <w:rPr>
          <w:rFonts w:cstheme="minorHAnsi" w:hint="eastAsia"/>
        </w:rPr>
        <w:t>战略和做法中充分受益；</w:t>
      </w:r>
      <w:proofErr w:type="gramEnd"/>
    </w:p>
    <w:p w14:paraId="6D17E8A4" w14:textId="77777777" w:rsidR="000410FB" w:rsidRPr="00A677DE" w:rsidRDefault="000410FB" w:rsidP="000410FB">
      <w:pPr>
        <w:pStyle w:val="Normalnoindent"/>
        <w:rPr>
          <w:rFonts w:cstheme="minorHAnsi"/>
        </w:rPr>
      </w:pPr>
      <w:r w:rsidRPr="00A677DE">
        <w:rPr>
          <w:rFonts w:cstheme="minorHAnsi"/>
          <w:i/>
          <w:iCs/>
        </w:rPr>
        <w:t>b)</w:t>
      </w:r>
      <w:r w:rsidRPr="00A677DE">
        <w:rPr>
          <w:rFonts w:cstheme="minorHAnsi"/>
        </w:rPr>
        <w:tab/>
      </w:r>
      <w:r w:rsidRPr="00A677DE">
        <w:rPr>
          <w:rFonts w:cstheme="minorHAnsi" w:hint="eastAsia"/>
        </w:rPr>
        <w:t>这些国家需要帮助，以便在落实以成本为导向的资费结构和水平背景下掌握确定和计算费用的工具，</w:t>
      </w:r>
    </w:p>
    <w:p w14:paraId="4944DBB5" w14:textId="77777777" w:rsidR="000410FB" w:rsidRPr="00A677DE" w:rsidRDefault="000410FB" w:rsidP="000410FB">
      <w:pPr>
        <w:pStyle w:val="Call"/>
        <w:rPr>
          <w:i/>
          <w:lang w:eastAsia="zh-CN"/>
        </w:rPr>
      </w:pPr>
      <w:r w:rsidRPr="00A677DE">
        <w:rPr>
          <w:rFonts w:hint="eastAsia"/>
          <w:lang w:eastAsia="zh-CN"/>
        </w:rPr>
        <w:t>做出建议</w:t>
      </w:r>
    </w:p>
    <w:p w14:paraId="71AD799B" w14:textId="77777777" w:rsidR="000410FB" w:rsidRPr="00A677DE" w:rsidRDefault="000410FB" w:rsidP="000410FB">
      <w:pPr>
        <w:pStyle w:val="Normalnoindent"/>
        <w:rPr>
          <w:rFonts w:cstheme="minorHAnsi"/>
        </w:rPr>
      </w:pPr>
      <w:r w:rsidRPr="00A677DE">
        <w:rPr>
          <w:rFonts w:cstheme="minorHAnsi"/>
        </w:rPr>
        <w:t>1</w:t>
      </w:r>
      <w:r w:rsidRPr="00A677DE">
        <w:rPr>
          <w:rFonts w:cstheme="minorHAnsi"/>
          <w:b/>
          <w:bCs/>
        </w:rPr>
        <w:tab/>
      </w:r>
      <w:r w:rsidRPr="00A677DE">
        <w:rPr>
          <w:rFonts w:cstheme="minorHAnsi" w:hint="eastAsia"/>
        </w:rPr>
        <w:t>公有管理机构和主管部门在建立其法律和监管框架的过程中，必要时应顾及高通膨影响，</w:t>
      </w:r>
    </w:p>
    <w:p w14:paraId="271F1AC2" w14:textId="77777777" w:rsidR="000410FB" w:rsidRPr="00A677DE" w:rsidRDefault="000410FB" w:rsidP="000410FB">
      <w:pPr>
        <w:pStyle w:val="Normalnoindent"/>
        <w:rPr>
          <w:rFonts w:cstheme="minorHAnsi"/>
        </w:rPr>
      </w:pPr>
      <w:r w:rsidRPr="00A677DE">
        <w:rPr>
          <w:rFonts w:cstheme="minorHAnsi"/>
        </w:rPr>
        <w:t>2</w:t>
      </w:r>
      <w:r w:rsidRPr="00A677DE">
        <w:rPr>
          <w:rFonts w:cstheme="minorHAnsi"/>
        </w:rPr>
        <w:tab/>
      </w:r>
      <w:r w:rsidRPr="00A677DE">
        <w:rPr>
          <w:rFonts w:cstheme="minorHAnsi" w:hint="eastAsia"/>
        </w:rPr>
        <w:t>公有管理机构：</w:t>
      </w:r>
    </w:p>
    <w:p w14:paraId="6F524A3B" w14:textId="77777777" w:rsidR="000410FB" w:rsidRPr="00A677DE" w:rsidRDefault="000410FB" w:rsidP="000410FB">
      <w:pPr>
        <w:pStyle w:val="enumlev1"/>
        <w:rPr>
          <w:lang w:eastAsia="zh-CN"/>
        </w:rPr>
      </w:pPr>
      <w:r w:rsidRPr="00A677DE">
        <w:rPr>
          <w:lang w:eastAsia="zh-CN"/>
        </w:rPr>
        <w:t>a)</w:t>
      </w:r>
      <w:r w:rsidRPr="00A677DE">
        <w:rPr>
          <w:lang w:eastAsia="zh-CN"/>
        </w:rPr>
        <w:tab/>
      </w:r>
      <w:proofErr w:type="gramStart"/>
      <w:r w:rsidRPr="00A677DE">
        <w:rPr>
          <w:rFonts w:hint="eastAsia"/>
          <w:lang w:eastAsia="zh-CN"/>
        </w:rPr>
        <w:t>应逐渐再平衡资费以便向以成本为导向的资费过渡；</w:t>
      </w:r>
      <w:proofErr w:type="gramEnd"/>
    </w:p>
    <w:p w14:paraId="42F6BDC2" w14:textId="77777777" w:rsidR="000410FB" w:rsidRPr="00A677DE" w:rsidRDefault="000410FB" w:rsidP="000410FB">
      <w:r w:rsidRPr="00A677DE">
        <w:br w:type="page"/>
      </w:r>
    </w:p>
    <w:p w14:paraId="0EDA8CED" w14:textId="77777777" w:rsidR="000410FB" w:rsidRPr="00A677DE" w:rsidRDefault="000410FB" w:rsidP="000410FB">
      <w:pPr>
        <w:pStyle w:val="enumlev1"/>
        <w:rPr>
          <w:lang w:eastAsia="zh-CN"/>
        </w:rPr>
      </w:pPr>
      <w:r w:rsidRPr="00A677DE">
        <w:rPr>
          <w:lang w:eastAsia="zh-CN"/>
        </w:rPr>
        <w:lastRenderedPageBreak/>
        <w:t>b)</w:t>
      </w:r>
      <w:r w:rsidRPr="00A677DE">
        <w:rPr>
          <w:lang w:eastAsia="zh-CN"/>
        </w:rPr>
        <w:tab/>
      </w:r>
      <w:r w:rsidRPr="00A677DE">
        <w:rPr>
          <w:rFonts w:hint="eastAsia"/>
          <w:lang w:eastAsia="zh-CN"/>
        </w:rPr>
        <w:t>采取有时间限制的保障手段，以确保某些服务和</w:t>
      </w:r>
      <w:r w:rsidRPr="00A677DE">
        <w:rPr>
          <w:lang w:eastAsia="zh-CN"/>
        </w:rPr>
        <w:t>/</w:t>
      </w:r>
      <w:r w:rsidRPr="00A677DE">
        <w:rPr>
          <w:rFonts w:hint="eastAsia"/>
          <w:lang w:eastAsia="zh-CN"/>
        </w:rPr>
        <w:t>和某些领域因资费降低而造成的收入损失不由其他服务和</w:t>
      </w:r>
      <w:r w:rsidRPr="00A677DE">
        <w:rPr>
          <w:lang w:eastAsia="zh-CN"/>
        </w:rPr>
        <w:t>/</w:t>
      </w:r>
      <w:r w:rsidRPr="00A677DE">
        <w:rPr>
          <w:rFonts w:hint="eastAsia"/>
          <w:lang w:eastAsia="zh-CN"/>
        </w:rPr>
        <w:t>和其他领域的价格增长来抵消（外部，农村，等等</w:t>
      </w:r>
      <w:proofErr w:type="gramStart"/>
      <w:r w:rsidRPr="00A677DE">
        <w:rPr>
          <w:rFonts w:hint="eastAsia"/>
          <w:lang w:eastAsia="zh-CN"/>
        </w:rPr>
        <w:t>）；</w:t>
      </w:r>
      <w:proofErr w:type="gramEnd"/>
    </w:p>
    <w:p w14:paraId="715D2494" w14:textId="77777777" w:rsidR="000410FB" w:rsidRPr="00A677DE" w:rsidRDefault="000410FB" w:rsidP="000410FB">
      <w:pPr>
        <w:pStyle w:val="enumlev1"/>
        <w:rPr>
          <w:lang w:eastAsia="zh-CN"/>
        </w:rPr>
      </w:pPr>
      <w:r w:rsidRPr="00A677DE">
        <w:rPr>
          <w:lang w:eastAsia="zh-CN"/>
        </w:rPr>
        <w:t>c)</w:t>
      </w:r>
      <w:r w:rsidRPr="00A677DE">
        <w:rPr>
          <w:lang w:eastAsia="zh-CN"/>
        </w:rPr>
        <w:tab/>
      </w:r>
      <w:r w:rsidRPr="00A677DE">
        <w:rPr>
          <w:rFonts w:hint="eastAsia"/>
          <w:lang w:eastAsia="zh-CN"/>
        </w:rPr>
        <w:t>向资费再平衡过渡并判断这对电信服务价格可承受性的影响，这须与监管机构和政策制定机构可能采取的适当措施联系起来，</w:t>
      </w:r>
    </w:p>
    <w:p w14:paraId="1D5142B8" w14:textId="77777777" w:rsidR="000410FB" w:rsidRPr="00A677DE" w:rsidRDefault="000410FB" w:rsidP="000410FB">
      <w:pPr>
        <w:pStyle w:val="Normalnoindent"/>
      </w:pPr>
      <w:r w:rsidRPr="00A677DE">
        <w:t>3</w:t>
      </w:r>
      <w:r w:rsidRPr="00A677DE">
        <w:tab/>
      </w:r>
      <w:r w:rsidRPr="00A677DE">
        <w:rPr>
          <w:rFonts w:hint="eastAsia"/>
        </w:rPr>
        <w:t>公有管理机构应确保：</w:t>
      </w:r>
    </w:p>
    <w:p w14:paraId="5179578C" w14:textId="77777777" w:rsidR="000410FB" w:rsidRPr="00A677DE" w:rsidRDefault="000410FB" w:rsidP="000410FB">
      <w:pPr>
        <w:pStyle w:val="enumlev1"/>
        <w:rPr>
          <w:lang w:eastAsia="zh-CN"/>
        </w:rPr>
      </w:pPr>
      <w:r w:rsidRPr="00A677DE">
        <w:rPr>
          <w:lang w:eastAsia="zh-CN"/>
        </w:rPr>
        <w:t>a)</w:t>
      </w:r>
      <w:r w:rsidRPr="00A677DE">
        <w:rPr>
          <w:lang w:eastAsia="zh-CN"/>
        </w:rPr>
        <w:tab/>
      </w:r>
      <w:r w:rsidRPr="00A677DE">
        <w:rPr>
          <w:rFonts w:hint="eastAsia"/>
          <w:lang w:eastAsia="zh-CN"/>
        </w:rPr>
        <w:t>固定公众电话网络的接入和使用资费不受运营商和用户所使用的应用类型影响，</w:t>
      </w:r>
      <w:proofErr w:type="gramStart"/>
      <w:r w:rsidRPr="00A677DE">
        <w:rPr>
          <w:rFonts w:hint="eastAsia"/>
          <w:lang w:eastAsia="zh-CN"/>
        </w:rPr>
        <w:t>除非运营商和用户要求不同的服务或设施；</w:t>
      </w:r>
      <w:proofErr w:type="gramEnd"/>
    </w:p>
    <w:p w14:paraId="3720735F" w14:textId="77777777" w:rsidR="000410FB" w:rsidRPr="00A677DE" w:rsidRDefault="000410FB" w:rsidP="000410FB">
      <w:pPr>
        <w:pStyle w:val="enumlev1"/>
        <w:rPr>
          <w:lang w:eastAsia="zh-CN"/>
        </w:rPr>
      </w:pPr>
      <w:r w:rsidRPr="00A677DE">
        <w:rPr>
          <w:lang w:eastAsia="zh-CN"/>
        </w:rPr>
        <w:t>b)</w:t>
      </w:r>
      <w:r w:rsidRPr="00A677DE">
        <w:rPr>
          <w:lang w:eastAsia="zh-CN"/>
        </w:rPr>
        <w:tab/>
      </w:r>
      <w:r w:rsidRPr="00A677DE">
        <w:rPr>
          <w:rFonts w:hint="eastAsia"/>
          <w:lang w:eastAsia="zh-CN"/>
        </w:rPr>
        <w:t>提供固定公众电话网络连接和固定公众电话服务以外设施的资费已经放松捆绑，</w:t>
      </w:r>
      <w:proofErr w:type="gramStart"/>
      <w:r w:rsidRPr="00A677DE">
        <w:rPr>
          <w:rFonts w:hint="eastAsia"/>
          <w:lang w:eastAsia="zh-CN"/>
        </w:rPr>
        <w:t>所以用户无需为所要求的服务不必使用的设备付费；</w:t>
      </w:r>
      <w:proofErr w:type="gramEnd"/>
    </w:p>
    <w:p w14:paraId="72F6D15C" w14:textId="77777777" w:rsidR="000410FB" w:rsidRPr="00A677DE" w:rsidRDefault="000410FB" w:rsidP="000410FB">
      <w:pPr>
        <w:pStyle w:val="enumlev1"/>
        <w:rPr>
          <w:lang w:eastAsia="zh-CN"/>
        </w:rPr>
      </w:pPr>
      <w:r w:rsidRPr="00A677DE">
        <w:rPr>
          <w:lang w:eastAsia="zh-CN"/>
        </w:rPr>
        <w:t>c)</w:t>
      </w:r>
      <w:r w:rsidRPr="00A677DE">
        <w:rPr>
          <w:lang w:eastAsia="zh-CN"/>
        </w:rPr>
        <w:tab/>
      </w:r>
      <w:r w:rsidRPr="00A677DE">
        <w:rPr>
          <w:rFonts w:hint="eastAsia"/>
          <w:lang w:eastAsia="zh-CN"/>
        </w:rPr>
        <w:t>在存在不同资费的情况下，尤其是需顾及高峰期的高负荷话务量和话务量不多时的低负荷话务量的情况下，存在差异从商业角度看是正当的。</w:t>
      </w:r>
    </w:p>
    <w:p w14:paraId="01CAAC10" w14:textId="77777777" w:rsidR="000410FB" w:rsidRPr="00A677DE" w:rsidRDefault="000410FB" w:rsidP="000410FB">
      <w:pPr>
        <w:pStyle w:val="Normalnoindent"/>
        <w:rPr>
          <w:rFonts w:cstheme="minorHAnsi"/>
        </w:rPr>
      </w:pPr>
      <w:r w:rsidRPr="00A677DE">
        <w:rPr>
          <w:rFonts w:cstheme="minorHAnsi"/>
        </w:rPr>
        <w:t>4</w:t>
      </w:r>
      <w:r w:rsidRPr="00A677DE">
        <w:rPr>
          <w:rFonts w:cstheme="minorHAnsi"/>
        </w:rPr>
        <w:tab/>
        <w:t>ITU-D</w:t>
      </w:r>
      <w:r w:rsidRPr="00A677DE">
        <w:rPr>
          <w:rFonts w:cstheme="minorHAnsi" w:hint="eastAsia"/>
        </w:rPr>
        <w:t>，尤其是电信发展局主任，应根据</w:t>
      </w:r>
      <w:r w:rsidRPr="00A677DE">
        <w:rPr>
          <w:rFonts w:cstheme="minorHAnsi"/>
        </w:rPr>
        <w:t>WTDC</w:t>
      </w:r>
      <w:r w:rsidRPr="00A677DE">
        <w:rPr>
          <w:rFonts w:cstheme="minorHAnsi"/>
        </w:rPr>
        <w:noBreakHyphen/>
        <w:t>98</w:t>
      </w:r>
      <w:r w:rsidRPr="00A677DE">
        <w:rPr>
          <w:rFonts w:cstheme="minorHAnsi" w:hint="eastAsia"/>
        </w:rPr>
        <w:t>第</w:t>
      </w:r>
      <w:r w:rsidRPr="00A677DE">
        <w:rPr>
          <w:rFonts w:cstheme="minorHAnsi"/>
        </w:rPr>
        <w:t>12</w:t>
      </w:r>
      <w:r w:rsidRPr="00A677DE">
        <w:rPr>
          <w:rFonts w:cstheme="minorHAnsi" w:hint="eastAsia"/>
        </w:rPr>
        <w:t>号决议，就落实以成本为导向的资费结构向各主管部门提供支持，特别是通过开展案例研究、进行年度问卷调查和更新数据库的方式进行。</w:t>
      </w:r>
    </w:p>
    <w:p w14:paraId="57379C2E" w14:textId="77777777" w:rsidR="000410FB" w:rsidRPr="00A677DE" w:rsidRDefault="000410FB" w:rsidP="000410FB"/>
    <w:p w14:paraId="28D06450" w14:textId="77777777" w:rsidR="00AD1D0D" w:rsidRDefault="00AD1D0D" w:rsidP="00AD1D0D"/>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9757" w14:textId="77777777" w:rsidR="002A57FC" w:rsidRDefault="002A57FC" w:rsidP="00BC603B">
      <w:pPr>
        <w:spacing w:after="0" w:line="240" w:lineRule="auto"/>
      </w:pPr>
      <w:r>
        <w:separator/>
      </w:r>
    </w:p>
  </w:endnote>
  <w:endnote w:type="continuationSeparator" w:id="0">
    <w:p w14:paraId="6B193064" w14:textId="77777777" w:rsidR="002A57FC" w:rsidRDefault="002A57FC"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3970" w14:textId="77777777" w:rsidR="002A57FC" w:rsidRDefault="002A57FC" w:rsidP="00BC603B">
      <w:pPr>
        <w:spacing w:after="0" w:line="240" w:lineRule="auto"/>
      </w:pPr>
      <w:r>
        <w:separator/>
      </w:r>
    </w:p>
  </w:footnote>
  <w:footnote w:type="continuationSeparator" w:id="0">
    <w:p w14:paraId="16DA71C0" w14:textId="77777777" w:rsidR="002A57FC" w:rsidRDefault="002A57FC"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6A257E10" w:rsidR="001D3055" w:rsidRDefault="004D23C8"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4D23C8">
          <w:rPr>
            <w:rFonts w:cstheme="minorHAnsi"/>
            <w:noProof/>
            <w:lang w:val="en-US" w:eastAsia="zh-CN"/>
          </w:rPr>
          <w:t>16</w:t>
        </w:r>
        <w:r w:rsidRPr="008C424D">
          <w:rPr>
            <w:rFonts w:cstheme="minorHAnsi"/>
            <w:lang w:eastAsia="zh-CN"/>
          </w:rPr>
          <w:fldChar w:fldCharType="end"/>
        </w:r>
        <w:r>
          <w:rPr>
            <w:rFonts w:cstheme="minorHAnsi" w:hint="eastAsia"/>
            <w:lang w:eastAsia="zh-CN"/>
          </w:rPr>
          <w:t>号</w:t>
        </w:r>
        <w:r w:rsidR="000410FB">
          <w:rPr>
            <w:rFonts w:cstheme="minorHAnsi" w:hint="eastAsia"/>
            <w:lang w:eastAsia="zh-CN"/>
          </w:rPr>
          <w:t>建议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02B3EE70" w:rsidR="001D3055" w:rsidRDefault="004D23C8"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4D23C8">
          <w:rPr>
            <w:rFonts w:cstheme="minorHAnsi"/>
            <w:noProof/>
            <w:lang w:val="en-US" w:eastAsia="zh-CN"/>
          </w:rPr>
          <w:t>16</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293806D6" w:rsidR="001D3055" w:rsidRDefault="004D23C8"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AD1D0D">
          <w:rPr>
            <w:rFonts w:cstheme="minorHAnsi"/>
            <w:noProof/>
            <w:lang w:eastAsia="zh-CN"/>
          </w:rPr>
          <w:fldChar w:fldCharType="begin"/>
        </w:r>
        <w:r w:rsidRPr="00AD1D0D">
          <w:rPr>
            <w:rFonts w:cstheme="minorHAnsi"/>
            <w:noProof/>
            <w:lang w:eastAsia="zh-CN"/>
          </w:rPr>
          <w:instrText xml:space="preserve"> STYLEREF  href  \* MERGEFORMAT </w:instrText>
        </w:r>
        <w:r w:rsidRPr="00AD1D0D">
          <w:rPr>
            <w:rFonts w:cstheme="minorHAnsi"/>
            <w:noProof/>
            <w:lang w:eastAsia="zh-CN"/>
          </w:rPr>
          <w:fldChar w:fldCharType="separate"/>
        </w:r>
        <w:r w:rsidRPr="004D23C8">
          <w:rPr>
            <w:rFonts w:cstheme="minorHAnsi"/>
            <w:noProof/>
            <w:lang w:val="en-US" w:eastAsia="zh-CN"/>
          </w:rPr>
          <w:t>16</w:t>
        </w:r>
        <w:r w:rsidRPr="00AD1D0D">
          <w:rPr>
            <w:rFonts w:cstheme="minorHAnsi"/>
            <w:noProof/>
            <w:lang w:eastAsia="zh-CN"/>
          </w:rPr>
          <w:fldChar w:fldCharType="end"/>
        </w:r>
        <w:r>
          <w:rPr>
            <w:rFonts w:cstheme="minorHAnsi" w:hint="eastAsia"/>
            <w:noProof/>
            <w:lang w:eastAsia="zh-CN"/>
          </w:rPr>
          <w:t>号</w:t>
        </w:r>
        <w:r w:rsidR="00694B10">
          <w:rPr>
            <w:rFonts w:cstheme="minorHAnsi" w:hint="eastAsia"/>
            <w:noProof/>
            <w:lang w:eastAsia="zh-CN"/>
          </w:rPr>
          <w:t>建议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410FB"/>
    <w:rsid w:val="000A6BD3"/>
    <w:rsid w:val="001A0DBE"/>
    <w:rsid w:val="001D3055"/>
    <w:rsid w:val="002867C1"/>
    <w:rsid w:val="002A57FC"/>
    <w:rsid w:val="002B1EF0"/>
    <w:rsid w:val="003324A7"/>
    <w:rsid w:val="003D04C8"/>
    <w:rsid w:val="004D23C8"/>
    <w:rsid w:val="00564FB6"/>
    <w:rsid w:val="00677A04"/>
    <w:rsid w:val="00694B10"/>
    <w:rsid w:val="006E5CD0"/>
    <w:rsid w:val="007577EE"/>
    <w:rsid w:val="008778F6"/>
    <w:rsid w:val="008C424D"/>
    <w:rsid w:val="009D588E"/>
    <w:rsid w:val="00AD1D0D"/>
    <w:rsid w:val="00BC603B"/>
    <w:rsid w:val="00CD79EF"/>
    <w:rsid w:val="00CE6E63"/>
    <w:rsid w:val="00D21081"/>
    <w:rsid w:val="00DF6B6D"/>
    <w:rsid w:val="00E35E48"/>
    <w:rsid w:val="00EA325D"/>
    <w:rsid w:val="00EA5AEB"/>
    <w:rsid w:val="00EB1C37"/>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94B1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cs="Times New Roman"/>
      <w:caps/>
      <w:kern w:val="0"/>
      <w:sz w:val="28"/>
      <w:szCs w:val="20"/>
      <w:lang w:eastAsia="en-US"/>
      <w14:ligatures w14:val="none"/>
    </w:rPr>
  </w:style>
  <w:style w:type="paragraph" w:customStyle="1" w:styleId="Rectitle">
    <w:name w:val="Rec_title"/>
    <w:basedOn w:val="RecNo"/>
    <w:next w:val="Normal"/>
    <w:rsid w:val="00694B1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6</cp:revision>
  <cp:lastPrinted>2023-10-16T13:33:00Z</cp:lastPrinted>
  <dcterms:created xsi:type="dcterms:W3CDTF">2023-10-16T13:32:00Z</dcterms:created>
  <dcterms:modified xsi:type="dcterms:W3CDTF">2023-10-16T13:34:00Z</dcterms:modified>
</cp:coreProperties>
</file>