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FF03" w14:textId="77777777" w:rsidR="00060129" w:rsidRPr="003A2A2A" w:rsidRDefault="00060129" w:rsidP="00060129">
      <w:pPr>
        <w:pStyle w:val="RecNo"/>
        <w:rPr>
          <w:rtl/>
          <w:lang w:bidi="ar-SY"/>
        </w:rPr>
      </w:pPr>
      <w:bookmarkStart w:id="0" w:name="_Toc116546923"/>
      <w:r w:rsidRPr="003A2A2A">
        <w:rPr>
          <w:rFonts w:hint="cs"/>
          <w:rtl/>
        </w:rPr>
        <w:t xml:space="preserve">التوصيـة </w:t>
      </w:r>
      <w:r w:rsidRPr="003A2A2A">
        <w:t>ITU–D 16</w:t>
      </w:r>
      <w:bookmarkEnd w:id="0"/>
    </w:p>
    <w:p w14:paraId="1EE3F9AC" w14:textId="77777777" w:rsidR="00060129" w:rsidRPr="003A2A2A" w:rsidRDefault="00060129" w:rsidP="00060129">
      <w:pPr>
        <w:pStyle w:val="Rectitle"/>
        <w:rPr>
          <w:rtl/>
        </w:rPr>
      </w:pPr>
      <w:bookmarkStart w:id="1" w:name="_Toc116546924"/>
      <w:r w:rsidRPr="003A2A2A">
        <w:rPr>
          <w:rFonts w:hint="cs"/>
          <w:rtl/>
        </w:rPr>
        <w:t>إعادة توازن التعريفات والتعريفات المستندة إلى التكاليف</w:t>
      </w:r>
      <w:bookmarkEnd w:id="1"/>
    </w:p>
    <w:p w14:paraId="2AEDFE52" w14:textId="77777777" w:rsidR="00060129" w:rsidRPr="003A2A2A" w:rsidRDefault="00060129" w:rsidP="00060129">
      <w:pPr>
        <w:pStyle w:val="Normalcenteraligned"/>
        <w:rPr>
          <w:i/>
          <w:iCs/>
          <w:rtl/>
        </w:rPr>
      </w:pPr>
      <w:r w:rsidRPr="003A2A2A">
        <w:rPr>
          <w:rFonts w:hint="cs"/>
          <w:i/>
          <w:iCs/>
          <w:rtl/>
        </w:rPr>
        <w:t xml:space="preserve">(يناير </w:t>
      </w:r>
      <w:r w:rsidRPr="003A2A2A">
        <w:rPr>
          <w:i/>
          <w:iCs/>
        </w:rPr>
        <w:t>2002</w:t>
      </w:r>
      <w:r w:rsidRPr="003A2A2A">
        <w:rPr>
          <w:rFonts w:hint="cs"/>
          <w:i/>
          <w:iCs/>
          <w:rtl/>
        </w:rPr>
        <w:t>)</w:t>
      </w:r>
    </w:p>
    <w:p w14:paraId="07426A88" w14:textId="77777777" w:rsidR="00060129" w:rsidRPr="003A2A2A" w:rsidRDefault="00060129" w:rsidP="00060129">
      <w:pPr>
        <w:pStyle w:val="Normalaftertitle"/>
        <w:rPr>
          <w:rtl/>
        </w:rPr>
      </w:pPr>
      <w:r w:rsidRPr="003A2A2A">
        <w:rPr>
          <w:rFonts w:hint="cs"/>
          <w:rtl/>
        </w:rPr>
        <w:t xml:space="preserve">المسألة </w:t>
      </w:r>
      <w:r w:rsidRPr="003A2A2A">
        <w:t>12/1</w:t>
      </w:r>
      <w:r w:rsidRPr="003A2A2A">
        <w:rPr>
          <w:rFonts w:hint="cs"/>
          <w:rtl/>
        </w:rPr>
        <w:t>: سياسات ونماذج التعريفات وطرائق تحديد تكاليف خدمات الاتصالات الوطنية</w:t>
      </w:r>
    </w:p>
    <w:p w14:paraId="19FD959C" w14:textId="77777777" w:rsidR="00060129" w:rsidRPr="003A2A2A" w:rsidRDefault="00060129" w:rsidP="00060129">
      <w:pPr>
        <w:pStyle w:val="Normalaftertitle"/>
        <w:rPr>
          <w:rtl/>
        </w:rPr>
      </w:pPr>
      <w:r w:rsidRPr="003A2A2A">
        <w:rPr>
          <w:rFonts w:hint="cs"/>
          <w:rtl/>
        </w:rPr>
        <w:t xml:space="preserve">إن قطاع تنمية الاتصالات للاتحاد الدولي للاتصالات </w:t>
      </w:r>
      <w:r w:rsidRPr="003A2A2A">
        <w:t>(ITU–D)</w:t>
      </w:r>
      <w:r w:rsidRPr="003A2A2A">
        <w:rPr>
          <w:rFonts w:hint="cs"/>
          <w:rtl/>
        </w:rPr>
        <w:t>،</w:t>
      </w:r>
    </w:p>
    <w:p w14:paraId="30614FF9" w14:textId="77777777" w:rsidR="00060129" w:rsidRPr="003A2A2A" w:rsidRDefault="00060129" w:rsidP="00060129">
      <w:pPr>
        <w:pStyle w:val="Call"/>
      </w:pPr>
      <w:r w:rsidRPr="003A2A2A">
        <w:rPr>
          <w:rFonts w:hint="cs"/>
          <w:rtl/>
          <w:lang w:bidi="ar-SY"/>
        </w:rPr>
        <w:t>إذ يعترف</w:t>
      </w:r>
    </w:p>
    <w:p w14:paraId="2045D62E" w14:textId="77777777" w:rsidR="00060129" w:rsidRPr="003A2A2A" w:rsidRDefault="00060129" w:rsidP="00060129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  <w:t>بالدور الهام لمستوى تعريفات الاتصالات وهيكلها بالنسبة إلى مشغلي الاتصالات من أجل تمويل برامجهم الخاصة بالتنمية وتلبية متطلباتهم من النفقات المتكررة؛</w:t>
      </w:r>
    </w:p>
    <w:p w14:paraId="32366A91" w14:textId="77777777" w:rsidR="00060129" w:rsidRPr="003A2A2A" w:rsidRDefault="00060129" w:rsidP="00060129">
      <w:r w:rsidRPr="00326A59">
        <w:rPr>
          <w:rFonts w:hint="cs"/>
          <w:i/>
          <w:iCs/>
          <w:spacing w:val="-2"/>
          <w:rtl/>
        </w:rPr>
        <w:t>ب)</w:t>
      </w:r>
      <w:r w:rsidRPr="00326A59">
        <w:rPr>
          <w:rFonts w:hint="cs"/>
          <w:spacing w:val="-2"/>
          <w:rtl/>
        </w:rPr>
        <w:tab/>
        <w:t>بأن تحديد هيكل متوازن وجذاب لتعريفات الاتصالات يمكن أن يعزز استخدام الشبكات وتشغيل الخدمات وأن يعزز</w:t>
      </w:r>
      <w:r w:rsidRPr="003A2A2A">
        <w:rPr>
          <w:rFonts w:hint="cs"/>
          <w:rtl/>
        </w:rPr>
        <w:t xml:space="preserve"> توفير الخدمة الشاملة وأن يكون له أثر إيجابي على تنمية قطاعات الاقتصاد الأخرى،</w:t>
      </w:r>
    </w:p>
    <w:p w14:paraId="6CA31DEE" w14:textId="77777777" w:rsidR="00060129" w:rsidRPr="003A2A2A" w:rsidRDefault="00060129" w:rsidP="00060129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وإذ يلاحظ</w:t>
      </w:r>
    </w:p>
    <w:p w14:paraId="48C02AD2" w14:textId="77777777" w:rsidR="00060129" w:rsidRPr="003A2A2A" w:rsidRDefault="00060129" w:rsidP="00060129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  <w:t>أن العديد من البلدان النامية تفتقر إلى الخبرة والمهارات الكافية في وضع تعريفات مستندة إلى التكاليف تمكّنها من الاستفادة الكاملة من سياسات تعريفات الاتصالات واستراتيجياتها وممارساتها؛</w:t>
      </w:r>
    </w:p>
    <w:p w14:paraId="0F37A1C5" w14:textId="77777777" w:rsidR="00060129" w:rsidRPr="003A2A2A" w:rsidRDefault="00060129" w:rsidP="00060129">
      <w:pPr>
        <w:rPr>
          <w:rtl/>
        </w:rPr>
      </w:pPr>
      <w:r w:rsidRPr="00326A59">
        <w:rPr>
          <w:rFonts w:hint="cs"/>
          <w:i/>
          <w:iCs/>
          <w:spacing w:val="-2"/>
          <w:rtl/>
        </w:rPr>
        <w:t>ب)</w:t>
      </w:r>
      <w:r w:rsidRPr="00326A59">
        <w:rPr>
          <w:rFonts w:hint="cs"/>
          <w:spacing w:val="-2"/>
          <w:rtl/>
        </w:rPr>
        <w:tab/>
        <w:t>أن هذه البلدان تحتاج إلى المساعدة في الحصول على الأدوات اللازمة لتحديد التكاليف وحسابها في سياق تنفيذ هياكل</w:t>
      </w:r>
      <w:r w:rsidRPr="003A2A2A">
        <w:rPr>
          <w:rFonts w:hint="cs"/>
          <w:rtl/>
        </w:rPr>
        <w:t xml:space="preserve"> ومستويات التعريفات المستندة إلى التكاليف،</w:t>
      </w:r>
    </w:p>
    <w:p w14:paraId="6445B01F" w14:textId="77777777" w:rsidR="00060129" w:rsidRPr="003A2A2A" w:rsidRDefault="00060129" w:rsidP="00060129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يوصي</w:t>
      </w:r>
    </w:p>
    <w:p w14:paraId="60827FE2" w14:textId="77777777" w:rsidR="00060129" w:rsidRPr="003A2A2A" w:rsidRDefault="00060129" w:rsidP="00060129">
      <w:pPr>
        <w:rPr>
          <w:rtl/>
        </w:rPr>
      </w:pPr>
      <w:r w:rsidRPr="003A2A2A">
        <w:t>1</w:t>
      </w:r>
      <w:r w:rsidRPr="003A2A2A">
        <w:rPr>
          <w:rFonts w:hint="cs"/>
          <w:rtl/>
        </w:rPr>
        <w:tab/>
        <w:t>بأن تراعي السلطات العامة والإدارات لدى تحديد أطرها القانونية والتنظيمية، عند اللزوم، أثر ارتفاع التضخم،</w:t>
      </w:r>
    </w:p>
    <w:p w14:paraId="0970ED27" w14:textId="77777777" w:rsidR="00060129" w:rsidRPr="003A2A2A" w:rsidRDefault="00060129" w:rsidP="00060129">
      <w:pPr>
        <w:rPr>
          <w:rtl/>
        </w:rPr>
      </w:pPr>
      <w:r w:rsidRPr="003A2A2A">
        <w:t>2</w:t>
      </w:r>
      <w:r w:rsidRPr="003A2A2A">
        <w:rPr>
          <w:rFonts w:hint="cs"/>
          <w:rtl/>
        </w:rPr>
        <w:tab/>
        <w:t>بأن تقوم السلطات العامة بما يلي:</w:t>
      </w:r>
    </w:p>
    <w:p w14:paraId="4C46A1CC" w14:textId="77777777" w:rsidR="00060129" w:rsidRPr="003A2A2A" w:rsidRDefault="00060129" w:rsidP="00060129">
      <w:pPr>
        <w:pStyle w:val="enumlev1"/>
        <w:rPr>
          <w:rtl/>
        </w:rPr>
      </w:pPr>
      <w:r w:rsidRPr="003A2A2A">
        <w:rPr>
          <w:rStyle w:val="Right-to-Left"/>
          <w:rFonts w:hint="cs"/>
          <w:rtl/>
        </w:rPr>
        <w:t xml:space="preserve"> </w:t>
      </w:r>
      <w:proofErr w:type="gramStart"/>
      <w:r w:rsidRPr="003A2A2A">
        <w:rPr>
          <w:rStyle w:val="Right-to-Left"/>
          <w:rFonts w:hint="cs"/>
          <w:rtl/>
        </w:rPr>
        <w:t>أ )</w:t>
      </w:r>
      <w:proofErr w:type="gramEnd"/>
      <w:r w:rsidRPr="003A2A2A">
        <w:rPr>
          <w:rFonts w:hint="cs"/>
          <w:rtl/>
        </w:rPr>
        <w:tab/>
        <w:t>إعادة توازن التعريفات تدريجياً من أجل الانتقال إلى تعريفات مستندة إلى التكاليف؛</w:t>
      </w:r>
    </w:p>
    <w:p w14:paraId="4CB9E487" w14:textId="77777777" w:rsidR="00060129" w:rsidRPr="003A2A2A" w:rsidRDefault="00060129" w:rsidP="00060129">
      <w:pPr>
        <w:rPr>
          <w:rStyle w:val="Right-to-Left"/>
          <w:rtl/>
        </w:rPr>
      </w:pPr>
    </w:p>
    <w:p w14:paraId="1280EB95" w14:textId="77777777" w:rsidR="00060129" w:rsidRPr="003A2A2A" w:rsidRDefault="00060129" w:rsidP="00060129">
      <w:pPr>
        <w:rPr>
          <w:rStyle w:val="Right-to-Left"/>
          <w:rFonts w:eastAsia="Times New Roman"/>
          <w:rtl/>
        </w:rPr>
      </w:pPr>
      <w:r w:rsidRPr="003A2A2A">
        <w:rPr>
          <w:rStyle w:val="Right-to-Left"/>
          <w:rtl/>
        </w:rPr>
        <w:br w:type="page"/>
      </w:r>
    </w:p>
    <w:p w14:paraId="76DA731D" w14:textId="77777777" w:rsidR="00060129" w:rsidRPr="003A2A2A" w:rsidRDefault="00060129" w:rsidP="00060129">
      <w:pPr>
        <w:pStyle w:val="enumlev1"/>
        <w:rPr>
          <w:rtl/>
        </w:rPr>
      </w:pPr>
      <w:r w:rsidRPr="003A2A2A">
        <w:rPr>
          <w:rStyle w:val="Right-to-Left"/>
          <w:rFonts w:hint="cs"/>
          <w:rtl/>
        </w:rPr>
        <w:lastRenderedPageBreak/>
        <w:t>ب)</w:t>
      </w:r>
      <w:r w:rsidRPr="003A2A2A">
        <w:rPr>
          <w:rFonts w:hint="cs"/>
          <w:rtl/>
        </w:rPr>
        <w:tab/>
        <w:t>اعتماد ضمانات محدودة زمنياً لضمان أن خسائر الإيرادات بسبب خفض التعريفات المتعلقة ببعض الخدمات و/أو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في مناطق معينة لا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يقابلها زيادة في أسعار خدمات أخرى و/أو في مناطق أخرى (في المناطق الطرفية أو الريفية، ...)؛</w:t>
      </w:r>
    </w:p>
    <w:p w14:paraId="357F2462" w14:textId="77777777" w:rsidR="00060129" w:rsidRPr="003A2A2A" w:rsidRDefault="00060129" w:rsidP="00060129">
      <w:pPr>
        <w:pStyle w:val="enumlev1"/>
        <w:rPr>
          <w:rtl/>
        </w:rPr>
      </w:pPr>
      <w:r w:rsidRPr="003A2A2A">
        <w:rPr>
          <w:rStyle w:val="Right-to-Left"/>
          <w:rFonts w:hint="cs"/>
          <w:rtl/>
        </w:rPr>
        <w:t>ج)</w:t>
      </w:r>
      <w:r w:rsidRPr="003A2A2A">
        <w:rPr>
          <w:rFonts w:hint="cs"/>
          <w:rtl/>
        </w:rPr>
        <w:tab/>
        <w:t>التوجه نحو إعادة توازن الحركة وتقييم آثارها على القدرة على تحمل تكاليف الاتصالات التي يلزم أن تكون مرتبطة بالتدابير المناسبة التي قد يستخلصها المنظمون وواضعو السياسات،</w:t>
      </w:r>
    </w:p>
    <w:p w14:paraId="69A39F63" w14:textId="77777777" w:rsidR="00060129" w:rsidRPr="003A2A2A" w:rsidRDefault="00060129" w:rsidP="00060129">
      <w:pPr>
        <w:rPr>
          <w:rtl/>
        </w:rPr>
      </w:pPr>
      <w:r w:rsidRPr="003A2A2A">
        <w:t>3</w:t>
      </w:r>
      <w:r w:rsidRPr="003A2A2A">
        <w:rPr>
          <w:rFonts w:hint="cs"/>
          <w:b/>
          <w:bCs/>
          <w:rtl/>
        </w:rPr>
        <w:tab/>
      </w:r>
      <w:r w:rsidRPr="003A2A2A">
        <w:rPr>
          <w:rFonts w:hint="cs"/>
          <w:rtl/>
        </w:rPr>
        <w:t>بأن تضمن السلطات العامة:</w:t>
      </w:r>
    </w:p>
    <w:p w14:paraId="4526865C" w14:textId="77777777" w:rsidR="00060129" w:rsidRPr="003A2A2A" w:rsidRDefault="00060129" w:rsidP="00060129">
      <w:pPr>
        <w:pStyle w:val="enumlev1"/>
        <w:rPr>
          <w:rtl/>
        </w:rPr>
      </w:pPr>
      <w:r w:rsidRPr="003A2A2A">
        <w:rPr>
          <w:rStyle w:val="Right-to-Left"/>
          <w:rFonts w:hint="cs"/>
          <w:rtl/>
        </w:rPr>
        <w:t xml:space="preserve"> </w:t>
      </w:r>
      <w:proofErr w:type="gramStart"/>
      <w:r w:rsidRPr="003A2A2A">
        <w:rPr>
          <w:rStyle w:val="Right-to-Left"/>
          <w:rFonts w:hint="cs"/>
          <w:rtl/>
        </w:rPr>
        <w:t>أ )</w:t>
      </w:r>
      <w:proofErr w:type="gramEnd"/>
      <w:r w:rsidRPr="003A2A2A">
        <w:rPr>
          <w:rFonts w:hint="cs"/>
          <w:rtl/>
        </w:rPr>
        <w:tab/>
        <w:t>أن تكون تعريفات النفاذ إلى الشبكة الهاتفية العمومية الثابتة واستعمالها مستقلة عن نوع التطبيق الذي ينفذه المشغلون والمستعملون، إلا إذا كانوا يطلبون خدمات أو تسهيلات مختلفة؛</w:t>
      </w:r>
    </w:p>
    <w:p w14:paraId="71FD58C0" w14:textId="77777777" w:rsidR="00060129" w:rsidRPr="003A2A2A" w:rsidRDefault="00060129" w:rsidP="00060129">
      <w:pPr>
        <w:pStyle w:val="enumlev1"/>
        <w:rPr>
          <w:rtl/>
        </w:rPr>
      </w:pPr>
      <w:r w:rsidRPr="003A2A2A">
        <w:rPr>
          <w:rStyle w:val="Right-to-Left"/>
          <w:rFonts w:hint="cs"/>
          <w:rtl/>
        </w:rPr>
        <w:t>ب)</w:t>
      </w:r>
      <w:r w:rsidRPr="003A2A2A">
        <w:rPr>
          <w:rFonts w:hint="cs"/>
          <w:rtl/>
        </w:rPr>
        <w:tab/>
        <w:t>أن تكون التعريفات الخاصة بالتسهيلات الإضافية وتلك الخاصة بتوفير التوصيل بالشبكة الهاتفية العمومية الثابتة والخدمات الهاتفية العمومية الثابتة منفصلة بشكل كافٍ بحيث لا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يضطر المستعمل إلى دفع تكلفة التسهيلات التي ليست ضرورية للخدمة المطلوبة؛</w:t>
      </w:r>
    </w:p>
    <w:p w14:paraId="1F42BC15" w14:textId="77777777" w:rsidR="00060129" w:rsidRPr="003A2A2A" w:rsidRDefault="00060129" w:rsidP="00060129">
      <w:pPr>
        <w:pStyle w:val="enumlev1"/>
        <w:rPr>
          <w:rtl/>
        </w:rPr>
      </w:pPr>
      <w:r w:rsidRPr="00326A59">
        <w:rPr>
          <w:rStyle w:val="Right-to-Left"/>
          <w:rFonts w:hint="cs"/>
          <w:spacing w:val="-2"/>
          <w:rtl/>
        </w:rPr>
        <w:t>ج)</w:t>
      </w:r>
      <w:r w:rsidRPr="00326A59">
        <w:rPr>
          <w:rFonts w:hint="cs"/>
          <w:spacing w:val="-2"/>
          <w:rtl/>
        </w:rPr>
        <w:tab/>
        <w:t>أن تراعي بوجه خاص، في الحالات التي توجد فيها تعريفات مختلفة لمراعاة حمل الحركة المرتفعة أثناء ساعات الذروة</w:t>
      </w:r>
      <w:r w:rsidRPr="003A2A2A">
        <w:rPr>
          <w:rFonts w:hint="cs"/>
          <w:rtl/>
        </w:rPr>
        <w:t xml:space="preserve"> وحمل الحركة المنخفضة في الأوقات الهادئة، أن تكون الاختلافات مبررة تجارياً،</w:t>
      </w:r>
    </w:p>
    <w:p w14:paraId="5E362EB2" w14:textId="77777777" w:rsidR="00060129" w:rsidRPr="003A2A2A" w:rsidRDefault="00060129" w:rsidP="00060129">
      <w:pPr>
        <w:rPr>
          <w:rtl/>
        </w:rPr>
      </w:pPr>
      <w:r w:rsidRPr="003A2A2A">
        <w:t>4</w:t>
      </w:r>
      <w:r w:rsidRPr="003A2A2A">
        <w:rPr>
          <w:rFonts w:hint="cs"/>
          <w:rtl/>
        </w:rPr>
        <w:tab/>
        <w:t>بأن يقوم قطاع تنمية الاتصالات ولا سيما مدير مكتب تنمية الاتصالات، عملاً بالقرار</w:t>
      </w:r>
      <w:r w:rsidRPr="003A2A2A">
        <w:rPr>
          <w:rFonts w:hint="eastAsia"/>
          <w:rtl/>
        </w:rPr>
        <w:t> </w:t>
      </w:r>
      <w:r w:rsidRPr="003A2A2A">
        <w:t>12</w:t>
      </w:r>
      <w:r w:rsidRPr="003A2A2A">
        <w:rPr>
          <w:rFonts w:hint="cs"/>
          <w:rtl/>
        </w:rPr>
        <w:t xml:space="preserve"> للمؤتمر العالمي لتنمية الاتصالات لعام </w:t>
      </w:r>
      <w:r w:rsidRPr="003A2A2A">
        <w:t>1998</w:t>
      </w:r>
      <w:r w:rsidRPr="003A2A2A">
        <w:rPr>
          <w:rFonts w:hint="cs"/>
          <w:rtl/>
        </w:rPr>
        <w:t>، بتقديم الدعم إلى الإدارات في تنفيذ هياكل تعريفية مستندة إلى التكاليف، من خلال إجراء دراسات الحالة والقيام بالاستبيان سنوياً وتحديث قاعدة البيانات وغير ذلك.</w:t>
      </w:r>
    </w:p>
    <w:p w14:paraId="5FAA3DED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8B86" w14:textId="77777777" w:rsidR="00326A59" w:rsidRDefault="00326A59">
      <w:pPr>
        <w:spacing w:before="0" w:line="240" w:lineRule="auto"/>
      </w:pPr>
      <w:r>
        <w:separator/>
      </w:r>
    </w:p>
  </w:endnote>
  <w:endnote w:type="continuationSeparator" w:id="0">
    <w:p w14:paraId="3A8918BB" w14:textId="77777777" w:rsidR="00326A59" w:rsidRDefault="00326A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E77F" w14:textId="77777777" w:rsidR="00326A59" w:rsidRDefault="0032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9D82" w14:textId="77777777" w:rsidR="00326A59" w:rsidRDefault="00326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776E" w14:textId="77777777" w:rsidR="00326A59" w:rsidRDefault="00326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9015" w14:textId="77777777" w:rsidR="00326A59" w:rsidRDefault="00326A59">
      <w:pPr>
        <w:spacing w:before="0" w:line="240" w:lineRule="auto"/>
      </w:pPr>
      <w:r>
        <w:separator/>
      </w:r>
    </w:p>
  </w:footnote>
  <w:footnote w:type="continuationSeparator" w:id="0">
    <w:p w14:paraId="5CC225F9" w14:textId="77777777" w:rsidR="00326A59" w:rsidRDefault="00326A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14771008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7473C0" w14:textId="77777777" w:rsidR="00326A59" w:rsidRPr="00713E5A" w:rsidRDefault="00326A59" w:rsidP="00326A59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392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التوصية </w:t>
        </w:r>
        <w:r>
          <w:rPr>
            <w:sz w:val="16"/>
            <w:szCs w:val="16"/>
          </w:rPr>
          <w:t>ITU-D 16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62578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BE79B" w14:textId="77777777" w:rsidR="00326A59" w:rsidRPr="00713E5A" w:rsidRDefault="00060129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  <w:t>ITU-D 16</w:t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التوصية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10949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518F9" w14:textId="77777777" w:rsidR="00326A59" w:rsidRPr="00713E5A" w:rsidRDefault="00326A59" w:rsidP="00326A5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393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  <w:t>ITU-D 16</w:t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التوصية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129"/>
    <w:rsid w:val="00060129"/>
    <w:rsid w:val="000C7E7E"/>
    <w:rsid w:val="0012086A"/>
    <w:rsid w:val="001C1912"/>
    <w:rsid w:val="00312F86"/>
    <w:rsid w:val="00326A59"/>
    <w:rsid w:val="00370784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CC976"/>
  <w14:defaultImageDpi w14:val="32767"/>
  <w15:chartTrackingRefBased/>
  <w15:docId w15:val="{DD27D8BC-0332-41AD-9E18-9DD94C9A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59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060129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060129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cNo">
    <w:name w:val="Rec_No"/>
    <w:basedOn w:val="Normal"/>
    <w:qFormat/>
    <w:rsid w:val="00060129"/>
    <w:pPr>
      <w:keepNext/>
      <w:keepLines/>
      <w:tabs>
        <w:tab w:val="left" w:pos="794"/>
      </w:tabs>
      <w:spacing w:before="360" w:after="12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ctitle">
    <w:name w:val="Rec_title"/>
    <w:basedOn w:val="Normal"/>
    <w:qFormat/>
    <w:rsid w:val="00060129"/>
    <w:pPr>
      <w:keepNext/>
      <w:keepLines/>
      <w:tabs>
        <w:tab w:val="left" w:pos="794"/>
      </w:tabs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60129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60129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0601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paragraph" w:customStyle="1" w:styleId="Normalcenteraligned">
    <w:name w:val="Normal center aligned"/>
    <w:basedOn w:val="Normal"/>
    <w:rsid w:val="00060129"/>
    <w:pPr>
      <w:tabs>
        <w:tab w:val="left" w:pos="794"/>
      </w:tabs>
      <w:spacing w:after="360"/>
      <w:jc w:val="center"/>
    </w:pPr>
    <w:rPr>
      <w:rFonts w:eastAsiaTheme="minorEastAsia"/>
      <w:lang w:val="en-US" w:eastAsia="zh-CN"/>
    </w:rPr>
  </w:style>
  <w:style w:type="character" w:customStyle="1" w:styleId="Right-to-Left">
    <w:name w:val="Right-to-Left"/>
    <w:rsid w:val="00060129"/>
    <w:rPr>
      <w:b w:val="0"/>
      <w:bCs w:val="0"/>
      <w:sz w:val="22"/>
      <w:szCs w:val="22"/>
    </w:rPr>
  </w:style>
  <w:style w:type="character" w:customStyle="1" w:styleId="enumlev1Char">
    <w:name w:val="enumlev1 Char"/>
    <w:basedOn w:val="DefaultParagraphFont"/>
    <w:link w:val="enumlev1"/>
    <w:locked/>
    <w:rsid w:val="00060129"/>
    <w:rPr>
      <w:rFonts w:ascii="Dubai" w:eastAsia="Times New Roman" w:hAnsi="Dubai" w:cs="Dubai"/>
    </w:rPr>
  </w:style>
  <w:style w:type="paragraph" w:styleId="Footer">
    <w:name w:val="footer"/>
    <w:basedOn w:val="Normal"/>
    <w:link w:val="FooterChar"/>
    <w:uiPriority w:val="99"/>
    <w:unhideWhenUsed/>
    <w:rsid w:val="00326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2023-10-16T07:42:00Z</dcterms:created>
  <dcterms:modified xsi:type="dcterms:W3CDTF">2023-10-17T06:23:00Z</dcterms:modified>
</cp:coreProperties>
</file>