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0CFFAC32" w:rsidR="006E5CD0" w:rsidRPr="006E5CD0" w:rsidRDefault="00694B10" w:rsidP="00C47B69">
      <w:pPr>
        <w:pStyle w:val="RecNo"/>
        <w:outlineLvl w:val="0"/>
        <w:rPr>
          <w:lang w:eastAsia="zh-CN"/>
        </w:rPr>
      </w:pPr>
      <w:bookmarkStart w:id="0" w:name="_Toc116895611"/>
      <w:bookmarkStart w:id="1" w:name="_Toc116911740"/>
      <w:r>
        <w:rPr>
          <w:rFonts w:hint="eastAsia"/>
          <w:lang w:eastAsia="zh-CN"/>
        </w:rPr>
        <w:t>I</w:t>
      </w:r>
      <w:r>
        <w:rPr>
          <w:lang w:eastAsia="zh-CN"/>
        </w:rPr>
        <w:t>TU-D</w:t>
      </w:r>
      <w:r w:rsidR="00BC603B" w:rsidRPr="00A677DE">
        <w:rPr>
          <w:lang w:eastAsia="zh-CN"/>
        </w:rPr>
        <w:t>第</w:t>
      </w:r>
      <w:r>
        <w:rPr>
          <w:rStyle w:val="href"/>
          <w:lang w:val="ru-RU" w:eastAsia="zh-CN"/>
        </w:rPr>
        <w:t>15</w:t>
      </w:r>
      <w:r w:rsidR="00BC603B" w:rsidRPr="00A677DE">
        <w:rPr>
          <w:lang w:eastAsia="zh-CN"/>
        </w:rPr>
        <w:t>号</w:t>
      </w:r>
      <w:r>
        <w:rPr>
          <w:rFonts w:hint="eastAsia"/>
          <w:lang w:eastAsia="zh-CN"/>
        </w:rPr>
        <w:t>建议</w:t>
      </w:r>
      <w:bookmarkEnd w:id="0"/>
      <w:bookmarkEnd w:id="1"/>
    </w:p>
    <w:p w14:paraId="762F1A04" w14:textId="13F073E1" w:rsidR="006E5CD0" w:rsidRPr="006E5CD0" w:rsidRDefault="00694B10" w:rsidP="00C47B69">
      <w:pPr>
        <w:pStyle w:val="Rectitle"/>
        <w:outlineLvl w:val="0"/>
        <w:rPr>
          <w:lang w:val="ru-RU" w:eastAsia="zh-CN"/>
        </w:rPr>
      </w:pPr>
      <w:r w:rsidRPr="00694B10">
        <w:rPr>
          <w:rFonts w:hint="eastAsia"/>
          <w:lang w:eastAsia="zh-CN"/>
        </w:rPr>
        <w:t>确定国家电信服务成本的模型和方法</w:t>
      </w:r>
    </w:p>
    <w:p w14:paraId="64FB6883" w14:textId="77777777" w:rsidR="00694B10" w:rsidRPr="00A677DE" w:rsidRDefault="00694B10" w:rsidP="00694B10">
      <w:pPr>
        <w:pStyle w:val="Normalcenteraligned"/>
        <w:spacing w:before="40"/>
        <w:jc w:val="center"/>
      </w:pPr>
      <w:r w:rsidRPr="00A677DE">
        <w:t>（</w:t>
      </w:r>
      <w:r w:rsidRPr="00A677DE">
        <w:t>2002</w:t>
      </w:r>
      <w:r w:rsidRPr="00A677DE">
        <w:t>年</w:t>
      </w:r>
      <w:r w:rsidRPr="00A677DE">
        <w:t>1</w:t>
      </w:r>
      <w:r w:rsidRPr="00A677DE">
        <w:t>月）</w:t>
      </w:r>
    </w:p>
    <w:p w14:paraId="72B07255" w14:textId="0A083ED7" w:rsidR="00694B10" w:rsidRDefault="00694B10" w:rsidP="00694B10">
      <w:pPr>
        <w:pStyle w:val="Normalnoindent"/>
        <w:spacing w:before="240"/>
      </w:pPr>
      <w:r w:rsidRPr="00A677DE">
        <w:rPr>
          <w:rFonts w:ascii="SimSun" w:hAnsi="SimSun" w:cs="MS Gothic" w:hint="eastAsia"/>
        </w:rPr>
        <w:t>第</w:t>
      </w:r>
      <w:r w:rsidRPr="00A677DE">
        <w:t>12/1</w:t>
      </w:r>
      <w:r w:rsidRPr="00A677DE">
        <w:rPr>
          <w:rFonts w:ascii="SimSun" w:hAnsi="SimSun" w:cs="MS Gothic" w:hint="eastAsia"/>
        </w:rPr>
        <w:t>号</w:t>
      </w:r>
      <w:r w:rsidRPr="00A677DE">
        <w:rPr>
          <w:rFonts w:ascii="SimSun" w:hAnsi="SimSun" w:cs="Microsoft JhengHei" w:hint="eastAsia"/>
        </w:rPr>
        <w:t>课题</w:t>
      </w:r>
      <w:r w:rsidRPr="00694B10">
        <w:rPr>
          <w:rFonts w:ascii="SimSun" w:hAnsi="SimSun" w:cs="Microsoft JhengHei" w:hint="eastAsia"/>
        </w:rPr>
        <w:t>：</w:t>
      </w:r>
      <w:r w:rsidRPr="004247E4">
        <w:rPr>
          <w:rFonts w:ascii="STKaiti" w:eastAsia="STKaiti" w:hAnsi="STKaiti" w:hint="eastAsia"/>
          <w:kern w:val="2"/>
        </w:rPr>
        <w:t>确定国家电信服务成本的资费政策、资费模型和方法</w:t>
      </w:r>
    </w:p>
    <w:p w14:paraId="777CC5C3" w14:textId="11DEE6F9" w:rsidR="003D04C8" w:rsidRPr="00A677DE" w:rsidRDefault="00694B10" w:rsidP="003D04C8">
      <w:pPr>
        <w:pStyle w:val="Normalnoindent"/>
      </w:pPr>
      <w:r w:rsidRPr="00694B10">
        <w:rPr>
          <w:rFonts w:hint="eastAsia"/>
        </w:rPr>
        <w:t>国际电</w:t>
      </w:r>
      <w:proofErr w:type="gramStart"/>
      <w:r w:rsidRPr="00694B10">
        <w:rPr>
          <w:rFonts w:hint="eastAsia"/>
        </w:rPr>
        <w:t>联电信</w:t>
      </w:r>
      <w:proofErr w:type="gramEnd"/>
      <w:r w:rsidRPr="00694B10">
        <w:rPr>
          <w:rFonts w:hint="eastAsia"/>
        </w:rPr>
        <w:t>发展局（</w:t>
      </w:r>
      <w:r w:rsidRPr="00694B10">
        <w:rPr>
          <w:rFonts w:hint="eastAsia"/>
        </w:rPr>
        <w:t>ITU-D</w:t>
      </w:r>
      <w:r w:rsidRPr="00694B10">
        <w:rPr>
          <w:rFonts w:hint="eastAsia"/>
        </w:rPr>
        <w:t>），</w:t>
      </w:r>
    </w:p>
    <w:p w14:paraId="0CDF090B" w14:textId="77777777" w:rsidR="00694B10" w:rsidRPr="00A677DE" w:rsidRDefault="00694B10" w:rsidP="00694B10">
      <w:pPr>
        <w:pStyle w:val="Call"/>
        <w:spacing w:before="240"/>
        <w:rPr>
          <w:rFonts w:cstheme="minorHAnsi"/>
          <w:lang w:eastAsia="zh-CN"/>
        </w:rPr>
      </w:pPr>
      <w:r w:rsidRPr="00A677DE">
        <w:rPr>
          <w:rFonts w:cstheme="minorHAnsi" w:hint="eastAsia"/>
          <w:lang w:eastAsia="zh-CN"/>
        </w:rPr>
        <w:t>认识到</w:t>
      </w:r>
    </w:p>
    <w:p w14:paraId="636A994D" w14:textId="77777777" w:rsidR="00694B10" w:rsidRPr="00A677DE" w:rsidRDefault="00694B10" w:rsidP="00694B10">
      <w:pPr>
        <w:pStyle w:val="Normalnoindent"/>
        <w:spacing w:before="240"/>
        <w:rPr>
          <w:rFonts w:ascii="SimSun" w:hAnsi="SimSun"/>
        </w:rPr>
      </w:pPr>
      <w:r w:rsidRPr="00A677DE">
        <w:rPr>
          <w:i/>
          <w:iCs/>
        </w:rPr>
        <w:t>a)</w:t>
      </w:r>
      <w:r w:rsidRPr="00A677DE">
        <w:tab/>
      </w:r>
      <w:r w:rsidRPr="00A677DE">
        <w:rPr>
          <w:rFonts w:ascii="SimSun" w:hAnsi="SimSun" w:cs="MS Gothic" w:hint="eastAsia"/>
        </w:rPr>
        <w:t>在</w:t>
      </w:r>
      <w:r w:rsidRPr="00A677DE">
        <w:rPr>
          <w:rFonts w:ascii="SimSun" w:hAnsi="SimSun" w:cs="Microsoft JhengHei" w:hint="eastAsia"/>
        </w:rPr>
        <w:t>创建电</w:t>
      </w:r>
      <w:r w:rsidRPr="00A677DE">
        <w:rPr>
          <w:rFonts w:ascii="SimSun" w:hAnsi="SimSun" w:cs="MS Gothic" w:hint="eastAsia"/>
        </w:rPr>
        <w:t>信运</w:t>
      </w:r>
      <w:r w:rsidRPr="00A677DE">
        <w:rPr>
          <w:rFonts w:ascii="SimSun" w:hAnsi="SimSun" w:cs="Microsoft JhengHei" w:hint="eastAsia"/>
        </w:rPr>
        <w:t>营商所需的内部生成资金过程中，电信资费的水平和结构发挥重要作用，</w:t>
      </w:r>
      <w:proofErr w:type="gramStart"/>
      <w:r w:rsidRPr="00A677DE">
        <w:rPr>
          <w:rFonts w:ascii="SimSun" w:hAnsi="SimSun" w:cs="Microsoft JhengHei" w:hint="eastAsia"/>
        </w:rPr>
        <w:t>此类资金在大部分情况下用于资助电信实体的发展项目并亦用于满足他们的经常性支出需求；</w:t>
      </w:r>
      <w:proofErr w:type="gramEnd"/>
    </w:p>
    <w:p w14:paraId="0B88028E" w14:textId="77777777" w:rsidR="00694B10" w:rsidRPr="00A677DE" w:rsidRDefault="00694B10" w:rsidP="00694B10">
      <w:pPr>
        <w:pStyle w:val="Normalnoindent"/>
        <w:spacing w:before="240"/>
        <w:rPr>
          <w:rFonts w:cstheme="minorHAnsi"/>
        </w:rPr>
      </w:pPr>
      <w:r w:rsidRPr="00A677DE">
        <w:rPr>
          <w:rFonts w:cstheme="minorHAnsi"/>
          <w:i/>
          <w:iCs/>
        </w:rPr>
        <w:t>b)</w:t>
      </w:r>
      <w:r w:rsidRPr="00A677DE">
        <w:rPr>
          <w:rFonts w:cstheme="minorHAnsi"/>
        </w:rPr>
        <w:tab/>
      </w:r>
      <w:r w:rsidRPr="00A677DE">
        <w:rPr>
          <w:rFonts w:cstheme="minorHAnsi" w:hint="eastAsia"/>
        </w:rPr>
        <w:t>平衡且有吸引力的电信资费结构的建立可推动网络和服务的有效使用，加强普遍服务的提供并对其他经济行业的发展产生积极影响，</w:t>
      </w:r>
    </w:p>
    <w:p w14:paraId="7BD6C46B" w14:textId="77777777" w:rsidR="00694B10" w:rsidRPr="00A677DE" w:rsidRDefault="00694B10" w:rsidP="00694B10">
      <w:pPr>
        <w:pStyle w:val="Call"/>
        <w:spacing w:before="240"/>
        <w:rPr>
          <w:i/>
          <w:lang w:eastAsia="zh-CN"/>
        </w:rPr>
      </w:pPr>
      <w:r w:rsidRPr="00A677DE">
        <w:rPr>
          <w:rFonts w:hint="eastAsia"/>
          <w:lang w:eastAsia="zh-CN"/>
        </w:rPr>
        <w:t>注意到</w:t>
      </w:r>
    </w:p>
    <w:p w14:paraId="793A3DF8" w14:textId="77777777" w:rsidR="00694B10" w:rsidRPr="00A677DE" w:rsidRDefault="00694B10" w:rsidP="00694B10">
      <w:pPr>
        <w:pStyle w:val="Normalnoindent"/>
        <w:spacing w:before="240"/>
        <w:rPr>
          <w:rFonts w:cstheme="minorHAnsi"/>
        </w:rPr>
      </w:pPr>
      <w:r w:rsidRPr="00A677DE">
        <w:rPr>
          <w:rFonts w:cstheme="minorHAnsi"/>
          <w:i/>
          <w:iCs/>
        </w:rPr>
        <w:t>a)</w:t>
      </w:r>
      <w:r w:rsidRPr="00A677DE">
        <w:rPr>
          <w:rFonts w:cstheme="minorHAnsi"/>
        </w:rPr>
        <w:tab/>
      </w:r>
      <w:r w:rsidRPr="00A677DE">
        <w:rPr>
          <w:rFonts w:cstheme="minorHAnsi" w:hint="eastAsia"/>
        </w:rPr>
        <w:t>许多发展中国家在制定以成本为导向的资费方面缺乏足够的经验和技能，难以从电信资费政策、</w:t>
      </w:r>
      <w:proofErr w:type="gramStart"/>
      <w:r w:rsidRPr="00A677DE">
        <w:rPr>
          <w:rFonts w:cstheme="minorHAnsi" w:hint="eastAsia"/>
        </w:rPr>
        <w:t>战略和做法中充分受益；</w:t>
      </w:r>
      <w:proofErr w:type="gramEnd"/>
    </w:p>
    <w:p w14:paraId="4A685219" w14:textId="77777777" w:rsidR="00694B10" w:rsidRPr="00A677DE" w:rsidRDefault="00694B10" w:rsidP="00694B10">
      <w:pPr>
        <w:pStyle w:val="Normalnoindent"/>
        <w:spacing w:before="240"/>
        <w:rPr>
          <w:rFonts w:cstheme="minorHAnsi"/>
        </w:rPr>
      </w:pPr>
      <w:r w:rsidRPr="00A677DE">
        <w:rPr>
          <w:rFonts w:cstheme="minorHAnsi"/>
          <w:i/>
          <w:iCs/>
        </w:rPr>
        <w:t>b)</w:t>
      </w:r>
      <w:r w:rsidRPr="00A677DE">
        <w:rPr>
          <w:rFonts w:cstheme="minorHAnsi"/>
        </w:rPr>
        <w:tab/>
      </w:r>
      <w:r w:rsidRPr="00A677DE">
        <w:rPr>
          <w:rFonts w:cstheme="minorHAnsi" w:hint="eastAsia"/>
        </w:rPr>
        <w:t>这些国家需要帮助，以便在落实以成本为导向的资费结构和水平背景下掌握确定和计算费用的工具，</w:t>
      </w:r>
    </w:p>
    <w:p w14:paraId="1F225E6D" w14:textId="77777777" w:rsidR="00694B10" w:rsidRPr="00A677DE" w:rsidRDefault="00694B10" w:rsidP="00694B10">
      <w:pPr>
        <w:pStyle w:val="Call"/>
        <w:spacing w:before="240"/>
        <w:rPr>
          <w:i/>
          <w:lang w:eastAsia="zh-CN"/>
        </w:rPr>
      </w:pPr>
      <w:r w:rsidRPr="00A677DE">
        <w:rPr>
          <w:rFonts w:hint="eastAsia"/>
          <w:lang w:eastAsia="zh-CN"/>
        </w:rPr>
        <w:t>做出建议</w:t>
      </w:r>
    </w:p>
    <w:p w14:paraId="048D512B" w14:textId="77777777" w:rsidR="00694B10" w:rsidRPr="00A677DE" w:rsidRDefault="00694B10" w:rsidP="00694B10">
      <w:pPr>
        <w:pStyle w:val="Normalnoindent"/>
        <w:spacing w:before="240"/>
        <w:rPr>
          <w:rFonts w:cstheme="minorHAnsi"/>
        </w:rPr>
      </w:pPr>
      <w:r w:rsidRPr="00A677DE">
        <w:rPr>
          <w:rFonts w:cstheme="minorHAnsi"/>
          <w:bCs/>
        </w:rPr>
        <w:t>1</w:t>
      </w:r>
      <w:r w:rsidRPr="00A677DE">
        <w:rPr>
          <w:rFonts w:cstheme="minorHAnsi"/>
          <w:b/>
          <w:bCs/>
        </w:rPr>
        <w:tab/>
      </w:r>
      <w:r w:rsidRPr="00A677DE">
        <w:rPr>
          <w:rFonts w:cstheme="minorHAnsi" w:hint="eastAsia"/>
        </w:rPr>
        <w:t>公有管理机构和主管部门在建立其法律和监管框架时应该：</w:t>
      </w:r>
    </w:p>
    <w:p w14:paraId="3C6FA2BB" w14:textId="77777777" w:rsidR="00694B10" w:rsidRPr="00A677DE" w:rsidRDefault="00694B10" w:rsidP="00694B10">
      <w:pPr>
        <w:pStyle w:val="enumlev1"/>
        <w:spacing w:before="240"/>
        <w:rPr>
          <w:lang w:eastAsia="zh-CN"/>
        </w:rPr>
      </w:pPr>
      <w:r w:rsidRPr="00A677DE">
        <w:rPr>
          <w:lang w:eastAsia="zh-CN"/>
        </w:rPr>
        <w:t>a)</w:t>
      </w:r>
      <w:r w:rsidRPr="00A677DE">
        <w:rPr>
          <w:lang w:eastAsia="zh-CN"/>
        </w:rPr>
        <w:tab/>
      </w:r>
      <w:r w:rsidRPr="00A677DE">
        <w:rPr>
          <w:rFonts w:hint="eastAsia"/>
          <w:lang w:eastAsia="zh-CN"/>
        </w:rPr>
        <w:t>将重点放在确定和计算（包括互连收费在内的）</w:t>
      </w:r>
      <w:proofErr w:type="gramStart"/>
      <w:r w:rsidRPr="00A677DE">
        <w:rPr>
          <w:rFonts w:hint="eastAsia"/>
          <w:lang w:eastAsia="zh-CN"/>
        </w:rPr>
        <w:t>以成本为导向的电信服务资费的方法上；</w:t>
      </w:r>
      <w:proofErr w:type="gramEnd"/>
    </w:p>
    <w:p w14:paraId="21C2BE0C" w14:textId="77777777" w:rsidR="00694B10" w:rsidRPr="00A677DE" w:rsidRDefault="00694B10" w:rsidP="00694B10">
      <w:r w:rsidRPr="00A677DE">
        <w:br w:type="page"/>
      </w:r>
    </w:p>
    <w:p w14:paraId="47018B3B" w14:textId="77777777" w:rsidR="00694B10" w:rsidRPr="00A677DE" w:rsidRDefault="00694B10" w:rsidP="00694B10">
      <w:pPr>
        <w:pStyle w:val="enumlev1"/>
        <w:spacing w:before="240"/>
        <w:rPr>
          <w:lang w:eastAsia="zh-CN"/>
        </w:rPr>
      </w:pPr>
      <w:r w:rsidRPr="00A677DE">
        <w:rPr>
          <w:lang w:eastAsia="zh-CN"/>
        </w:rPr>
        <w:lastRenderedPageBreak/>
        <w:t>b)</w:t>
      </w:r>
      <w:r w:rsidRPr="00A677DE">
        <w:rPr>
          <w:lang w:eastAsia="zh-CN"/>
        </w:rPr>
        <w:tab/>
      </w:r>
      <w:r w:rsidRPr="00A677DE">
        <w:rPr>
          <w:rFonts w:hint="eastAsia"/>
          <w:lang w:eastAsia="zh-CN"/>
        </w:rPr>
        <w:t>采取必要措施，</w:t>
      </w:r>
      <w:proofErr w:type="gramStart"/>
      <w:r w:rsidRPr="00A677DE">
        <w:rPr>
          <w:rFonts w:hint="eastAsia"/>
          <w:lang w:eastAsia="zh-CN"/>
        </w:rPr>
        <w:t>确保向这些国家提供确定电信服务费用的适当工具；</w:t>
      </w:r>
      <w:proofErr w:type="gramEnd"/>
    </w:p>
    <w:p w14:paraId="21472B1B" w14:textId="77777777" w:rsidR="00694B10" w:rsidRPr="00A677DE" w:rsidRDefault="00694B10" w:rsidP="00694B10">
      <w:pPr>
        <w:pStyle w:val="enumlev1"/>
        <w:spacing w:before="240"/>
        <w:rPr>
          <w:lang w:eastAsia="zh-CN"/>
        </w:rPr>
      </w:pPr>
      <w:r w:rsidRPr="00A677DE">
        <w:rPr>
          <w:lang w:eastAsia="zh-CN"/>
        </w:rPr>
        <w:t>c)</w:t>
      </w:r>
      <w:r w:rsidRPr="00A677DE">
        <w:rPr>
          <w:lang w:eastAsia="zh-CN"/>
        </w:rPr>
        <w:tab/>
      </w:r>
      <w:r w:rsidRPr="00A677DE">
        <w:rPr>
          <w:rFonts w:hint="eastAsia"/>
          <w:lang w:eastAsia="zh-CN"/>
        </w:rPr>
        <w:t>准备向负责资费结构的人员提供有关世界各地现有各种模型和方法的适当培训，其中包括与国家费用相关的区域性资费模型，</w:t>
      </w:r>
    </w:p>
    <w:p w14:paraId="424D6806" w14:textId="77777777" w:rsidR="00694B10" w:rsidRPr="00A677DE" w:rsidRDefault="00694B10" w:rsidP="00694B10">
      <w:pPr>
        <w:pStyle w:val="Normalnoindent"/>
        <w:spacing w:before="240"/>
        <w:rPr>
          <w:rFonts w:cstheme="minorHAnsi"/>
        </w:rPr>
      </w:pPr>
      <w:r w:rsidRPr="00A677DE">
        <w:rPr>
          <w:rFonts w:cstheme="minorHAnsi"/>
          <w:bCs/>
        </w:rPr>
        <w:t>2</w:t>
      </w:r>
      <w:r w:rsidRPr="00A677DE">
        <w:rPr>
          <w:rFonts w:cstheme="minorHAnsi"/>
        </w:rPr>
        <w:tab/>
      </w:r>
      <w:r w:rsidRPr="00A677DE">
        <w:rPr>
          <w:rFonts w:cstheme="minorHAnsi" w:hint="eastAsia"/>
        </w:rPr>
        <w:t>在确定和计算费用时，落实</w:t>
      </w:r>
      <w:r w:rsidRPr="00A677DE">
        <w:rPr>
          <w:rFonts w:cstheme="minorHAnsi"/>
        </w:rPr>
        <w:t>ITU</w:t>
      </w:r>
      <w:r w:rsidRPr="00A677DE">
        <w:rPr>
          <w:rFonts w:cstheme="minorHAnsi"/>
        </w:rPr>
        <w:noBreakHyphen/>
        <w:t>T</w:t>
      </w:r>
      <w:r w:rsidRPr="00A677DE">
        <w:rPr>
          <w:rFonts w:cstheme="minorHAnsi" w:hint="eastAsia"/>
        </w:rPr>
        <w:t>第</w:t>
      </w:r>
      <w:r w:rsidRPr="00A677DE">
        <w:rPr>
          <w:rFonts w:cstheme="minorHAnsi"/>
        </w:rPr>
        <w:t>3</w:t>
      </w:r>
      <w:r w:rsidRPr="00A677DE">
        <w:rPr>
          <w:rFonts w:cstheme="minorHAnsi" w:hint="eastAsia"/>
        </w:rPr>
        <w:t>研究组所制定的以下一般性原则：</w:t>
      </w:r>
    </w:p>
    <w:p w14:paraId="2E9C9761" w14:textId="77777777" w:rsidR="00694B10" w:rsidRPr="00A677DE" w:rsidRDefault="00694B10" w:rsidP="00694B10">
      <w:pPr>
        <w:pStyle w:val="enumlev1"/>
        <w:spacing w:before="240"/>
        <w:rPr>
          <w:lang w:eastAsia="zh-CN"/>
        </w:rPr>
      </w:pPr>
      <w:r w:rsidRPr="00A677DE">
        <w:rPr>
          <w:lang w:eastAsia="zh-CN"/>
        </w:rPr>
        <w:t>a)</w:t>
      </w:r>
      <w:r w:rsidRPr="00A677DE">
        <w:rPr>
          <w:lang w:eastAsia="zh-CN"/>
        </w:rPr>
        <w:tab/>
      </w:r>
      <w:r w:rsidRPr="00A677DE">
        <w:rPr>
          <w:rFonts w:hint="eastAsia"/>
          <w:lang w:eastAsia="zh-CN"/>
        </w:rPr>
        <w:t>透明度，</w:t>
      </w:r>
    </w:p>
    <w:p w14:paraId="48683EFA" w14:textId="77777777" w:rsidR="00694B10" w:rsidRPr="00A677DE" w:rsidRDefault="00694B10" w:rsidP="00694B10">
      <w:pPr>
        <w:pStyle w:val="enumlev1"/>
        <w:spacing w:before="240"/>
        <w:rPr>
          <w:lang w:eastAsia="zh-CN"/>
        </w:rPr>
      </w:pPr>
      <w:r w:rsidRPr="00A677DE">
        <w:rPr>
          <w:lang w:eastAsia="zh-CN"/>
        </w:rPr>
        <w:t>b)</w:t>
      </w:r>
      <w:r w:rsidRPr="00A677DE">
        <w:rPr>
          <w:lang w:eastAsia="zh-CN"/>
        </w:rPr>
        <w:tab/>
      </w:r>
      <w:r w:rsidRPr="00A677DE">
        <w:rPr>
          <w:rFonts w:hint="eastAsia"/>
          <w:lang w:eastAsia="zh-CN"/>
        </w:rPr>
        <w:t>实用性，</w:t>
      </w:r>
    </w:p>
    <w:p w14:paraId="6244D562" w14:textId="77777777" w:rsidR="00694B10" w:rsidRPr="00A677DE" w:rsidRDefault="00694B10" w:rsidP="00694B10">
      <w:pPr>
        <w:pStyle w:val="enumlev1"/>
        <w:spacing w:before="240"/>
        <w:rPr>
          <w:lang w:eastAsia="zh-CN"/>
        </w:rPr>
      </w:pPr>
      <w:r w:rsidRPr="00A677DE">
        <w:rPr>
          <w:lang w:eastAsia="zh-CN"/>
        </w:rPr>
        <w:t>c)</w:t>
      </w:r>
      <w:r w:rsidRPr="00A677DE">
        <w:rPr>
          <w:lang w:eastAsia="zh-CN"/>
        </w:rPr>
        <w:tab/>
      </w:r>
      <w:r w:rsidRPr="00A677DE">
        <w:rPr>
          <w:rFonts w:hint="eastAsia"/>
          <w:lang w:eastAsia="zh-CN"/>
        </w:rPr>
        <w:t>客观性，</w:t>
      </w:r>
    </w:p>
    <w:p w14:paraId="05BB0545" w14:textId="77777777" w:rsidR="00694B10" w:rsidRPr="00A677DE" w:rsidRDefault="00694B10" w:rsidP="00694B10">
      <w:pPr>
        <w:pStyle w:val="enumlev1"/>
        <w:spacing w:before="240"/>
        <w:rPr>
          <w:lang w:eastAsia="zh-CN"/>
        </w:rPr>
      </w:pPr>
      <w:r w:rsidRPr="00A677DE">
        <w:rPr>
          <w:lang w:eastAsia="zh-CN"/>
        </w:rPr>
        <w:t>d)</w:t>
      </w:r>
      <w:r w:rsidRPr="00A677DE">
        <w:rPr>
          <w:lang w:eastAsia="zh-CN"/>
        </w:rPr>
        <w:tab/>
      </w:r>
      <w:r w:rsidRPr="00A677DE">
        <w:rPr>
          <w:rFonts w:hint="eastAsia"/>
          <w:lang w:eastAsia="zh-CN"/>
        </w:rPr>
        <w:t>成本因果关系，</w:t>
      </w:r>
    </w:p>
    <w:p w14:paraId="72C5D46C" w14:textId="77777777" w:rsidR="00694B10" w:rsidRPr="00A677DE" w:rsidRDefault="00694B10" w:rsidP="00694B10">
      <w:pPr>
        <w:pStyle w:val="enumlev1"/>
        <w:spacing w:before="240"/>
        <w:rPr>
          <w:lang w:eastAsia="zh-CN"/>
        </w:rPr>
      </w:pPr>
      <w:r w:rsidRPr="00A677DE">
        <w:rPr>
          <w:lang w:eastAsia="zh-CN"/>
        </w:rPr>
        <w:t>e)</w:t>
      </w:r>
      <w:r w:rsidRPr="00A677DE">
        <w:rPr>
          <w:lang w:eastAsia="zh-CN"/>
        </w:rPr>
        <w:tab/>
      </w:r>
      <w:r w:rsidRPr="00A677DE">
        <w:rPr>
          <w:rFonts w:hint="eastAsia"/>
          <w:lang w:eastAsia="zh-CN"/>
        </w:rPr>
        <w:t>成本回收，</w:t>
      </w:r>
    </w:p>
    <w:p w14:paraId="2A732175" w14:textId="77777777" w:rsidR="00694B10" w:rsidRPr="00A677DE" w:rsidRDefault="00694B10" w:rsidP="00694B10">
      <w:pPr>
        <w:pStyle w:val="Normalnoindent"/>
        <w:spacing w:before="240"/>
        <w:rPr>
          <w:rFonts w:cstheme="minorHAnsi"/>
        </w:rPr>
      </w:pPr>
      <w:r w:rsidRPr="00A677DE">
        <w:rPr>
          <w:rFonts w:cstheme="minorHAnsi"/>
          <w:bCs/>
        </w:rPr>
        <w:t>3</w:t>
      </w:r>
      <w:r w:rsidRPr="00A677DE">
        <w:rPr>
          <w:rFonts w:cstheme="minorHAnsi"/>
        </w:rPr>
        <w:tab/>
        <w:t>ITU-D</w:t>
      </w:r>
      <w:r w:rsidRPr="00A677DE">
        <w:rPr>
          <w:rFonts w:cstheme="minorHAnsi" w:hint="eastAsia"/>
        </w:rPr>
        <w:t>，尤其是电信发展局主任，应根据</w:t>
      </w:r>
      <w:r w:rsidRPr="00A677DE">
        <w:rPr>
          <w:rFonts w:cstheme="minorHAnsi"/>
        </w:rPr>
        <w:t>WTDC</w:t>
      </w:r>
      <w:r w:rsidRPr="00A677DE">
        <w:rPr>
          <w:rFonts w:cstheme="minorHAnsi"/>
        </w:rPr>
        <w:noBreakHyphen/>
        <w:t>98</w:t>
      </w:r>
      <w:r w:rsidRPr="00A677DE">
        <w:rPr>
          <w:rFonts w:cstheme="minorHAnsi" w:hint="eastAsia"/>
        </w:rPr>
        <w:t>第</w:t>
      </w:r>
      <w:r w:rsidRPr="00A677DE">
        <w:rPr>
          <w:rFonts w:cstheme="minorHAnsi"/>
        </w:rPr>
        <w:t>12</w:t>
      </w:r>
      <w:r w:rsidRPr="00A677DE">
        <w:rPr>
          <w:rFonts w:cstheme="minorHAnsi" w:hint="eastAsia"/>
        </w:rPr>
        <w:t>号决议，就落实以成本为导向的资费结构向各主管部门提供支持。</w:t>
      </w:r>
    </w:p>
    <w:p w14:paraId="1DD7407A" w14:textId="77777777" w:rsidR="00694B10" w:rsidRPr="00A677DE" w:rsidRDefault="00694B10" w:rsidP="00694B10"/>
    <w:p w14:paraId="65D139EC" w14:textId="77777777" w:rsidR="00694B10" w:rsidRPr="00A677DE" w:rsidRDefault="00694B10" w:rsidP="00694B10"/>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18E2CFE3" w:rsidR="001D3055" w:rsidRDefault="00BE1F05"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C47B69" w:rsidRPr="00C47B69">
          <w:rPr>
            <w:rFonts w:cstheme="minorHAnsi"/>
            <w:noProof/>
            <w:lang w:val="en-US" w:eastAsia="zh-CN"/>
          </w:rPr>
          <w:t>15</w:t>
        </w:r>
        <w:r w:rsidRPr="008C424D">
          <w:rPr>
            <w:rFonts w:cstheme="minorHAnsi"/>
            <w:lang w:eastAsia="zh-CN"/>
          </w:rPr>
          <w:fldChar w:fldCharType="end"/>
        </w:r>
        <w:r>
          <w:rPr>
            <w:rFonts w:cstheme="minorHAnsi" w:hint="eastAsia"/>
            <w:lang w:eastAsia="zh-CN"/>
          </w:rPr>
          <w:t>号</w:t>
        </w:r>
        <w:r w:rsidR="0018264E">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35F5BB14" w:rsidR="001D3055" w:rsidRDefault="00BE1F05"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BE1F05">
          <w:rPr>
            <w:rFonts w:cstheme="minorHAnsi"/>
            <w:noProof/>
            <w:lang w:val="en-US" w:eastAsia="zh-CN"/>
          </w:rPr>
          <w:t>15</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EB6D204" w:rsidR="001D3055" w:rsidRDefault="00BE1F05"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694B10">
          <w:rPr>
            <w:rFonts w:cstheme="minorHAnsi"/>
            <w:noProof/>
            <w:lang w:eastAsia="zh-CN"/>
          </w:rPr>
          <w:fldChar w:fldCharType="begin"/>
        </w:r>
        <w:r w:rsidRPr="00694B10">
          <w:rPr>
            <w:rFonts w:cstheme="minorHAnsi"/>
            <w:noProof/>
            <w:lang w:eastAsia="zh-CN"/>
          </w:rPr>
          <w:instrText xml:space="preserve"> STYLEREF  href  \* MERGEFORMAT </w:instrText>
        </w:r>
        <w:r w:rsidRPr="00694B10">
          <w:rPr>
            <w:rFonts w:cstheme="minorHAnsi"/>
            <w:noProof/>
            <w:lang w:eastAsia="zh-CN"/>
          </w:rPr>
          <w:fldChar w:fldCharType="separate"/>
        </w:r>
        <w:r w:rsidR="00C47B69" w:rsidRPr="00C47B69">
          <w:rPr>
            <w:rFonts w:cstheme="minorHAnsi"/>
            <w:noProof/>
            <w:lang w:val="en-US" w:eastAsia="zh-CN"/>
          </w:rPr>
          <w:t>15</w:t>
        </w:r>
        <w:r w:rsidRPr="00694B10">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8264E"/>
    <w:rsid w:val="001A0DBE"/>
    <w:rsid w:val="001D3055"/>
    <w:rsid w:val="00284B59"/>
    <w:rsid w:val="002867C1"/>
    <w:rsid w:val="003324A7"/>
    <w:rsid w:val="003D04C8"/>
    <w:rsid w:val="00564FB6"/>
    <w:rsid w:val="00677A04"/>
    <w:rsid w:val="00694B10"/>
    <w:rsid w:val="006E5CD0"/>
    <w:rsid w:val="007577EE"/>
    <w:rsid w:val="008778F6"/>
    <w:rsid w:val="008C424D"/>
    <w:rsid w:val="00BC603B"/>
    <w:rsid w:val="00BE1F05"/>
    <w:rsid w:val="00C47B69"/>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2023-10-16T13:28:00Z</cp:lastPrinted>
  <dcterms:created xsi:type="dcterms:W3CDTF">2023-10-16T13:26:00Z</dcterms:created>
  <dcterms:modified xsi:type="dcterms:W3CDTF">2023-10-16T13:54:00Z</dcterms:modified>
</cp:coreProperties>
</file>