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Default Extension="emf" ContentType="image/x-e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drawings/drawing1.xml" ContentType="application/vnd.openxmlformats-officedocument.drawingml.chartshap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A6" w:rsidRPr="003F265B" w:rsidRDefault="002C40A6" w:rsidP="0010485E">
      <w:pPr>
        <w:rPr>
          <w:lang w:val="en-GB"/>
        </w:rPr>
      </w:pPr>
    </w:p>
    <w:p w:rsidR="00ED0C71" w:rsidRPr="003F265B" w:rsidRDefault="00ED0C71" w:rsidP="0010485E">
      <w:pPr>
        <w:rPr>
          <w:lang w:val="en-GB"/>
        </w:rPr>
      </w:pPr>
    </w:p>
    <w:p w:rsidR="00526177" w:rsidRPr="003F265B" w:rsidRDefault="000B1146" w:rsidP="000B1146">
      <w:pPr>
        <w:pStyle w:val="Titlereport"/>
      </w:pPr>
      <w:bookmarkStart w:id="0" w:name="_Toc349564760"/>
      <w:bookmarkStart w:id="1" w:name="_Toc349565450"/>
      <w:bookmarkStart w:id="2" w:name="_Toc350256522"/>
      <w:bookmarkStart w:id="3" w:name="_Toc350259825"/>
      <w:bookmarkStart w:id="4" w:name="_Toc352684410"/>
      <w:bookmarkStart w:id="5" w:name="_Toc354053095"/>
      <w:bookmarkStart w:id="6" w:name="_Toc367349739"/>
      <w:bookmarkStart w:id="7" w:name="_Toc320695025"/>
      <w:bookmarkStart w:id="8" w:name="_Toc320695348"/>
      <w:bookmarkStart w:id="9" w:name="_Toc303604611"/>
      <w:bookmarkStart w:id="10" w:name="_Toc303690909"/>
      <w:r w:rsidRPr="00EE3E8D">
        <w:rPr>
          <w:lang w:val="fr-FR"/>
        </w:rPr>
        <w:t>R</w:t>
      </w:r>
      <w:r>
        <w:rPr>
          <w:lang w:val="fr-FR"/>
        </w:rPr>
        <w:t>é</w:t>
      </w:r>
      <w:r w:rsidRPr="00EE3E8D">
        <w:rPr>
          <w:lang w:val="fr-FR"/>
        </w:rPr>
        <w:t>glementation et protection des consommateurs à l'ère de la convergence</w:t>
      </w:r>
      <w:bookmarkEnd w:id="0"/>
      <w:bookmarkEnd w:id="1"/>
      <w:bookmarkEnd w:id="2"/>
      <w:bookmarkEnd w:id="3"/>
      <w:bookmarkEnd w:id="4"/>
      <w:bookmarkEnd w:id="5"/>
      <w:bookmarkEnd w:id="6"/>
    </w:p>
    <w:p w:rsidR="004A3FC4" w:rsidRPr="00054F49" w:rsidRDefault="008B2896" w:rsidP="00017552">
      <w:pPr>
        <w:jc w:val="right"/>
        <w:rPr>
          <w:b/>
          <w:bCs/>
          <w:i/>
          <w:iCs/>
          <w:sz w:val="28"/>
          <w:szCs w:val="28"/>
        </w:rPr>
      </w:pPr>
      <w:bookmarkStart w:id="11" w:name="_Toc305405615"/>
      <w:bookmarkStart w:id="12" w:name="_Toc305405833"/>
      <w:bookmarkStart w:id="13" w:name="_Toc309303084"/>
      <w:bookmarkEnd w:id="7"/>
      <w:bookmarkEnd w:id="8"/>
      <w:r w:rsidRPr="00AF6A53">
        <w:rPr>
          <w:b/>
          <w:bCs/>
          <w:i/>
          <w:iCs/>
          <w:sz w:val="28"/>
          <w:szCs w:val="28"/>
          <w:lang w:val="en-US"/>
        </w:rPr>
        <w:br/>
      </w:r>
      <w:bookmarkEnd w:id="11"/>
      <w:bookmarkEnd w:id="12"/>
      <w:bookmarkEnd w:id="13"/>
      <w:r w:rsidR="00017552">
        <w:rPr>
          <w:b/>
          <w:bCs/>
          <w:i/>
          <w:iCs/>
          <w:sz w:val="28"/>
          <w:szCs w:val="28"/>
        </w:rPr>
        <w:t>Mars</w:t>
      </w:r>
      <w:r w:rsidR="00054F49" w:rsidRPr="00054F49">
        <w:rPr>
          <w:b/>
          <w:bCs/>
          <w:i/>
          <w:iCs/>
          <w:sz w:val="28"/>
          <w:szCs w:val="28"/>
        </w:rPr>
        <w:t xml:space="preserve"> 2013</w:t>
      </w:r>
      <w:r w:rsidR="0079613F">
        <w:rPr>
          <w:b/>
          <w:bCs/>
          <w:i/>
          <w:iCs/>
          <w:sz w:val="28"/>
          <w:szCs w:val="28"/>
        </w:rPr>
        <w:t xml:space="preserve"> </w:t>
      </w:r>
    </w:p>
    <w:p w:rsidR="008B2896" w:rsidRPr="00054F49" w:rsidRDefault="008B2896" w:rsidP="00054F49">
      <w:pPr>
        <w:rPr>
          <w:lang w:val="en-US"/>
        </w:rPr>
      </w:pPr>
    </w:p>
    <w:bookmarkEnd w:id="9"/>
    <w:bookmarkEnd w:id="10"/>
    <w:p w:rsidR="00B824FE" w:rsidRPr="003F265B" w:rsidRDefault="00B824FE" w:rsidP="00054F49">
      <w:pPr>
        <w:rPr>
          <w:u w:color="E36C0A"/>
          <w:lang w:val="en-GB" w:eastAsia="zh-CN"/>
        </w:rPr>
      </w:pPr>
    </w:p>
    <w:p w:rsidR="00C7150D" w:rsidRPr="003F265B" w:rsidRDefault="00C7150D" w:rsidP="00C7150D">
      <w:pPr>
        <w:rPr>
          <w:u w:color="E36C0A"/>
          <w:lang w:val="en-GB" w:eastAsia="zh-CN"/>
        </w:rPr>
      </w:pPr>
    </w:p>
    <w:p w:rsidR="00C7150D" w:rsidRPr="003F265B" w:rsidRDefault="00C7150D" w:rsidP="00C7150D">
      <w:pPr>
        <w:rPr>
          <w:u w:color="E36C0A"/>
          <w:lang w:val="en-GB" w:eastAsia="zh-CN"/>
        </w:rPr>
      </w:pPr>
    </w:p>
    <w:p w:rsidR="00C7150D" w:rsidRPr="003F265B" w:rsidRDefault="00C7150D" w:rsidP="00C7150D">
      <w:pPr>
        <w:rPr>
          <w:u w:color="E36C0A"/>
          <w:lang w:val="en-GB" w:eastAsia="zh-CN"/>
        </w:rPr>
      </w:pPr>
    </w:p>
    <w:p w:rsidR="00C7150D" w:rsidRPr="003F265B" w:rsidRDefault="00C7150D" w:rsidP="00C7150D">
      <w:pPr>
        <w:rPr>
          <w:u w:color="E36C0A"/>
          <w:lang w:val="en-GB" w:eastAsia="zh-CN"/>
        </w:rPr>
      </w:pPr>
    </w:p>
    <w:p w:rsidR="00C7150D" w:rsidRPr="003F265B" w:rsidRDefault="00C7150D" w:rsidP="00C7150D">
      <w:pPr>
        <w:rPr>
          <w:u w:color="E36C0A"/>
          <w:lang w:val="en-GB" w:eastAsia="zh-CN"/>
        </w:rPr>
      </w:pPr>
    </w:p>
    <w:p w:rsidR="00C7150D" w:rsidRPr="003F265B" w:rsidRDefault="00C7150D" w:rsidP="00C7150D">
      <w:pPr>
        <w:rPr>
          <w:u w:color="E36C0A"/>
          <w:lang w:val="en-GB" w:eastAsia="zh-CN"/>
        </w:rPr>
      </w:pPr>
    </w:p>
    <w:p w:rsidR="00C7150D" w:rsidRPr="003F265B" w:rsidRDefault="00C7150D" w:rsidP="00C7150D">
      <w:pPr>
        <w:rPr>
          <w:u w:color="E36C0A"/>
          <w:lang w:val="en-GB" w:eastAsia="zh-CN"/>
        </w:rPr>
      </w:pPr>
    </w:p>
    <w:p w:rsidR="00C7150D" w:rsidRPr="003F265B" w:rsidRDefault="00C7150D" w:rsidP="00C7150D">
      <w:pPr>
        <w:rPr>
          <w:u w:color="E36C0A"/>
          <w:lang w:val="en-GB" w:eastAsia="zh-CN"/>
        </w:rPr>
      </w:pPr>
    </w:p>
    <w:p w:rsidR="00C7150D" w:rsidRPr="003F265B" w:rsidRDefault="00C7150D" w:rsidP="00C7150D">
      <w:pPr>
        <w:rPr>
          <w:u w:color="E36C0A"/>
          <w:lang w:val="en-GB"/>
        </w:rPr>
      </w:pPr>
    </w:p>
    <w:p w:rsidR="00C7150D" w:rsidRPr="003F265B" w:rsidRDefault="00C7150D" w:rsidP="00C7150D">
      <w:pPr>
        <w:rPr>
          <w:u w:color="E36C0A"/>
          <w:lang w:val="en-GB"/>
        </w:rPr>
      </w:pPr>
    </w:p>
    <w:p w:rsidR="00C7150D" w:rsidRPr="003F265B" w:rsidRDefault="00C7150D" w:rsidP="00C7150D">
      <w:pPr>
        <w:rPr>
          <w:u w:color="E36C0A"/>
          <w:lang w:val="en-GB"/>
        </w:rPr>
      </w:pPr>
    </w:p>
    <w:p w:rsidR="00C7150D" w:rsidRPr="003F265B" w:rsidRDefault="00C7150D" w:rsidP="00C7150D">
      <w:pPr>
        <w:rPr>
          <w:u w:color="E36C0A"/>
          <w:lang w:val="en-GB"/>
        </w:rPr>
      </w:pPr>
    </w:p>
    <w:p w:rsidR="0080173C" w:rsidRPr="003F265B" w:rsidRDefault="0080173C" w:rsidP="00C7150D">
      <w:pPr>
        <w:rPr>
          <w:u w:color="E36C0A"/>
          <w:lang w:val="en-GB"/>
        </w:rPr>
      </w:pPr>
    </w:p>
    <w:p w:rsidR="008B0C46" w:rsidRPr="003F265B" w:rsidRDefault="008B0C46" w:rsidP="00C7150D">
      <w:pPr>
        <w:rPr>
          <w:u w:color="E36C0A"/>
          <w:lang w:val="en-GB"/>
        </w:rPr>
      </w:pPr>
    </w:p>
    <w:p w:rsidR="008B0C46" w:rsidRPr="003F265B" w:rsidRDefault="008B0C46" w:rsidP="00C7150D">
      <w:pPr>
        <w:rPr>
          <w:u w:color="E36C0A"/>
          <w:lang w:val="en-GB"/>
        </w:rPr>
      </w:pPr>
    </w:p>
    <w:p w:rsidR="008B0C46" w:rsidRPr="003F265B" w:rsidRDefault="008B0C46" w:rsidP="00C7150D">
      <w:pPr>
        <w:rPr>
          <w:u w:color="E36C0A"/>
          <w:lang w:val="en-GB"/>
        </w:rPr>
      </w:pPr>
    </w:p>
    <w:p w:rsidR="0080173C" w:rsidRPr="003F265B" w:rsidRDefault="0080173C" w:rsidP="00C7150D">
      <w:pPr>
        <w:rPr>
          <w:u w:color="E36C0A"/>
          <w:lang w:val="en-GB"/>
        </w:rPr>
      </w:pPr>
    </w:p>
    <w:p w:rsidR="00C7150D" w:rsidRPr="003F265B" w:rsidRDefault="00C7150D" w:rsidP="00C7150D">
      <w:pPr>
        <w:rPr>
          <w:u w:color="E36C0A"/>
          <w:lang w:val="en-GB"/>
        </w:rPr>
      </w:pPr>
    </w:p>
    <w:p w:rsidR="00B824FE" w:rsidRPr="003F265B" w:rsidRDefault="00B824FE" w:rsidP="00B824FE">
      <w:pPr>
        <w:rPr>
          <w:rFonts w:eastAsia="Times New Roman"/>
          <w:lang w:val="en-GB"/>
        </w:rPr>
      </w:pPr>
    </w:p>
    <w:p w:rsidR="00B824FE" w:rsidRPr="003F265B" w:rsidRDefault="00B824FE" w:rsidP="00B824FE">
      <w:pPr>
        <w:rPr>
          <w:rFonts w:eastAsia="Times New Roman"/>
          <w:lang w:val="en-GB"/>
        </w:rPr>
      </w:pPr>
    </w:p>
    <w:tbl>
      <w:tblPr>
        <w:tblStyle w:val="TableGrid1"/>
        <w:tblW w:w="0" w:type="auto"/>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tblPr>
      <w:tblGrid>
        <w:gridCol w:w="7523"/>
        <w:gridCol w:w="1764"/>
      </w:tblGrid>
      <w:tr w:rsidR="00B824FE" w:rsidRPr="003F265B" w:rsidTr="004A3FC4">
        <w:tc>
          <w:tcPr>
            <w:tcW w:w="7763" w:type="dxa"/>
          </w:tcPr>
          <w:p w:rsidR="00B824FE" w:rsidRPr="003F265B" w:rsidRDefault="00B824FE" w:rsidP="00B824FE">
            <w:pPr>
              <w:spacing w:before="0"/>
              <w:jc w:val="left"/>
              <w:rPr>
                <w:shd w:val="clear" w:color="auto" w:fill="E6F3B7"/>
                <w:lang w:val="en-GB"/>
              </w:rPr>
            </w:pPr>
          </w:p>
        </w:tc>
        <w:tc>
          <w:tcPr>
            <w:tcW w:w="1815" w:type="dxa"/>
            <w:vAlign w:val="bottom"/>
          </w:tcPr>
          <w:p w:rsidR="00B824FE" w:rsidRPr="003F265B" w:rsidRDefault="00B824FE" w:rsidP="00B824FE">
            <w:pPr>
              <w:spacing w:before="0"/>
              <w:jc w:val="right"/>
              <w:rPr>
                <w:shd w:val="clear" w:color="auto" w:fill="E6F3B7"/>
                <w:lang w:val="en-GB"/>
              </w:rPr>
            </w:pPr>
          </w:p>
        </w:tc>
      </w:tr>
    </w:tbl>
    <w:p w:rsidR="008E64AB" w:rsidRPr="003F265B" w:rsidRDefault="008E64AB">
      <w:pPr>
        <w:spacing w:before="0"/>
        <w:jc w:val="left"/>
        <w:rPr>
          <w:lang w:val="en-GB"/>
        </w:rPr>
      </w:pPr>
      <w:r w:rsidRPr="003F265B">
        <w:rPr>
          <w:lang w:val="en-GB"/>
        </w:rPr>
        <w:br w:type="page"/>
      </w:r>
      <w:r w:rsidR="00B70822" w:rsidRPr="003F265B">
        <w:rPr>
          <w:noProof/>
          <w:lang w:val="en-US" w:eastAsia="zh-CN"/>
        </w:rPr>
        <w:drawing>
          <wp:anchor distT="0" distB="0" distL="114300" distR="114300" simplePos="0" relativeHeight="251658752" behindDoc="0" locked="0" layoutInCell="1" allowOverlap="1">
            <wp:simplePos x="0" y="0"/>
            <wp:positionH relativeFrom="margin">
              <wp:align>right</wp:align>
            </wp:positionH>
            <wp:positionV relativeFrom="margin">
              <wp:align>bottom</wp:align>
            </wp:positionV>
            <wp:extent cx="723900" cy="819150"/>
            <wp:effectExtent l="0" t="0" r="0" b="0"/>
            <wp:wrapSquare wrapText="bothSides"/>
            <wp:docPr id="14" name="Picture 11" descr="sigleI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25805" cy="818515"/>
                    </a:xfrm>
                    <a:prstGeom prst="rect">
                      <a:avLst/>
                    </a:prstGeom>
                  </pic:spPr>
                </pic:pic>
              </a:graphicData>
            </a:graphic>
          </wp:anchor>
        </w:drawing>
      </w:r>
    </w:p>
    <w:p w:rsidR="00234E6B" w:rsidRPr="003F265B" w:rsidRDefault="00234E6B" w:rsidP="0010485E">
      <w:pPr>
        <w:rPr>
          <w:lang w:val="en-GB"/>
        </w:rPr>
      </w:pPr>
    </w:p>
    <w:p w:rsidR="00234E6B" w:rsidRPr="003F265B" w:rsidRDefault="00234E6B" w:rsidP="0010485E">
      <w:pPr>
        <w:rPr>
          <w:lang w:val="en-GB"/>
        </w:rPr>
      </w:pPr>
    </w:p>
    <w:p w:rsidR="000A67CB" w:rsidRPr="003F265B" w:rsidRDefault="00D85B27" w:rsidP="00054F49">
      <w:pPr>
        <w:pStyle w:val="Figure"/>
        <w:ind w:left="0" w:firstLine="0"/>
        <w:jc w:val="left"/>
      </w:pPr>
      <w:r w:rsidRPr="005934A2">
        <w:rPr>
          <w:sz w:val="22"/>
        </w:rPr>
        <w:t xml:space="preserve">Le </w:t>
      </w:r>
      <w:proofErr w:type="spellStart"/>
      <w:r w:rsidRPr="005934A2">
        <w:rPr>
          <w:sz w:val="22"/>
        </w:rPr>
        <w:t>présent</w:t>
      </w:r>
      <w:proofErr w:type="spellEnd"/>
      <w:r w:rsidRPr="005934A2">
        <w:rPr>
          <w:sz w:val="22"/>
        </w:rPr>
        <w:t xml:space="preserve"> rapport a </w:t>
      </w:r>
      <w:proofErr w:type="spellStart"/>
      <w:r w:rsidRPr="005934A2">
        <w:rPr>
          <w:sz w:val="22"/>
        </w:rPr>
        <w:t>été</w:t>
      </w:r>
      <w:proofErr w:type="spellEnd"/>
      <w:r w:rsidRPr="005934A2">
        <w:rPr>
          <w:sz w:val="22"/>
        </w:rPr>
        <w:t xml:space="preserve"> </w:t>
      </w:r>
      <w:proofErr w:type="spellStart"/>
      <w:r w:rsidRPr="005934A2">
        <w:rPr>
          <w:sz w:val="22"/>
        </w:rPr>
        <w:t>élaboré</w:t>
      </w:r>
      <w:proofErr w:type="spellEnd"/>
      <w:r w:rsidRPr="005934A2">
        <w:rPr>
          <w:sz w:val="22"/>
        </w:rPr>
        <w:t xml:space="preserve"> par Rosalind Stevens </w:t>
      </w:r>
      <w:proofErr w:type="spellStart"/>
      <w:r w:rsidRPr="005934A2">
        <w:rPr>
          <w:sz w:val="22"/>
        </w:rPr>
        <w:t>sous</w:t>
      </w:r>
      <w:proofErr w:type="spellEnd"/>
      <w:r w:rsidRPr="005934A2">
        <w:rPr>
          <w:sz w:val="22"/>
        </w:rPr>
        <w:t xml:space="preserve"> la direction de la Division de </w:t>
      </w:r>
      <w:proofErr w:type="spellStart"/>
      <w:r w:rsidRPr="005934A2">
        <w:rPr>
          <w:sz w:val="22"/>
        </w:rPr>
        <w:t>l'environnement</w:t>
      </w:r>
      <w:proofErr w:type="spellEnd"/>
      <w:r w:rsidRPr="005934A2">
        <w:rPr>
          <w:sz w:val="22"/>
        </w:rPr>
        <w:t xml:space="preserve"> </w:t>
      </w:r>
      <w:proofErr w:type="spellStart"/>
      <w:r w:rsidRPr="005934A2">
        <w:rPr>
          <w:sz w:val="22"/>
        </w:rPr>
        <w:t>réglementaire</w:t>
      </w:r>
      <w:proofErr w:type="spellEnd"/>
      <w:r w:rsidRPr="005934A2">
        <w:rPr>
          <w:sz w:val="22"/>
        </w:rPr>
        <w:t xml:space="preserve"> </w:t>
      </w:r>
      <w:proofErr w:type="gramStart"/>
      <w:r w:rsidRPr="005934A2">
        <w:rPr>
          <w:sz w:val="22"/>
        </w:rPr>
        <w:t>et</w:t>
      </w:r>
      <w:proofErr w:type="gramEnd"/>
      <w:r w:rsidRPr="005934A2">
        <w:rPr>
          <w:sz w:val="22"/>
        </w:rPr>
        <w:t xml:space="preserve"> commercial du BDT.</w:t>
      </w:r>
    </w:p>
    <w:p w:rsidR="00234E6B" w:rsidRPr="003F265B" w:rsidRDefault="00234E6B" w:rsidP="0010485E">
      <w:pPr>
        <w:rPr>
          <w:lang w:val="en-GB"/>
        </w:rPr>
      </w:pPr>
    </w:p>
    <w:p w:rsidR="00A20B07" w:rsidRPr="003F265B" w:rsidRDefault="00A20B07" w:rsidP="0010485E">
      <w:pPr>
        <w:rPr>
          <w:lang w:val="en-GB"/>
        </w:rPr>
      </w:pPr>
    </w:p>
    <w:p w:rsidR="00A20B07" w:rsidRPr="003F265B" w:rsidRDefault="00A20B07" w:rsidP="0010485E">
      <w:pPr>
        <w:rPr>
          <w:lang w:val="en-GB"/>
        </w:rPr>
      </w:pPr>
    </w:p>
    <w:p w:rsidR="00A20B07" w:rsidRPr="003F265B" w:rsidRDefault="00A20B07" w:rsidP="0010485E">
      <w:pPr>
        <w:rPr>
          <w:lang w:val="en-GB"/>
        </w:rPr>
      </w:pPr>
    </w:p>
    <w:p w:rsidR="00A20B07" w:rsidRPr="003F265B" w:rsidRDefault="00A20B07" w:rsidP="0010485E">
      <w:pPr>
        <w:rPr>
          <w:lang w:val="en-GB"/>
        </w:rPr>
      </w:pPr>
    </w:p>
    <w:p w:rsidR="00A20B07" w:rsidRPr="003F265B" w:rsidRDefault="00A20B07" w:rsidP="0010485E">
      <w:pPr>
        <w:rPr>
          <w:lang w:val="en-GB"/>
        </w:rPr>
      </w:pPr>
    </w:p>
    <w:p w:rsidR="00A20B07" w:rsidRPr="003F265B" w:rsidRDefault="00A20B07" w:rsidP="0010485E">
      <w:pPr>
        <w:rPr>
          <w:lang w:val="en-GB"/>
        </w:rPr>
      </w:pPr>
    </w:p>
    <w:p w:rsidR="00A20B07" w:rsidRPr="003F265B" w:rsidRDefault="00A20B07" w:rsidP="0010485E">
      <w:pPr>
        <w:rPr>
          <w:lang w:val="en-GB"/>
        </w:rPr>
      </w:pPr>
    </w:p>
    <w:p w:rsidR="00234E6B" w:rsidRPr="003F265B" w:rsidRDefault="00234E6B" w:rsidP="0010485E">
      <w:pPr>
        <w:rPr>
          <w:lang w:val="en-GB"/>
        </w:rPr>
      </w:pPr>
    </w:p>
    <w:p w:rsidR="00234E6B" w:rsidRPr="003F265B" w:rsidRDefault="00234E6B" w:rsidP="0010485E">
      <w:pPr>
        <w:rPr>
          <w:lang w:val="en-GB"/>
        </w:rPr>
      </w:pPr>
    </w:p>
    <w:p w:rsidR="00234E6B" w:rsidRPr="003F265B" w:rsidRDefault="00234E6B" w:rsidP="0010485E">
      <w:pPr>
        <w:rPr>
          <w:lang w:val="en-GB"/>
        </w:rPr>
      </w:pPr>
    </w:p>
    <w:p w:rsidR="00234E6B" w:rsidRPr="003F265B" w:rsidRDefault="00234E6B" w:rsidP="0010485E">
      <w:pPr>
        <w:rPr>
          <w:lang w:val="en-GB"/>
        </w:rPr>
      </w:pPr>
    </w:p>
    <w:p w:rsidR="00234E6B" w:rsidRPr="003F265B" w:rsidRDefault="00234E6B" w:rsidP="0010485E">
      <w:pPr>
        <w:rPr>
          <w:lang w:val="en-GB"/>
        </w:rPr>
      </w:pPr>
    </w:p>
    <w:p w:rsidR="004621F9" w:rsidRPr="003F265B" w:rsidRDefault="004621F9" w:rsidP="0010485E">
      <w:pPr>
        <w:rPr>
          <w:lang w:val="en-GB"/>
        </w:rPr>
      </w:pPr>
    </w:p>
    <w:p w:rsidR="000A67CB" w:rsidRPr="003F265B" w:rsidRDefault="000A67CB" w:rsidP="0010485E">
      <w:pPr>
        <w:rPr>
          <w:lang w:val="en-GB"/>
        </w:rPr>
      </w:pPr>
    </w:p>
    <w:p w:rsidR="0047647C" w:rsidRPr="003F265B" w:rsidRDefault="0047647C" w:rsidP="0010485E">
      <w:pPr>
        <w:rPr>
          <w:lang w:val="en-GB"/>
        </w:rPr>
      </w:pPr>
    </w:p>
    <w:p w:rsidR="0080173C" w:rsidRPr="003F265B" w:rsidRDefault="0080173C" w:rsidP="0010485E">
      <w:pPr>
        <w:rPr>
          <w:lang w:val="en-GB"/>
        </w:rPr>
      </w:pPr>
    </w:p>
    <w:p w:rsidR="0080173C" w:rsidRPr="003F265B" w:rsidRDefault="0080173C" w:rsidP="0010485E">
      <w:pPr>
        <w:rPr>
          <w:lang w:val="en-GB"/>
        </w:rPr>
      </w:pPr>
    </w:p>
    <w:p w:rsidR="0047647C" w:rsidRPr="003F265B" w:rsidRDefault="0047647C" w:rsidP="0010485E">
      <w:pPr>
        <w:rPr>
          <w:lang w:val="en-GB"/>
        </w:rPr>
      </w:pPr>
    </w:p>
    <w:p w:rsidR="0047647C" w:rsidRPr="003F265B" w:rsidRDefault="0047647C" w:rsidP="0010485E">
      <w:pPr>
        <w:rPr>
          <w:lang w:val="en-GB"/>
        </w:rPr>
      </w:pPr>
    </w:p>
    <w:p w:rsidR="0047647C" w:rsidRPr="003F265B" w:rsidRDefault="0047647C" w:rsidP="0010485E">
      <w:pPr>
        <w:rPr>
          <w:lang w:val="en-GB"/>
        </w:rPr>
      </w:pPr>
    </w:p>
    <w:p w:rsidR="0047647C" w:rsidRPr="003F265B" w:rsidRDefault="0047647C" w:rsidP="0010485E">
      <w:pPr>
        <w:rPr>
          <w:lang w:val="en-GB"/>
        </w:rPr>
      </w:pPr>
    </w:p>
    <w:p w:rsidR="00FB79B8" w:rsidRPr="003F265B" w:rsidRDefault="00FB79B8" w:rsidP="0010485E">
      <w:pPr>
        <w:rPr>
          <w:lang w:val="en-GB"/>
        </w:rPr>
      </w:pPr>
    </w:p>
    <w:p w:rsidR="00A31531" w:rsidRPr="003F265B" w:rsidRDefault="00A31531" w:rsidP="0010485E">
      <w:pPr>
        <w:rPr>
          <w:lang w:val="en-GB"/>
        </w:rPr>
      </w:pPr>
    </w:p>
    <w:p w:rsidR="00A31531" w:rsidRPr="003F265B" w:rsidRDefault="00A31531" w:rsidP="0010485E">
      <w:pPr>
        <w:rPr>
          <w:lang w:val="en-GB"/>
        </w:rPr>
      </w:pPr>
    </w:p>
    <w:p w:rsidR="00FB79B8" w:rsidRPr="003F265B" w:rsidRDefault="00FB79B8" w:rsidP="0010485E">
      <w:pPr>
        <w:rPr>
          <w:lang w:val="en-GB"/>
        </w:rPr>
      </w:pPr>
    </w:p>
    <w:p w:rsidR="00750EB0" w:rsidRPr="003F265B" w:rsidRDefault="00750EB0" w:rsidP="0010485E">
      <w:pPr>
        <w:rPr>
          <w:lang w:val="en-GB"/>
        </w:rPr>
      </w:pPr>
    </w:p>
    <w:p w:rsidR="00750EB0" w:rsidRPr="003F265B" w:rsidRDefault="00750EB0" w:rsidP="00D72813">
      <w:pPr>
        <w:rPr>
          <w:lang w:val="en-GB"/>
        </w:rPr>
      </w:pPr>
      <w:r w:rsidRPr="003F265B">
        <w:rPr>
          <w:rFonts w:ascii="Arial" w:hAnsi="Arial"/>
          <w:color w:val="008000"/>
          <w:sz w:val="52"/>
          <w:szCs w:val="52"/>
          <w:lang w:val="en-GB"/>
        </w:rPr>
        <w:sym w:font="Webdings" w:char="F050"/>
      </w:r>
      <w:r w:rsidRPr="003F265B">
        <w:rPr>
          <w:rFonts w:ascii="Arial" w:hAnsi="Arial"/>
          <w:sz w:val="28"/>
          <w:szCs w:val="28"/>
          <w:lang w:val="en-GB"/>
        </w:rPr>
        <w:t xml:space="preserve"> </w:t>
      </w:r>
      <w:r w:rsidR="00D72813">
        <w:rPr>
          <w:rFonts w:ascii="Arial" w:hAnsi="Arial"/>
          <w:b/>
          <w:bCs/>
          <w:color w:val="008000"/>
          <w:lang w:val="en-GB"/>
        </w:rPr>
        <w:t xml:space="preserve"> </w:t>
      </w:r>
      <w:proofErr w:type="spellStart"/>
      <w:r w:rsidR="00D72813">
        <w:rPr>
          <w:rFonts w:ascii="Arial" w:hAnsi="Arial"/>
          <w:b/>
          <w:bCs/>
          <w:color w:val="008000"/>
          <w:lang w:val="en-GB"/>
        </w:rPr>
        <w:t>Merci</w:t>
      </w:r>
      <w:proofErr w:type="spellEnd"/>
      <w:r w:rsidR="00D72813">
        <w:rPr>
          <w:rFonts w:ascii="Arial" w:hAnsi="Arial"/>
          <w:b/>
          <w:bCs/>
          <w:color w:val="008000"/>
          <w:lang w:val="en-GB"/>
        </w:rPr>
        <w:t xml:space="preserve"> de </w:t>
      </w:r>
      <w:proofErr w:type="spellStart"/>
      <w:r w:rsidR="00D72813">
        <w:rPr>
          <w:rFonts w:ascii="Arial" w:hAnsi="Arial"/>
          <w:b/>
          <w:bCs/>
          <w:color w:val="008000"/>
          <w:lang w:val="en-GB"/>
        </w:rPr>
        <w:t>penser</w:t>
      </w:r>
      <w:proofErr w:type="spellEnd"/>
      <w:r w:rsidR="00D72813">
        <w:rPr>
          <w:rFonts w:ascii="Arial" w:hAnsi="Arial"/>
          <w:b/>
          <w:bCs/>
          <w:color w:val="008000"/>
          <w:lang w:val="en-GB"/>
        </w:rPr>
        <w:t xml:space="preserve"> à </w:t>
      </w:r>
      <w:proofErr w:type="spellStart"/>
      <w:r w:rsidR="00D72813">
        <w:rPr>
          <w:rFonts w:ascii="Arial" w:hAnsi="Arial"/>
          <w:b/>
          <w:bCs/>
          <w:color w:val="008000"/>
          <w:lang w:val="en-GB"/>
        </w:rPr>
        <w:t>l’environnement</w:t>
      </w:r>
      <w:proofErr w:type="spellEnd"/>
      <w:r w:rsidR="00D72813">
        <w:rPr>
          <w:rFonts w:ascii="Arial" w:hAnsi="Arial"/>
          <w:b/>
          <w:bCs/>
          <w:color w:val="008000"/>
          <w:lang w:val="en-GB"/>
        </w:rPr>
        <w:t xml:space="preserve"> </w:t>
      </w:r>
      <w:proofErr w:type="spellStart"/>
      <w:r w:rsidR="00D72813">
        <w:rPr>
          <w:rFonts w:ascii="Arial" w:hAnsi="Arial"/>
          <w:b/>
          <w:bCs/>
          <w:color w:val="008000"/>
          <w:lang w:val="en-GB"/>
        </w:rPr>
        <w:t>avant</w:t>
      </w:r>
      <w:proofErr w:type="spellEnd"/>
      <w:r w:rsidR="00D72813">
        <w:rPr>
          <w:rFonts w:ascii="Arial" w:hAnsi="Arial"/>
          <w:b/>
          <w:bCs/>
          <w:color w:val="008000"/>
          <w:lang w:val="en-GB"/>
        </w:rPr>
        <w:t xml:space="preserve"> </w:t>
      </w:r>
      <w:proofErr w:type="spellStart"/>
      <w:r w:rsidR="00D72813">
        <w:rPr>
          <w:rFonts w:ascii="Arial" w:hAnsi="Arial"/>
          <w:b/>
          <w:bCs/>
          <w:color w:val="008000"/>
          <w:lang w:val="en-GB"/>
        </w:rPr>
        <w:t>d’imprimer</w:t>
      </w:r>
      <w:proofErr w:type="spellEnd"/>
      <w:r w:rsidR="00D72813">
        <w:rPr>
          <w:rFonts w:ascii="Arial" w:hAnsi="Arial"/>
          <w:b/>
          <w:bCs/>
          <w:color w:val="008000"/>
          <w:lang w:val="en-GB"/>
        </w:rPr>
        <w:t xml:space="preserve"> </w:t>
      </w:r>
      <w:proofErr w:type="spellStart"/>
      <w:proofErr w:type="gramStart"/>
      <w:r w:rsidR="00D72813">
        <w:rPr>
          <w:rFonts w:ascii="Arial" w:hAnsi="Arial"/>
          <w:b/>
          <w:bCs/>
          <w:color w:val="008000"/>
          <w:lang w:val="en-GB"/>
        </w:rPr>
        <w:t>ce</w:t>
      </w:r>
      <w:proofErr w:type="spellEnd"/>
      <w:proofErr w:type="gramEnd"/>
      <w:r w:rsidR="00D72813">
        <w:rPr>
          <w:rFonts w:ascii="Arial" w:hAnsi="Arial"/>
          <w:b/>
          <w:bCs/>
          <w:color w:val="008000"/>
          <w:lang w:val="en-GB"/>
        </w:rPr>
        <w:t xml:space="preserve"> rapport</w:t>
      </w:r>
      <w:r w:rsidRPr="003F265B">
        <w:rPr>
          <w:rFonts w:ascii="Arial" w:hAnsi="Arial"/>
          <w:b/>
          <w:bCs/>
          <w:color w:val="008000"/>
          <w:lang w:val="en-GB"/>
        </w:rPr>
        <w:t>.</w:t>
      </w:r>
    </w:p>
    <w:p w:rsidR="00750EB0" w:rsidRPr="003F265B" w:rsidRDefault="00750EB0" w:rsidP="00750EB0">
      <w:pPr>
        <w:rPr>
          <w:lang w:val="en-GB"/>
        </w:rPr>
      </w:pPr>
    </w:p>
    <w:p w:rsidR="00750EB0" w:rsidRPr="003F265B" w:rsidRDefault="00750EB0" w:rsidP="00750EB0">
      <w:pPr>
        <w:spacing w:before="360"/>
        <w:ind w:left="1060" w:right="848"/>
        <w:jc w:val="center"/>
        <w:rPr>
          <w:rFonts w:asciiTheme="minorHAnsi" w:hAnsiTheme="minorHAnsi"/>
          <w:lang w:val="en-GB"/>
        </w:rPr>
      </w:pPr>
      <w:r w:rsidRPr="003F265B">
        <w:rPr>
          <w:rFonts w:ascii="Symbol" w:hAnsi="Symbol"/>
          <w:lang w:val="en-GB"/>
        </w:rPr>
        <w:t></w:t>
      </w:r>
      <w:r w:rsidRPr="003F265B">
        <w:rPr>
          <w:lang w:val="en-GB"/>
        </w:rPr>
        <w:t xml:space="preserve"> </w:t>
      </w:r>
      <w:r w:rsidR="00017552">
        <w:rPr>
          <w:rFonts w:asciiTheme="minorHAnsi" w:hAnsiTheme="minorHAnsi"/>
          <w:lang w:val="en-GB"/>
        </w:rPr>
        <w:t>UIT</w:t>
      </w:r>
      <w:r w:rsidR="00CA1062" w:rsidRPr="003F265B">
        <w:rPr>
          <w:rFonts w:asciiTheme="minorHAnsi" w:hAnsiTheme="minorHAnsi"/>
          <w:lang w:val="en-GB"/>
        </w:rPr>
        <w:t xml:space="preserve"> 2013</w:t>
      </w:r>
    </w:p>
    <w:p w:rsidR="00750EB0" w:rsidRPr="003F265B" w:rsidRDefault="00D72813" w:rsidP="00254403">
      <w:pPr>
        <w:rPr>
          <w:lang w:val="en-GB"/>
        </w:rPr>
      </w:pPr>
      <w:bookmarkStart w:id="14" w:name="_Toc290027810"/>
      <w:bookmarkStart w:id="15" w:name="_Toc290373307"/>
      <w:proofErr w:type="spellStart"/>
      <w:r>
        <w:rPr>
          <w:lang w:val="en-GB"/>
        </w:rPr>
        <w:t>Tous</w:t>
      </w:r>
      <w:proofErr w:type="spellEnd"/>
      <w:r>
        <w:rPr>
          <w:lang w:val="en-GB"/>
        </w:rPr>
        <w:t xml:space="preserve"> </w:t>
      </w:r>
      <w:proofErr w:type="spellStart"/>
      <w:r>
        <w:rPr>
          <w:lang w:val="en-GB"/>
        </w:rPr>
        <w:t>droits</w:t>
      </w:r>
      <w:proofErr w:type="spellEnd"/>
      <w:r>
        <w:rPr>
          <w:lang w:val="en-GB"/>
        </w:rPr>
        <w:t xml:space="preserve"> </w:t>
      </w:r>
      <w:proofErr w:type="spellStart"/>
      <w:r w:rsidR="00254403">
        <w:rPr>
          <w:lang w:val="en-GB"/>
        </w:rPr>
        <w:t>ré</w:t>
      </w:r>
      <w:r>
        <w:rPr>
          <w:lang w:val="en-GB"/>
        </w:rPr>
        <w:t>serv</w:t>
      </w:r>
      <w:r w:rsidR="00254403">
        <w:rPr>
          <w:lang w:val="en-GB"/>
        </w:rPr>
        <w:t>é</w:t>
      </w:r>
      <w:r>
        <w:rPr>
          <w:lang w:val="en-GB"/>
        </w:rPr>
        <w:t>s</w:t>
      </w:r>
      <w:proofErr w:type="spellEnd"/>
      <w:r w:rsidR="00AB4812" w:rsidRPr="003F265B">
        <w:rPr>
          <w:lang w:val="en-GB"/>
        </w:rPr>
        <w:t>.</w:t>
      </w:r>
      <w:r>
        <w:rPr>
          <w:lang w:val="en-GB"/>
        </w:rPr>
        <w:t xml:space="preserve"> </w:t>
      </w:r>
      <w:proofErr w:type="spellStart"/>
      <w:r>
        <w:rPr>
          <w:lang w:val="en-GB"/>
        </w:rPr>
        <w:t>Aucune</w:t>
      </w:r>
      <w:proofErr w:type="spellEnd"/>
      <w:r>
        <w:rPr>
          <w:lang w:val="en-GB"/>
        </w:rPr>
        <w:t xml:space="preserve"> </w:t>
      </w:r>
      <w:proofErr w:type="spellStart"/>
      <w:r>
        <w:rPr>
          <w:lang w:val="en-GB"/>
        </w:rPr>
        <w:t>partie</w:t>
      </w:r>
      <w:proofErr w:type="spellEnd"/>
      <w:r>
        <w:rPr>
          <w:lang w:val="en-GB"/>
        </w:rPr>
        <w:t xml:space="preserve"> de </w:t>
      </w:r>
      <w:proofErr w:type="spellStart"/>
      <w:r>
        <w:rPr>
          <w:lang w:val="en-GB"/>
        </w:rPr>
        <w:t>cette</w:t>
      </w:r>
      <w:proofErr w:type="spellEnd"/>
      <w:r>
        <w:rPr>
          <w:lang w:val="en-GB"/>
        </w:rPr>
        <w:t xml:space="preserve"> publication ne </w:t>
      </w:r>
      <w:proofErr w:type="spellStart"/>
      <w:r>
        <w:rPr>
          <w:lang w:val="en-GB"/>
        </w:rPr>
        <w:t>peut</w:t>
      </w:r>
      <w:proofErr w:type="spellEnd"/>
      <w:r>
        <w:rPr>
          <w:lang w:val="en-GB"/>
        </w:rPr>
        <w:t xml:space="preserve"> </w:t>
      </w:r>
      <w:proofErr w:type="spellStart"/>
      <w:r>
        <w:rPr>
          <w:lang w:val="en-GB"/>
        </w:rPr>
        <w:t>être</w:t>
      </w:r>
      <w:proofErr w:type="spellEnd"/>
      <w:r>
        <w:rPr>
          <w:lang w:val="en-GB"/>
        </w:rPr>
        <w:t xml:space="preserve"> </w:t>
      </w:r>
      <w:proofErr w:type="spellStart"/>
      <w:r>
        <w:rPr>
          <w:lang w:val="en-GB"/>
        </w:rPr>
        <w:t>reproduite</w:t>
      </w:r>
      <w:proofErr w:type="spellEnd"/>
      <w:r>
        <w:rPr>
          <w:lang w:val="en-GB"/>
        </w:rPr>
        <w:t xml:space="preserve">, par </w:t>
      </w:r>
      <w:proofErr w:type="spellStart"/>
      <w:r>
        <w:rPr>
          <w:lang w:val="en-GB"/>
        </w:rPr>
        <w:t>quelque</w:t>
      </w:r>
      <w:proofErr w:type="spellEnd"/>
      <w:r>
        <w:rPr>
          <w:lang w:val="en-GB"/>
        </w:rPr>
        <w:t xml:space="preserve"> </w:t>
      </w:r>
      <w:proofErr w:type="spellStart"/>
      <w:r>
        <w:rPr>
          <w:lang w:val="en-GB"/>
        </w:rPr>
        <w:t>procédé</w:t>
      </w:r>
      <w:proofErr w:type="spellEnd"/>
      <w:r>
        <w:rPr>
          <w:lang w:val="en-GB"/>
        </w:rPr>
        <w:t xml:space="preserve"> </w:t>
      </w:r>
      <w:proofErr w:type="spellStart"/>
      <w:r>
        <w:rPr>
          <w:lang w:val="en-GB"/>
        </w:rPr>
        <w:t>que</w:t>
      </w:r>
      <w:proofErr w:type="spellEnd"/>
      <w:r>
        <w:rPr>
          <w:lang w:val="en-GB"/>
        </w:rPr>
        <w:t xml:space="preserve"> </w:t>
      </w:r>
      <w:proofErr w:type="spellStart"/>
      <w:proofErr w:type="gramStart"/>
      <w:r>
        <w:rPr>
          <w:lang w:val="en-GB"/>
        </w:rPr>
        <w:t>ce</w:t>
      </w:r>
      <w:proofErr w:type="spellEnd"/>
      <w:proofErr w:type="gramEnd"/>
      <w:r>
        <w:rPr>
          <w:lang w:val="en-GB"/>
        </w:rPr>
        <w:t xml:space="preserve"> </w:t>
      </w:r>
      <w:proofErr w:type="spellStart"/>
      <w:r>
        <w:rPr>
          <w:lang w:val="en-GB"/>
        </w:rPr>
        <w:t>soit</w:t>
      </w:r>
      <w:proofErr w:type="spellEnd"/>
      <w:r>
        <w:rPr>
          <w:lang w:val="en-GB"/>
        </w:rPr>
        <w:t xml:space="preserve">, sans </w:t>
      </w:r>
      <w:proofErr w:type="spellStart"/>
      <w:r>
        <w:rPr>
          <w:lang w:val="en-GB"/>
        </w:rPr>
        <w:t>l’accord</w:t>
      </w:r>
      <w:proofErr w:type="spellEnd"/>
      <w:r>
        <w:rPr>
          <w:lang w:val="en-GB"/>
        </w:rPr>
        <w:t xml:space="preserve"> </w:t>
      </w:r>
      <w:proofErr w:type="spellStart"/>
      <w:r>
        <w:rPr>
          <w:lang w:val="en-GB"/>
        </w:rPr>
        <w:t>écrit</w:t>
      </w:r>
      <w:proofErr w:type="spellEnd"/>
      <w:r>
        <w:rPr>
          <w:lang w:val="en-GB"/>
        </w:rPr>
        <w:t xml:space="preserve"> </w:t>
      </w:r>
      <w:proofErr w:type="spellStart"/>
      <w:r>
        <w:rPr>
          <w:lang w:val="en-GB"/>
        </w:rPr>
        <w:t>pré</w:t>
      </w:r>
      <w:r w:rsidR="00254403">
        <w:rPr>
          <w:lang w:val="en-GB"/>
        </w:rPr>
        <w:t>a</w:t>
      </w:r>
      <w:r>
        <w:rPr>
          <w:lang w:val="en-GB"/>
        </w:rPr>
        <w:t>lable</w:t>
      </w:r>
      <w:proofErr w:type="spellEnd"/>
      <w:r>
        <w:rPr>
          <w:lang w:val="en-GB"/>
        </w:rPr>
        <w:t xml:space="preserve"> de </w:t>
      </w:r>
      <w:proofErr w:type="spellStart"/>
      <w:r>
        <w:rPr>
          <w:lang w:val="en-GB"/>
        </w:rPr>
        <w:t>l’UIT</w:t>
      </w:r>
      <w:proofErr w:type="spellEnd"/>
      <w:r>
        <w:rPr>
          <w:lang w:val="en-GB"/>
        </w:rPr>
        <w:t>.</w:t>
      </w:r>
    </w:p>
    <w:bookmarkEnd w:id="14"/>
    <w:bookmarkEnd w:id="15"/>
    <w:p w:rsidR="00344375" w:rsidRPr="003F265B" w:rsidRDefault="00344375" w:rsidP="0010485E">
      <w:pPr>
        <w:rPr>
          <w:lang w:val="en-GB"/>
        </w:rPr>
        <w:sectPr w:rsidR="00344375" w:rsidRPr="003F265B" w:rsidSect="003C795F">
          <w:headerReference w:type="even" r:id="rId9"/>
          <w:headerReference w:type="default" r:id="rId10"/>
          <w:footerReference w:type="default" r:id="rId11"/>
          <w:headerReference w:type="first" r:id="rId12"/>
          <w:footerReference w:type="first" r:id="rId13"/>
          <w:endnotePr>
            <w:numFmt w:val="decimal"/>
          </w:endnotePr>
          <w:type w:val="oddPage"/>
          <w:pgSz w:w="11907" w:h="16840" w:code="9"/>
          <w:pgMar w:top="1418" w:right="1418" w:bottom="1418" w:left="1418" w:header="709" w:footer="709" w:gutter="0"/>
          <w:pgNumType w:fmt="lowerRoman"/>
          <w:cols w:space="720"/>
          <w:titlePg/>
          <w:docGrid w:linePitch="286"/>
        </w:sectPr>
      </w:pPr>
    </w:p>
    <w:p w:rsidR="00D77CAB" w:rsidRPr="0072401E" w:rsidRDefault="00624061" w:rsidP="00D77CAB">
      <w:pPr>
        <w:pStyle w:val="Heading1"/>
        <w:jc w:val="center"/>
        <w:rPr>
          <w:rFonts w:eastAsia="SimSun"/>
          <w:lang w:eastAsia="zh-CN"/>
        </w:rPr>
      </w:pPr>
      <w:bookmarkStart w:id="16" w:name="_Toc354053096"/>
      <w:bookmarkStart w:id="17" w:name="_Toc367349740"/>
      <w:bookmarkStart w:id="18" w:name="_Toc303604614"/>
      <w:bookmarkStart w:id="19" w:name="_Toc303690911"/>
      <w:bookmarkStart w:id="20" w:name="_Toc305405834"/>
      <w:bookmarkStart w:id="21" w:name="_Toc309303085"/>
      <w:bookmarkStart w:id="22" w:name="_Toc320695027"/>
      <w:bookmarkStart w:id="23" w:name="_Toc320695350"/>
      <w:bookmarkStart w:id="24" w:name="_Toc349564761"/>
      <w:bookmarkStart w:id="25" w:name="_Toc349565451"/>
      <w:proofErr w:type="spellStart"/>
      <w:r w:rsidRPr="00EE3E8D">
        <w:rPr>
          <w:rFonts w:eastAsia="SimSun"/>
          <w:lang w:eastAsia="zh-CN"/>
        </w:rPr>
        <w:lastRenderedPageBreak/>
        <w:t>Avant</w:t>
      </w:r>
      <w:proofErr w:type="spellEnd"/>
      <w:r w:rsidRPr="00EE3E8D">
        <w:rPr>
          <w:rFonts w:eastAsia="SimSun"/>
          <w:lang w:eastAsia="zh-CN"/>
        </w:rPr>
        <w:t>-propos</w:t>
      </w:r>
      <w:bookmarkEnd w:id="16"/>
      <w:bookmarkEnd w:id="17"/>
    </w:p>
    <w:p w:rsidR="00D77CAB" w:rsidRDefault="00D77CAB" w:rsidP="00D77CAB">
      <w:pPr>
        <w:rPr>
          <w:lang w:val="en-GB" w:eastAsia="zh-CN"/>
        </w:rPr>
      </w:pPr>
    </w:p>
    <w:p w:rsidR="00624061" w:rsidRPr="00624061" w:rsidRDefault="00624061" w:rsidP="00624061">
      <w:pPr>
        <w:rPr>
          <w:lang w:eastAsia="zh-CN"/>
        </w:rPr>
      </w:pPr>
      <w:r w:rsidRPr="00624061">
        <w:rPr>
          <w:lang w:eastAsia="zh-CN"/>
        </w:rPr>
        <w:t xml:space="preserve">J'ai l'honneur de vous présenter le rapport sur la réglementation et la protection des consommateurs à l'ère de la convergence, élaboré en application de la Résolution 64 de la Conférence mondiale de développement des télécommunications (Hyderabad, 2010) et dans le cadre des activités de la Commission d'études 1 de l'UIT-D. J'ai tout mis en </w:t>
      </w:r>
      <w:proofErr w:type="spellStart"/>
      <w:r w:rsidRPr="00624061">
        <w:rPr>
          <w:lang w:eastAsia="zh-CN"/>
        </w:rPr>
        <w:t>oeuvre</w:t>
      </w:r>
      <w:proofErr w:type="spellEnd"/>
      <w:r w:rsidRPr="00624061">
        <w:rPr>
          <w:lang w:eastAsia="zh-CN"/>
        </w:rPr>
        <w:t xml:space="preserve"> pour que l'UIT-D travaille en étroite collaboration avec ses Membres sur cette question afin de les aider à mettre au point des politiques efficaces, de nouer des partenariats en matière d'investissement dans les TIC et de renforcer les capacités humaines.</w:t>
      </w:r>
    </w:p>
    <w:p w:rsidR="00624061" w:rsidRPr="00624061" w:rsidRDefault="00624061" w:rsidP="00624061">
      <w:pPr>
        <w:rPr>
          <w:lang w:eastAsia="zh-CN"/>
        </w:rPr>
      </w:pPr>
      <w:r w:rsidRPr="00624061">
        <w:rPr>
          <w:lang w:eastAsia="zh-CN"/>
        </w:rPr>
        <w:t xml:space="preserve">L'essor des technologies numériques a modifié en profondeur les modalités de fourniture des services de communication électronique et d'accès à ces services pour les consommateurs. Une seule et même </w:t>
      </w:r>
      <w:proofErr w:type="spellStart"/>
      <w:r w:rsidRPr="00624061">
        <w:rPr>
          <w:lang w:eastAsia="zh-CN"/>
        </w:rPr>
        <w:t>plate</w:t>
      </w:r>
      <w:r w:rsidRPr="00624061">
        <w:rPr>
          <w:lang w:eastAsia="zh-CN"/>
        </w:rPr>
        <w:noBreakHyphen/>
        <w:t>forme</w:t>
      </w:r>
      <w:proofErr w:type="spellEnd"/>
      <w:r w:rsidRPr="00624061">
        <w:rPr>
          <w:lang w:eastAsia="zh-CN"/>
        </w:rPr>
        <w:t xml:space="preserve"> permet aujourd'hui de proposer des services de réseaux large bande, des services vocaux, des services de données et des services vidéo. Non seulement cette situation favorise la mise en concurrence, autrefois impossible, d'un large éventail de services et d'applications, mais elle rend nécessaire l'instauration de nouveaux cadres réglementaires pour couvrir des questions qui relevaient auparavant des domaines séparés et distincts qu'étaient la radiodiffusion, les télécommunications et les services en ligne.</w:t>
      </w:r>
    </w:p>
    <w:p w:rsidR="00624061" w:rsidRPr="00624061" w:rsidRDefault="00624061" w:rsidP="00624061">
      <w:pPr>
        <w:rPr>
          <w:lang w:eastAsia="zh-CN"/>
        </w:rPr>
      </w:pPr>
      <w:r w:rsidRPr="00624061">
        <w:rPr>
          <w:lang w:eastAsia="zh-CN"/>
        </w:rPr>
        <w:t>Le présent rapport offre une description et une analyse des divers outils, ressources et stratégies dont les régulateurs ont besoin pour faire appliquer plus efficacement les législations, les règlements et les régulations régissant la protection des consommateurs dans leur pays à l'ère de la convergence.</w:t>
      </w:r>
    </w:p>
    <w:p w:rsidR="00D77CAB" w:rsidRDefault="00624061" w:rsidP="00624061">
      <w:pPr>
        <w:rPr>
          <w:lang w:val="en-GB" w:eastAsia="zh-CN"/>
        </w:rPr>
      </w:pPr>
      <w:r w:rsidRPr="00624061">
        <w:rPr>
          <w:lang w:eastAsia="zh-CN"/>
        </w:rPr>
        <w:t xml:space="preserve">J'espère que les lignes directrices, les recommandations et les bonnes pratiques concernant la mise en </w:t>
      </w:r>
      <w:proofErr w:type="spellStart"/>
      <w:r w:rsidRPr="00624061">
        <w:rPr>
          <w:lang w:eastAsia="zh-CN"/>
        </w:rPr>
        <w:t>oeuvre</w:t>
      </w:r>
      <w:proofErr w:type="spellEnd"/>
      <w:r w:rsidRPr="00624061">
        <w:rPr>
          <w:lang w:eastAsia="zh-CN"/>
        </w:rPr>
        <w:t xml:space="preserve"> des politiques de protection des consommateurs figurant dans le présent rapport seront utiles dans le cadre des initiatives multi-parties prenantes menées actuellement pour résoudre les nombreux problèmes qui nuisent au développement socio-économique actuel et futur.</w:t>
      </w:r>
    </w:p>
    <w:p w:rsidR="00D77CAB" w:rsidRDefault="00D77CAB" w:rsidP="00D77CAB">
      <w:pPr>
        <w:rPr>
          <w:lang w:val="en-GB" w:eastAsia="zh-CN"/>
        </w:rPr>
      </w:pPr>
    </w:p>
    <w:p w:rsidR="00AF6A53" w:rsidRDefault="00AF6A53" w:rsidP="00D77CAB">
      <w:pPr>
        <w:rPr>
          <w:lang w:val="en-GB" w:eastAsia="zh-CN"/>
        </w:rPr>
      </w:pPr>
    </w:p>
    <w:p w:rsidR="00D77CAB" w:rsidRDefault="00D77CAB" w:rsidP="00D77CAB">
      <w:pPr>
        <w:rPr>
          <w:lang w:val="en-GB" w:eastAsia="zh-CN"/>
        </w:rPr>
      </w:pPr>
    </w:p>
    <w:p w:rsidR="0033572E" w:rsidRDefault="0033572E" w:rsidP="00D77CAB">
      <w:pPr>
        <w:rPr>
          <w:lang w:val="en-GB" w:eastAsia="zh-CN"/>
        </w:rPr>
      </w:pPr>
    </w:p>
    <w:p w:rsidR="0033572E" w:rsidRPr="0072401E" w:rsidRDefault="0033572E" w:rsidP="00D77CAB">
      <w:pPr>
        <w:rPr>
          <w:lang w:val="en-GB" w:eastAsia="zh-CN"/>
        </w:rPr>
      </w:pPr>
    </w:p>
    <w:p w:rsidR="0033572E" w:rsidRDefault="0033572E" w:rsidP="00D77CAB">
      <w:pPr>
        <w:jc w:val="right"/>
        <w:rPr>
          <w:lang w:val="en-GB" w:eastAsia="zh-CN"/>
        </w:rPr>
      </w:pPr>
    </w:p>
    <w:p w:rsidR="0033572E" w:rsidRDefault="0033572E" w:rsidP="0033572E">
      <w:pPr>
        <w:spacing w:before="0"/>
        <w:jc w:val="right"/>
        <w:rPr>
          <w:lang w:val="en-GB" w:eastAsia="zh-CN"/>
        </w:rPr>
      </w:pPr>
      <w:r>
        <w:rPr>
          <w:noProof/>
          <w:lang w:val="en-US" w:eastAsia="zh-CN"/>
        </w:rPr>
        <w:drawing>
          <wp:inline distT="0" distB="0" distL="0" distR="0">
            <wp:extent cx="1520163" cy="771896"/>
            <wp:effectExtent l="19050" t="0" r="3837" b="0"/>
            <wp:docPr id="2" name="Picture 4" descr="Sanou-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ou-bleu.jpg"/>
                    <pic:cNvPicPr/>
                  </pic:nvPicPr>
                  <pic:blipFill>
                    <a:blip r:embed="rId14" cstate="print"/>
                    <a:stretch>
                      <a:fillRect/>
                    </a:stretch>
                  </pic:blipFill>
                  <pic:spPr>
                    <a:xfrm>
                      <a:off x="0" y="0"/>
                      <a:ext cx="1521973" cy="772815"/>
                    </a:xfrm>
                    <a:prstGeom prst="rect">
                      <a:avLst/>
                    </a:prstGeom>
                  </pic:spPr>
                </pic:pic>
              </a:graphicData>
            </a:graphic>
          </wp:inline>
        </w:drawing>
      </w:r>
    </w:p>
    <w:bookmarkEnd w:id="18"/>
    <w:bookmarkEnd w:id="19"/>
    <w:bookmarkEnd w:id="20"/>
    <w:bookmarkEnd w:id="21"/>
    <w:bookmarkEnd w:id="22"/>
    <w:bookmarkEnd w:id="23"/>
    <w:bookmarkEnd w:id="24"/>
    <w:bookmarkEnd w:id="25"/>
    <w:p w:rsidR="00624061" w:rsidRPr="00EE3E8D" w:rsidRDefault="00624061" w:rsidP="00624061">
      <w:pPr>
        <w:jc w:val="right"/>
        <w:rPr>
          <w:lang w:eastAsia="zh-CN"/>
        </w:rPr>
      </w:pPr>
      <w:proofErr w:type="spellStart"/>
      <w:r w:rsidRPr="00EE3E8D">
        <w:rPr>
          <w:lang w:eastAsia="zh-CN"/>
        </w:rPr>
        <w:t>Brahima</w:t>
      </w:r>
      <w:proofErr w:type="spellEnd"/>
      <w:r w:rsidRPr="00EE3E8D">
        <w:rPr>
          <w:lang w:eastAsia="zh-CN"/>
        </w:rPr>
        <w:t xml:space="preserve"> </w:t>
      </w:r>
      <w:proofErr w:type="spellStart"/>
      <w:r w:rsidRPr="00EE3E8D">
        <w:rPr>
          <w:lang w:eastAsia="zh-CN"/>
        </w:rPr>
        <w:t>Sanou</w:t>
      </w:r>
      <w:proofErr w:type="spellEnd"/>
    </w:p>
    <w:p w:rsidR="00D77CAB" w:rsidRDefault="00624061" w:rsidP="00624061">
      <w:pPr>
        <w:spacing w:before="0"/>
        <w:jc w:val="right"/>
        <w:rPr>
          <w:lang w:val="en-GB" w:eastAsia="zh-CN"/>
        </w:rPr>
      </w:pPr>
      <w:r w:rsidRPr="00EE3E8D">
        <w:rPr>
          <w:lang w:eastAsia="zh-CN"/>
        </w:rPr>
        <w:t xml:space="preserve">Directeur du Bureau de développement </w:t>
      </w:r>
      <w:r w:rsidRPr="00EE3E8D">
        <w:rPr>
          <w:lang w:eastAsia="zh-CN"/>
        </w:rPr>
        <w:br/>
        <w:t>des télécommunications</w:t>
      </w:r>
    </w:p>
    <w:p w:rsidR="001178D8" w:rsidRPr="00D77CAB" w:rsidRDefault="002C6A7A" w:rsidP="00D77CAB">
      <w:pPr>
        <w:jc w:val="left"/>
        <w:rPr>
          <w:lang w:val="en-GB" w:eastAsia="zh-CN"/>
        </w:rPr>
      </w:pPr>
      <w:r w:rsidRPr="00C76D6D">
        <w:rPr>
          <w:b/>
          <w:bCs/>
          <w:lang w:val="en-GB" w:eastAsia="zh-CN"/>
        </w:rPr>
        <w:fldChar w:fldCharType="begin"/>
      </w:r>
      <w:r w:rsidR="00F2535F" w:rsidRPr="003F265B">
        <w:rPr>
          <w:b/>
          <w:bCs/>
          <w:lang w:val="en-GB" w:eastAsia="zh-CN"/>
        </w:rPr>
        <w:instrText xml:space="preserve"> TOC \o "1-2" \h \z \u </w:instrText>
      </w:r>
      <w:r w:rsidRPr="00C76D6D">
        <w:rPr>
          <w:b/>
          <w:bCs/>
          <w:lang w:val="en-GB" w:eastAsia="zh-CN"/>
        </w:rPr>
        <w:fldChar w:fldCharType="end"/>
      </w:r>
    </w:p>
    <w:p w:rsidR="0072401E" w:rsidRDefault="0072401E" w:rsidP="0010485E">
      <w:pPr>
        <w:rPr>
          <w:rFonts w:eastAsia="SimSun" w:cs="Helvetica"/>
          <w:b/>
          <w:bCs/>
          <w:szCs w:val="28"/>
          <w:lang w:val="en-GB" w:eastAsia="zh-CN"/>
        </w:rPr>
        <w:sectPr w:rsidR="0072401E" w:rsidSect="003C795F">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1701" w:right="1418" w:bottom="1418" w:left="1418" w:header="709" w:footer="709" w:gutter="0"/>
          <w:pgNumType w:fmt="lowerRoman" w:start="1"/>
          <w:cols w:space="720"/>
          <w:titlePg/>
          <w:docGrid w:linePitch="286"/>
        </w:sectPr>
      </w:pPr>
    </w:p>
    <w:p w:rsidR="0072401E" w:rsidRPr="003F265B" w:rsidRDefault="0072401E" w:rsidP="0072401E">
      <w:pPr>
        <w:jc w:val="right"/>
        <w:rPr>
          <w:lang w:val="en-GB" w:eastAsia="zh-CN"/>
        </w:rPr>
      </w:pPr>
    </w:p>
    <w:p w:rsidR="00D77CAB" w:rsidRPr="003F265B" w:rsidRDefault="00D77CAB" w:rsidP="00D77CAB">
      <w:pPr>
        <w:pStyle w:val="Chapttitle"/>
        <w:rPr>
          <w:lang w:val="en-GB"/>
        </w:rPr>
      </w:pPr>
      <w:bookmarkStart w:id="26" w:name="_Toc367349741"/>
      <w:r w:rsidRPr="003F265B">
        <w:rPr>
          <w:color w:val="E36C0A"/>
          <w:lang w:val="en-GB"/>
        </w:rPr>
        <w:t>Table</w:t>
      </w:r>
      <w:r w:rsidRPr="003F265B">
        <w:rPr>
          <w:lang w:val="en-GB"/>
        </w:rPr>
        <w:t xml:space="preserve"> of contents</w:t>
      </w:r>
      <w:bookmarkEnd w:id="26"/>
    </w:p>
    <w:p w:rsidR="00D77CAB" w:rsidRPr="003F265B" w:rsidRDefault="00D77CAB" w:rsidP="00D77CAB">
      <w:pPr>
        <w:pStyle w:val="Toc0"/>
        <w:tabs>
          <w:tab w:val="clear" w:pos="9071"/>
          <w:tab w:val="right" w:pos="9214"/>
        </w:tabs>
        <w:rPr>
          <w:rFonts w:asciiTheme="minorHAnsi" w:hAnsiTheme="minorHAnsi" w:cstheme="minorBidi"/>
          <w:noProof w:val="0"/>
          <w:lang w:val="en-GB" w:eastAsia="zh-CN"/>
        </w:rPr>
      </w:pPr>
      <w:r w:rsidRPr="003F265B">
        <w:rPr>
          <w:noProof w:val="0"/>
          <w:lang w:val="en-GB"/>
        </w:rPr>
        <w:tab/>
        <w:t>Page</w:t>
      </w:r>
    </w:p>
    <w:p w:rsidR="00D557EE" w:rsidRDefault="002C6A7A" w:rsidP="00D557EE">
      <w:pPr>
        <w:pStyle w:val="TOC1"/>
        <w:rPr>
          <w:rFonts w:asciiTheme="minorHAnsi" w:eastAsia="Batang" w:hAnsiTheme="minorHAnsi" w:cstheme="minorBidi"/>
          <w:b w:val="0"/>
          <w:bCs w:val="0"/>
          <w:sz w:val="22"/>
          <w:szCs w:val="22"/>
          <w:lang w:eastAsia="zh-CN"/>
        </w:rPr>
      </w:pPr>
      <w:r w:rsidRPr="002C6A7A">
        <w:rPr>
          <w:b w:val="0"/>
          <w:bCs w:val="0"/>
          <w:noProof w:val="0"/>
          <w:lang w:val="en-GB" w:eastAsia="zh-CN"/>
        </w:rPr>
        <w:fldChar w:fldCharType="begin"/>
      </w:r>
      <w:r w:rsidR="00D77CAB" w:rsidRPr="003F265B">
        <w:rPr>
          <w:b w:val="0"/>
          <w:bCs w:val="0"/>
          <w:noProof w:val="0"/>
          <w:lang w:val="en-GB" w:eastAsia="zh-CN"/>
        </w:rPr>
        <w:instrText xml:space="preserve"> TOC \o "1-2" \h \z \u </w:instrText>
      </w:r>
      <w:r w:rsidRPr="002C6A7A">
        <w:rPr>
          <w:b w:val="0"/>
          <w:bCs w:val="0"/>
          <w:noProof w:val="0"/>
          <w:lang w:val="en-GB" w:eastAsia="zh-CN"/>
        </w:rPr>
        <w:fldChar w:fldCharType="separate"/>
      </w:r>
      <w:hyperlink w:anchor="_Toc367349742" w:history="1">
        <w:r w:rsidR="00D557EE" w:rsidRPr="00164EF0">
          <w:rPr>
            <w:rStyle w:val="Hyperlink"/>
          </w:rPr>
          <w:t>Introduction</w:t>
        </w:r>
        <w:r w:rsidR="00D557EE">
          <w:rPr>
            <w:webHidden/>
          </w:rPr>
          <w:tab/>
        </w:r>
        <w:r w:rsidR="00D557EE">
          <w:rPr>
            <w:webHidden/>
          </w:rPr>
          <w:tab/>
        </w:r>
        <w:r>
          <w:rPr>
            <w:webHidden/>
          </w:rPr>
          <w:fldChar w:fldCharType="begin"/>
        </w:r>
        <w:r w:rsidR="00D557EE">
          <w:rPr>
            <w:webHidden/>
          </w:rPr>
          <w:instrText xml:space="preserve"> PAGEREF _Toc367349742 \h </w:instrText>
        </w:r>
        <w:r>
          <w:rPr>
            <w:webHidden/>
          </w:rPr>
        </w:r>
        <w:r>
          <w:rPr>
            <w:webHidden/>
          </w:rPr>
          <w:fldChar w:fldCharType="separate"/>
        </w:r>
        <w:r w:rsidR="00D557EE">
          <w:rPr>
            <w:webHidden/>
          </w:rPr>
          <w:t>1</w:t>
        </w:r>
        <w:r>
          <w:rPr>
            <w:webHidden/>
          </w:rPr>
          <w:fldChar w:fldCharType="end"/>
        </w:r>
      </w:hyperlink>
    </w:p>
    <w:p w:rsidR="00D557EE" w:rsidRDefault="002C6A7A">
      <w:pPr>
        <w:pStyle w:val="TOC1"/>
        <w:rPr>
          <w:rFonts w:asciiTheme="minorHAnsi" w:eastAsia="Batang" w:hAnsiTheme="minorHAnsi" w:cstheme="minorBidi"/>
          <w:b w:val="0"/>
          <w:bCs w:val="0"/>
          <w:sz w:val="22"/>
          <w:szCs w:val="22"/>
          <w:lang w:eastAsia="zh-CN"/>
        </w:rPr>
      </w:pPr>
      <w:hyperlink w:anchor="_Toc367349743" w:history="1">
        <w:r w:rsidR="00D557EE" w:rsidRPr="00164EF0">
          <w:rPr>
            <w:rStyle w:val="Hyperlink"/>
          </w:rPr>
          <w:t>Section 1: Cadres réglementaires en vigueur en matière de protection des consommateurs</w:t>
        </w:r>
        <w:r w:rsidR="00D557EE">
          <w:rPr>
            <w:webHidden/>
          </w:rPr>
          <w:tab/>
        </w:r>
        <w:r w:rsidR="00D557EE">
          <w:rPr>
            <w:webHidden/>
          </w:rPr>
          <w:tab/>
        </w:r>
        <w:r>
          <w:rPr>
            <w:webHidden/>
          </w:rPr>
          <w:fldChar w:fldCharType="begin"/>
        </w:r>
        <w:r w:rsidR="00D557EE">
          <w:rPr>
            <w:webHidden/>
          </w:rPr>
          <w:instrText xml:space="preserve"> PAGEREF _Toc367349743 \h </w:instrText>
        </w:r>
        <w:r>
          <w:rPr>
            <w:webHidden/>
          </w:rPr>
        </w:r>
        <w:r>
          <w:rPr>
            <w:webHidden/>
          </w:rPr>
          <w:fldChar w:fldCharType="separate"/>
        </w:r>
        <w:r w:rsidR="00D557EE">
          <w:rPr>
            <w:webHidden/>
          </w:rPr>
          <w:t>1</w:t>
        </w:r>
        <w:r>
          <w:rPr>
            <w:webHidden/>
          </w:rPr>
          <w:fldChar w:fldCharType="end"/>
        </w:r>
      </w:hyperlink>
    </w:p>
    <w:p w:rsidR="00D557EE" w:rsidRDefault="002C6A7A" w:rsidP="00D557EE">
      <w:pPr>
        <w:pStyle w:val="TOC1"/>
        <w:rPr>
          <w:rFonts w:asciiTheme="minorHAnsi" w:eastAsia="Batang" w:hAnsiTheme="minorHAnsi" w:cstheme="minorBidi"/>
          <w:b w:val="0"/>
          <w:bCs w:val="0"/>
          <w:sz w:val="22"/>
          <w:szCs w:val="22"/>
          <w:lang w:eastAsia="zh-CN"/>
        </w:rPr>
      </w:pPr>
      <w:hyperlink w:anchor="_Toc367349744" w:history="1">
        <w:r w:rsidR="00D557EE" w:rsidRPr="00164EF0">
          <w:rPr>
            <w:rStyle w:val="Hyperlink"/>
          </w:rPr>
          <w:t>Section 2: Définir le problème – Quelle est l'incidence de la convergence pour la réglementation</w:t>
        </w:r>
        <w:r w:rsidR="00D557EE">
          <w:rPr>
            <w:rStyle w:val="Hyperlink"/>
          </w:rPr>
          <w:br/>
        </w:r>
        <w:r w:rsidR="00D557EE" w:rsidRPr="00164EF0">
          <w:rPr>
            <w:rStyle w:val="Hyperlink"/>
          </w:rPr>
          <w:t>et les consommateurs?</w:t>
        </w:r>
        <w:r w:rsidR="00D557EE">
          <w:rPr>
            <w:webHidden/>
          </w:rPr>
          <w:tab/>
        </w:r>
        <w:r w:rsidR="00D557EE">
          <w:rPr>
            <w:webHidden/>
          </w:rPr>
          <w:tab/>
        </w:r>
        <w:r>
          <w:rPr>
            <w:webHidden/>
          </w:rPr>
          <w:fldChar w:fldCharType="begin"/>
        </w:r>
        <w:r w:rsidR="00D557EE">
          <w:rPr>
            <w:webHidden/>
          </w:rPr>
          <w:instrText xml:space="preserve"> PAGEREF _Toc367349744 \h </w:instrText>
        </w:r>
        <w:r>
          <w:rPr>
            <w:webHidden/>
          </w:rPr>
        </w:r>
        <w:r>
          <w:rPr>
            <w:webHidden/>
          </w:rPr>
          <w:fldChar w:fldCharType="separate"/>
        </w:r>
        <w:r w:rsidR="00D557EE">
          <w:rPr>
            <w:webHidden/>
          </w:rPr>
          <w:t>7</w:t>
        </w:r>
        <w:r>
          <w:rPr>
            <w:webHidden/>
          </w:rPr>
          <w:fldChar w:fldCharType="end"/>
        </w:r>
      </w:hyperlink>
    </w:p>
    <w:p w:rsidR="00D557EE" w:rsidRDefault="002C6A7A" w:rsidP="00D557EE">
      <w:pPr>
        <w:pStyle w:val="TOC1"/>
        <w:rPr>
          <w:rFonts w:asciiTheme="minorHAnsi" w:eastAsia="Batang" w:hAnsiTheme="minorHAnsi" w:cstheme="minorBidi"/>
          <w:b w:val="0"/>
          <w:bCs w:val="0"/>
          <w:sz w:val="22"/>
          <w:szCs w:val="22"/>
          <w:lang w:eastAsia="zh-CN"/>
        </w:rPr>
      </w:pPr>
      <w:hyperlink w:anchor="_Toc367349745" w:history="1">
        <w:r w:rsidR="00D557EE" w:rsidRPr="00164EF0">
          <w:rPr>
            <w:rStyle w:val="Hyperlink"/>
            <w:lang w:val="fr-FR"/>
          </w:rPr>
          <w:t>Section 3: Eléments indispensables à l'établissement de politiques ou cadres réglementaires en</w:t>
        </w:r>
        <w:r w:rsidR="00D557EE">
          <w:rPr>
            <w:rStyle w:val="Hyperlink"/>
            <w:lang w:val="fr-FR"/>
          </w:rPr>
          <w:br/>
        </w:r>
        <w:r w:rsidR="00D557EE" w:rsidRPr="00164EF0">
          <w:rPr>
            <w:rStyle w:val="Hyperlink"/>
            <w:lang w:val="fr-FR"/>
          </w:rPr>
          <w:t>matière de protection des consommateurs et des utilisateurs à l'ère de la convergence</w:t>
        </w:r>
        <w:r w:rsidR="00D557EE">
          <w:rPr>
            <w:webHidden/>
          </w:rPr>
          <w:tab/>
        </w:r>
        <w:r w:rsidR="00D557EE">
          <w:rPr>
            <w:webHidden/>
          </w:rPr>
          <w:tab/>
        </w:r>
        <w:r>
          <w:rPr>
            <w:webHidden/>
          </w:rPr>
          <w:fldChar w:fldCharType="begin"/>
        </w:r>
        <w:r w:rsidR="00D557EE">
          <w:rPr>
            <w:webHidden/>
          </w:rPr>
          <w:instrText xml:space="preserve"> PAGEREF _Toc367349745 \h </w:instrText>
        </w:r>
        <w:r>
          <w:rPr>
            <w:webHidden/>
          </w:rPr>
        </w:r>
        <w:r>
          <w:rPr>
            <w:webHidden/>
          </w:rPr>
          <w:fldChar w:fldCharType="separate"/>
        </w:r>
        <w:r w:rsidR="00D557EE">
          <w:rPr>
            <w:webHidden/>
          </w:rPr>
          <w:t>10</w:t>
        </w:r>
        <w:r>
          <w:rPr>
            <w:webHidden/>
          </w:rPr>
          <w:fldChar w:fldCharType="end"/>
        </w:r>
      </w:hyperlink>
    </w:p>
    <w:p w:rsidR="00D557EE" w:rsidRDefault="002C6A7A" w:rsidP="00D557EE">
      <w:pPr>
        <w:pStyle w:val="TOC1"/>
        <w:rPr>
          <w:rFonts w:asciiTheme="minorHAnsi" w:eastAsia="Batang" w:hAnsiTheme="minorHAnsi" w:cstheme="minorBidi"/>
          <w:b w:val="0"/>
          <w:bCs w:val="0"/>
          <w:sz w:val="22"/>
          <w:szCs w:val="22"/>
          <w:lang w:eastAsia="zh-CN"/>
        </w:rPr>
      </w:pPr>
      <w:hyperlink w:anchor="_Toc367349746" w:history="1">
        <w:r w:rsidR="00D557EE" w:rsidRPr="00164EF0">
          <w:rPr>
            <w:rStyle w:val="Hyperlink"/>
          </w:rPr>
          <w:t>Section 4: Quelles sont les méthodes organisationnelles et les pratiques efficaces utilisées par les Autorités nationales de régulation pour faire appliquer leurs lois, règles et règlements nationaux en</w:t>
        </w:r>
        <w:r w:rsidR="00D557EE">
          <w:rPr>
            <w:rStyle w:val="Hyperlink"/>
          </w:rPr>
          <w:t> </w:t>
        </w:r>
        <w:r w:rsidR="00D557EE" w:rsidRPr="00164EF0">
          <w:rPr>
            <w:rStyle w:val="Hyperlink"/>
          </w:rPr>
          <w:t>matière de protection des consommateurs dans un environnement issu de la convergence?</w:t>
        </w:r>
        <w:r w:rsidR="00D557EE">
          <w:rPr>
            <w:webHidden/>
          </w:rPr>
          <w:tab/>
        </w:r>
        <w:r w:rsidR="00D557EE">
          <w:rPr>
            <w:webHidden/>
          </w:rPr>
          <w:tab/>
        </w:r>
        <w:r>
          <w:rPr>
            <w:webHidden/>
          </w:rPr>
          <w:fldChar w:fldCharType="begin"/>
        </w:r>
        <w:r w:rsidR="00D557EE">
          <w:rPr>
            <w:webHidden/>
          </w:rPr>
          <w:instrText xml:space="preserve"> PAGEREF _Toc367349746 \h </w:instrText>
        </w:r>
        <w:r>
          <w:rPr>
            <w:webHidden/>
          </w:rPr>
        </w:r>
        <w:r>
          <w:rPr>
            <w:webHidden/>
          </w:rPr>
          <w:fldChar w:fldCharType="separate"/>
        </w:r>
        <w:r w:rsidR="00D557EE">
          <w:rPr>
            <w:webHidden/>
          </w:rPr>
          <w:t>20</w:t>
        </w:r>
        <w:r>
          <w:rPr>
            <w:webHidden/>
          </w:rPr>
          <w:fldChar w:fldCharType="end"/>
        </w:r>
      </w:hyperlink>
    </w:p>
    <w:p w:rsidR="00D557EE" w:rsidRDefault="002C6A7A" w:rsidP="00D557EE">
      <w:pPr>
        <w:pStyle w:val="TOC1"/>
        <w:rPr>
          <w:rFonts w:asciiTheme="minorHAnsi" w:eastAsia="Batang" w:hAnsiTheme="minorHAnsi" w:cstheme="minorBidi"/>
          <w:b w:val="0"/>
          <w:bCs w:val="0"/>
          <w:sz w:val="22"/>
          <w:szCs w:val="22"/>
          <w:lang w:eastAsia="zh-CN"/>
        </w:rPr>
      </w:pPr>
      <w:hyperlink w:anchor="_Toc367349747" w:history="1">
        <w:r w:rsidR="00D557EE" w:rsidRPr="00164EF0">
          <w:rPr>
            <w:rStyle w:val="Hyperlink"/>
          </w:rPr>
          <w:t>Section 5: Lignes directrices et recommandations sur des méthodes et des pratiques efficaces pour</w:t>
        </w:r>
        <w:r w:rsidR="00D557EE">
          <w:rPr>
            <w:rStyle w:val="Hyperlink"/>
          </w:rPr>
          <w:t> </w:t>
        </w:r>
        <w:r w:rsidR="00D557EE" w:rsidRPr="00164EF0">
          <w:rPr>
            <w:rStyle w:val="Hyperlink"/>
          </w:rPr>
          <w:t>relever les défis liés à la convergence</w:t>
        </w:r>
        <w:r w:rsidR="00D557EE">
          <w:rPr>
            <w:webHidden/>
          </w:rPr>
          <w:tab/>
        </w:r>
        <w:r w:rsidR="00D557EE">
          <w:rPr>
            <w:webHidden/>
          </w:rPr>
          <w:tab/>
        </w:r>
        <w:r>
          <w:rPr>
            <w:webHidden/>
          </w:rPr>
          <w:fldChar w:fldCharType="begin"/>
        </w:r>
        <w:r w:rsidR="00D557EE">
          <w:rPr>
            <w:webHidden/>
          </w:rPr>
          <w:instrText xml:space="preserve"> PAGEREF _Toc367349747 \h </w:instrText>
        </w:r>
        <w:r>
          <w:rPr>
            <w:webHidden/>
          </w:rPr>
        </w:r>
        <w:r>
          <w:rPr>
            <w:webHidden/>
          </w:rPr>
          <w:fldChar w:fldCharType="separate"/>
        </w:r>
        <w:r w:rsidR="00D557EE">
          <w:rPr>
            <w:webHidden/>
          </w:rPr>
          <w:t>24</w:t>
        </w:r>
        <w:r>
          <w:rPr>
            <w:webHidden/>
          </w:rPr>
          <w:fldChar w:fldCharType="end"/>
        </w:r>
      </w:hyperlink>
    </w:p>
    <w:p w:rsidR="00D557EE" w:rsidRDefault="002C6A7A">
      <w:pPr>
        <w:pStyle w:val="TOC1"/>
        <w:rPr>
          <w:rFonts w:asciiTheme="minorHAnsi" w:eastAsia="Batang" w:hAnsiTheme="minorHAnsi" w:cstheme="minorBidi"/>
          <w:b w:val="0"/>
          <w:bCs w:val="0"/>
          <w:sz w:val="22"/>
          <w:szCs w:val="22"/>
          <w:lang w:eastAsia="zh-CN"/>
        </w:rPr>
      </w:pPr>
      <w:hyperlink w:anchor="_Toc367349748" w:history="1">
        <w:r w:rsidR="00D557EE" w:rsidRPr="00164EF0">
          <w:rPr>
            <w:rStyle w:val="Hyperlink"/>
          </w:rPr>
          <w:t>Section 6: Résumé et conclusions</w:t>
        </w:r>
        <w:r w:rsidR="00D557EE">
          <w:rPr>
            <w:webHidden/>
          </w:rPr>
          <w:tab/>
        </w:r>
        <w:r w:rsidR="00D557EE">
          <w:rPr>
            <w:webHidden/>
          </w:rPr>
          <w:tab/>
        </w:r>
        <w:r>
          <w:rPr>
            <w:webHidden/>
          </w:rPr>
          <w:fldChar w:fldCharType="begin"/>
        </w:r>
        <w:r w:rsidR="00D557EE">
          <w:rPr>
            <w:webHidden/>
          </w:rPr>
          <w:instrText xml:space="preserve"> PAGEREF _Toc367349748 \h </w:instrText>
        </w:r>
        <w:r>
          <w:rPr>
            <w:webHidden/>
          </w:rPr>
        </w:r>
        <w:r>
          <w:rPr>
            <w:webHidden/>
          </w:rPr>
          <w:fldChar w:fldCharType="separate"/>
        </w:r>
        <w:r w:rsidR="00D557EE">
          <w:rPr>
            <w:webHidden/>
          </w:rPr>
          <w:t>26</w:t>
        </w:r>
        <w:r>
          <w:rPr>
            <w:webHidden/>
          </w:rPr>
          <w:fldChar w:fldCharType="end"/>
        </w:r>
      </w:hyperlink>
    </w:p>
    <w:p w:rsidR="001178D8" w:rsidRPr="003F265B" w:rsidRDefault="002C6A7A" w:rsidP="00D77CAB">
      <w:pPr>
        <w:rPr>
          <w:lang w:val="en-GB" w:eastAsia="zh-CN"/>
        </w:rPr>
      </w:pPr>
      <w:r w:rsidRPr="003F265B">
        <w:rPr>
          <w:rFonts w:eastAsia="SimSun" w:cs="Helvetica"/>
          <w:b/>
          <w:bCs/>
          <w:szCs w:val="28"/>
          <w:lang w:val="en-GB" w:eastAsia="zh-CN"/>
        </w:rPr>
        <w:fldChar w:fldCharType="end"/>
      </w:r>
    </w:p>
    <w:p w:rsidR="00344375" w:rsidRPr="003F265B" w:rsidRDefault="00344375" w:rsidP="00C21D57">
      <w:pPr>
        <w:rPr>
          <w:lang w:val="en-GB"/>
        </w:rPr>
        <w:sectPr w:rsidR="00344375" w:rsidRPr="003F265B" w:rsidSect="004E5215">
          <w:footerReference w:type="first" r:id="rId21"/>
          <w:type w:val="oddPage"/>
          <w:pgSz w:w="11907" w:h="16840" w:code="9"/>
          <w:pgMar w:top="1701" w:right="1418" w:bottom="1418" w:left="1418" w:header="709" w:footer="709" w:gutter="0"/>
          <w:pgNumType w:fmt="lowerRoman" w:start="1"/>
          <w:cols w:space="720"/>
          <w:titlePg/>
        </w:sectPr>
      </w:pPr>
      <w:bookmarkStart w:id="27" w:name="_Toc220575896"/>
      <w:bookmarkStart w:id="28" w:name="_Toc239479602"/>
      <w:bookmarkStart w:id="29" w:name="_Toc298922036"/>
      <w:bookmarkStart w:id="30" w:name="_Toc299639153"/>
    </w:p>
    <w:p w:rsidR="00133CDA" w:rsidRPr="003F265B" w:rsidRDefault="00624061" w:rsidP="000C7AA4">
      <w:pPr>
        <w:pStyle w:val="Heading1"/>
        <w:rPr>
          <w:lang w:val="en-GB"/>
        </w:rPr>
      </w:pPr>
      <w:bookmarkStart w:id="31" w:name="_Toc352684413"/>
      <w:bookmarkStart w:id="32" w:name="_Toc354053098"/>
      <w:bookmarkStart w:id="33" w:name="_Toc367349742"/>
      <w:bookmarkEnd w:id="27"/>
      <w:bookmarkEnd w:id="28"/>
      <w:bookmarkEnd w:id="29"/>
      <w:r w:rsidRPr="005934A2">
        <w:lastRenderedPageBreak/>
        <w:t>Introduction</w:t>
      </w:r>
      <w:r w:rsidRPr="00EE3E8D">
        <w:rPr>
          <w:rStyle w:val="FootnoteReference"/>
        </w:rPr>
        <w:footnoteReference w:id="2"/>
      </w:r>
      <w:bookmarkEnd w:id="31"/>
      <w:bookmarkEnd w:id="32"/>
      <w:bookmarkEnd w:id="33"/>
    </w:p>
    <w:p w:rsidR="00624061" w:rsidRPr="005934A2" w:rsidRDefault="00624061" w:rsidP="0081018A">
      <w:r w:rsidRPr="005934A2">
        <w:t>L'adoption du protocole Internet (IP) et des réseaux large bande permet d'offrir des services vocaux, vidéo et de données sur la même plate-forme. Cette convergence rend désormais possible la concurrence entre plates-formes pour divers services et applications. En conséquence, les fournisseurs de services téléphoniques traditionnels offrent à présent des services vidéo et de données (Internet) et les câblo-opérateurs fournissent un accès à l'Internet ainsi que des services téléphoniques. Les réseaux hertziens, qui étaient auparavant utilisés essentiellement pour assurer les services téléphoniques, sont aujourd'hui devenus, dans de nombreux pays, le moyen principal d'accès à l'Internet.</w:t>
      </w:r>
    </w:p>
    <w:p w:rsidR="00CC4D1C" w:rsidRPr="003F265B" w:rsidRDefault="00624061" w:rsidP="0081018A">
      <w:pPr>
        <w:rPr>
          <w:lang w:val="en-GB"/>
        </w:rPr>
      </w:pPr>
      <w:r w:rsidRPr="005934A2">
        <w:t>Les conséquences de la convergence sur les services, les réseaux, les dispositifs et les entreprises sont les suivantes:</w:t>
      </w:r>
    </w:p>
    <w:p w:rsidR="0081018A" w:rsidRPr="0081018A" w:rsidRDefault="0081018A" w:rsidP="0081018A">
      <w:pPr>
        <w:pStyle w:val="Enumlevel1"/>
      </w:pPr>
      <w:r w:rsidRPr="0081018A">
        <w:rPr>
          <w:color w:val="E36C0A"/>
          <w:lang w:val="fr-CH"/>
        </w:rPr>
        <w:t>•</w:t>
      </w:r>
      <w:r w:rsidRPr="005934A2">
        <w:rPr>
          <w:lang w:val="fr-CH"/>
        </w:rPr>
        <w:tab/>
      </w:r>
      <w:r w:rsidRPr="0081018A">
        <w:t xml:space="preserve">Services – </w:t>
      </w:r>
      <w:proofErr w:type="spellStart"/>
      <w:r w:rsidRPr="0081018A">
        <w:t>Tous</w:t>
      </w:r>
      <w:proofErr w:type="spellEnd"/>
      <w:r w:rsidRPr="0081018A">
        <w:t xml:space="preserve"> les services et applications </w:t>
      </w:r>
      <w:proofErr w:type="spellStart"/>
      <w:r w:rsidRPr="0081018A">
        <w:t>téléphoniques</w:t>
      </w:r>
      <w:proofErr w:type="spellEnd"/>
      <w:r w:rsidRPr="0081018A">
        <w:t xml:space="preserve">, </w:t>
      </w:r>
      <w:proofErr w:type="spellStart"/>
      <w:r w:rsidRPr="0081018A">
        <w:t>vidéo</w:t>
      </w:r>
      <w:proofErr w:type="spellEnd"/>
      <w:r w:rsidRPr="0081018A">
        <w:t xml:space="preserve"> et de </w:t>
      </w:r>
      <w:proofErr w:type="spellStart"/>
      <w:r w:rsidRPr="0081018A">
        <w:t>données</w:t>
      </w:r>
      <w:proofErr w:type="spellEnd"/>
      <w:r w:rsidRPr="0081018A">
        <w:t xml:space="preserve"> </w:t>
      </w:r>
      <w:proofErr w:type="spellStart"/>
      <w:r w:rsidRPr="0081018A">
        <w:t>peuvent</w:t>
      </w:r>
      <w:proofErr w:type="spellEnd"/>
      <w:r w:rsidRPr="0081018A">
        <w:t xml:space="preserve"> </w:t>
      </w:r>
      <w:proofErr w:type="spellStart"/>
      <w:r w:rsidRPr="0081018A">
        <w:t>être</w:t>
      </w:r>
      <w:proofErr w:type="spellEnd"/>
      <w:r w:rsidRPr="0081018A">
        <w:t xml:space="preserve"> </w:t>
      </w:r>
      <w:proofErr w:type="spellStart"/>
      <w:r w:rsidRPr="0081018A">
        <w:t>fournis</w:t>
      </w:r>
      <w:proofErr w:type="spellEnd"/>
      <w:r w:rsidRPr="0081018A">
        <w:t xml:space="preserve"> </w:t>
      </w:r>
      <w:proofErr w:type="spellStart"/>
      <w:r w:rsidRPr="0081018A">
        <w:t>sur</w:t>
      </w:r>
      <w:proofErr w:type="spellEnd"/>
      <w:r w:rsidRPr="0081018A">
        <w:t xml:space="preserve"> </w:t>
      </w:r>
      <w:proofErr w:type="spellStart"/>
      <w:r w:rsidRPr="0081018A">
        <w:t>une</w:t>
      </w:r>
      <w:proofErr w:type="spellEnd"/>
      <w:r w:rsidRPr="0081018A">
        <w:t xml:space="preserve"> </w:t>
      </w:r>
      <w:proofErr w:type="spellStart"/>
      <w:r w:rsidRPr="0081018A">
        <w:t>même</w:t>
      </w:r>
      <w:proofErr w:type="spellEnd"/>
      <w:r w:rsidRPr="0081018A">
        <w:t xml:space="preserve"> plate-</w:t>
      </w:r>
      <w:proofErr w:type="spellStart"/>
      <w:r w:rsidRPr="0081018A">
        <w:t>forme</w:t>
      </w:r>
      <w:proofErr w:type="spellEnd"/>
      <w:r w:rsidRPr="0081018A">
        <w:t xml:space="preserve"> </w:t>
      </w:r>
      <w:proofErr w:type="spellStart"/>
      <w:r w:rsidRPr="0081018A">
        <w:t>d'infrastructure</w:t>
      </w:r>
      <w:proofErr w:type="spellEnd"/>
      <w:r w:rsidRPr="0081018A">
        <w:t xml:space="preserve">. </w:t>
      </w:r>
    </w:p>
    <w:p w:rsidR="0081018A" w:rsidRPr="0081018A" w:rsidRDefault="0081018A" w:rsidP="0081018A">
      <w:pPr>
        <w:pStyle w:val="Enumlevel1"/>
      </w:pPr>
      <w:r w:rsidRPr="0081018A">
        <w:rPr>
          <w:color w:val="E36C0A"/>
          <w:lang w:val="fr-CH"/>
        </w:rPr>
        <w:t>•</w:t>
      </w:r>
      <w:r w:rsidRPr="0081018A">
        <w:tab/>
      </w:r>
      <w:proofErr w:type="spellStart"/>
      <w:r w:rsidRPr="0081018A">
        <w:t>Réseaux</w:t>
      </w:r>
      <w:proofErr w:type="spellEnd"/>
      <w:r w:rsidRPr="0081018A">
        <w:t xml:space="preserve"> – Les </w:t>
      </w:r>
      <w:proofErr w:type="spellStart"/>
      <w:r w:rsidRPr="0081018A">
        <w:t>différents</w:t>
      </w:r>
      <w:proofErr w:type="spellEnd"/>
      <w:r w:rsidRPr="0081018A">
        <w:t xml:space="preserve"> types de </w:t>
      </w:r>
      <w:proofErr w:type="spellStart"/>
      <w:r w:rsidRPr="0081018A">
        <w:t>systèmes</w:t>
      </w:r>
      <w:proofErr w:type="spellEnd"/>
      <w:r w:rsidRPr="0081018A">
        <w:t xml:space="preserve"> de transmission (</w:t>
      </w:r>
      <w:proofErr w:type="spellStart"/>
      <w:r w:rsidRPr="0081018A">
        <w:t>filaire</w:t>
      </w:r>
      <w:proofErr w:type="spellEnd"/>
      <w:r w:rsidRPr="0081018A">
        <w:t xml:space="preserve">, </w:t>
      </w:r>
      <w:proofErr w:type="spellStart"/>
      <w:r w:rsidRPr="0081018A">
        <w:t>hertzien</w:t>
      </w:r>
      <w:proofErr w:type="spellEnd"/>
      <w:r w:rsidRPr="0081018A">
        <w:t xml:space="preserve">, par satellite, non </w:t>
      </w:r>
      <w:proofErr w:type="spellStart"/>
      <w:r w:rsidRPr="0081018A">
        <w:t>assujetti</w:t>
      </w:r>
      <w:proofErr w:type="spellEnd"/>
      <w:r w:rsidRPr="0081018A">
        <w:t xml:space="preserve"> à licence) </w:t>
      </w:r>
      <w:proofErr w:type="spellStart"/>
      <w:r w:rsidRPr="0081018A">
        <w:t>peuvent</w:t>
      </w:r>
      <w:proofErr w:type="spellEnd"/>
      <w:r w:rsidRPr="0081018A">
        <w:t xml:space="preserve"> </w:t>
      </w:r>
      <w:proofErr w:type="spellStart"/>
      <w:r w:rsidRPr="0081018A">
        <w:t>être</w:t>
      </w:r>
      <w:proofErr w:type="spellEnd"/>
      <w:r w:rsidRPr="0081018A">
        <w:t xml:space="preserve"> </w:t>
      </w:r>
      <w:proofErr w:type="spellStart"/>
      <w:r w:rsidRPr="0081018A">
        <w:t>reliés</w:t>
      </w:r>
      <w:proofErr w:type="spellEnd"/>
      <w:r w:rsidRPr="0081018A">
        <w:t xml:space="preserve"> par le </w:t>
      </w:r>
      <w:proofErr w:type="spellStart"/>
      <w:r w:rsidRPr="0081018A">
        <w:t>protocole</w:t>
      </w:r>
      <w:proofErr w:type="spellEnd"/>
      <w:r w:rsidRPr="0081018A">
        <w:t xml:space="preserve"> IP </w:t>
      </w:r>
      <w:proofErr w:type="spellStart"/>
      <w:r w:rsidRPr="0081018A">
        <w:t>afin</w:t>
      </w:r>
      <w:proofErr w:type="spellEnd"/>
      <w:r w:rsidRPr="0081018A">
        <w:t xml:space="preserve"> </w:t>
      </w:r>
      <w:proofErr w:type="spellStart"/>
      <w:r w:rsidRPr="0081018A">
        <w:t>d'assurer</w:t>
      </w:r>
      <w:proofErr w:type="spellEnd"/>
      <w:r w:rsidRPr="0081018A">
        <w:t xml:space="preserve"> des services </w:t>
      </w:r>
      <w:proofErr w:type="spellStart"/>
      <w:r w:rsidRPr="0081018A">
        <w:t>convergents</w:t>
      </w:r>
      <w:proofErr w:type="spellEnd"/>
      <w:r w:rsidRPr="0081018A">
        <w:t xml:space="preserve"> à tout moment et en tout lieu.</w:t>
      </w:r>
    </w:p>
    <w:p w:rsidR="0081018A" w:rsidRPr="0081018A" w:rsidRDefault="0081018A" w:rsidP="0081018A">
      <w:pPr>
        <w:pStyle w:val="Enumlevel1"/>
      </w:pPr>
      <w:r w:rsidRPr="0081018A">
        <w:rPr>
          <w:color w:val="E36C0A"/>
          <w:lang w:val="fr-CH"/>
        </w:rPr>
        <w:t>•</w:t>
      </w:r>
      <w:r w:rsidRPr="0081018A">
        <w:tab/>
      </w:r>
      <w:proofErr w:type="spellStart"/>
      <w:r w:rsidRPr="0081018A">
        <w:t>Dispositifs</w:t>
      </w:r>
      <w:proofErr w:type="spellEnd"/>
      <w:r w:rsidRPr="0081018A">
        <w:t xml:space="preserve"> – Un </w:t>
      </w:r>
      <w:proofErr w:type="spellStart"/>
      <w:r w:rsidRPr="0081018A">
        <w:t>seul</w:t>
      </w:r>
      <w:proofErr w:type="spellEnd"/>
      <w:r w:rsidRPr="0081018A">
        <w:t xml:space="preserve"> et </w:t>
      </w:r>
      <w:proofErr w:type="spellStart"/>
      <w:r w:rsidRPr="0081018A">
        <w:t>même</w:t>
      </w:r>
      <w:proofErr w:type="spellEnd"/>
      <w:r w:rsidRPr="0081018A">
        <w:t xml:space="preserve"> </w:t>
      </w:r>
      <w:proofErr w:type="spellStart"/>
      <w:r w:rsidRPr="0081018A">
        <w:t>dispositif</w:t>
      </w:r>
      <w:proofErr w:type="spellEnd"/>
      <w:r w:rsidRPr="0081018A">
        <w:t xml:space="preserve"> </w:t>
      </w:r>
      <w:proofErr w:type="spellStart"/>
      <w:r w:rsidRPr="0081018A">
        <w:t>permet</w:t>
      </w:r>
      <w:proofErr w:type="spellEnd"/>
      <w:r w:rsidRPr="0081018A">
        <w:t xml:space="preserve"> </w:t>
      </w:r>
      <w:proofErr w:type="spellStart"/>
      <w:r w:rsidRPr="0081018A">
        <w:t>d'accéder</w:t>
      </w:r>
      <w:proofErr w:type="spellEnd"/>
      <w:r w:rsidRPr="0081018A">
        <w:t xml:space="preserve"> à des services </w:t>
      </w:r>
      <w:proofErr w:type="spellStart"/>
      <w:r w:rsidRPr="0081018A">
        <w:t>téléphoniques</w:t>
      </w:r>
      <w:proofErr w:type="spellEnd"/>
      <w:r w:rsidRPr="0081018A">
        <w:t xml:space="preserve">, à la transmission </w:t>
      </w:r>
      <w:proofErr w:type="spellStart"/>
      <w:r w:rsidRPr="0081018A">
        <w:t>vidéo</w:t>
      </w:r>
      <w:proofErr w:type="spellEnd"/>
      <w:r w:rsidRPr="0081018A">
        <w:t xml:space="preserve"> en </w:t>
      </w:r>
      <w:proofErr w:type="spellStart"/>
      <w:r w:rsidRPr="0081018A">
        <w:t>continu</w:t>
      </w:r>
      <w:proofErr w:type="spellEnd"/>
      <w:r w:rsidRPr="0081018A">
        <w:t xml:space="preserve">, à la </w:t>
      </w:r>
      <w:proofErr w:type="spellStart"/>
      <w:r w:rsidRPr="0081018A">
        <w:t>radiodiffusion</w:t>
      </w:r>
      <w:proofErr w:type="spellEnd"/>
      <w:r w:rsidRPr="0081018A">
        <w:t xml:space="preserve"> et à </w:t>
      </w:r>
      <w:proofErr w:type="spellStart"/>
      <w:r w:rsidRPr="0081018A">
        <w:t>l'Internet</w:t>
      </w:r>
      <w:proofErr w:type="spellEnd"/>
      <w:r w:rsidRPr="0081018A">
        <w:t>.</w:t>
      </w:r>
    </w:p>
    <w:p w:rsidR="00CC4D1C" w:rsidRPr="003F265B" w:rsidRDefault="0081018A" w:rsidP="0081018A">
      <w:pPr>
        <w:pStyle w:val="Enumlevel1"/>
      </w:pPr>
      <w:r w:rsidRPr="0081018A">
        <w:rPr>
          <w:color w:val="E36C0A"/>
          <w:lang w:val="fr-CH"/>
        </w:rPr>
        <w:t>•</w:t>
      </w:r>
      <w:r w:rsidRPr="0081018A">
        <w:tab/>
      </w:r>
      <w:proofErr w:type="spellStart"/>
      <w:r w:rsidRPr="0081018A">
        <w:t>Entreprises</w:t>
      </w:r>
      <w:proofErr w:type="spellEnd"/>
      <w:r w:rsidRPr="0081018A">
        <w:t xml:space="preserve"> – Les </w:t>
      </w:r>
      <w:proofErr w:type="spellStart"/>
      <w:r w:rsidRPr="0081018A">
        <w:t>entreprises</w:t>
      </w:r>
      <w:proofErr w:type="spellEnd"/>
      <w:r w:rsidRPr="0081018A">
        <w:t xml:space="preserve"> </w:t>
      </w:r>
      <w:proofErr w:type="spellStart"/>
      <w:r w:rsidRPr="0081018A">
        <w:t>s'associent</w:t>
      </w:r>
      <w:proofErr w:type="spellEnd"/>
      <w:r w:rsidRPr="0081018A">
        <w:t xml:space="preserve">, par </w:t>
      </w:r>
      <w:proofErr w:type="spellStart"/>
      <w:r w:rsidRPr="0081018A">
        <w:t>exemple</w:t>
      </w:r>
      <w:proofErr w:type="spellEnd"/>
      <w:r w:rsidRPr="0081018A">
        <w:t xml:space="preserve">, par le </w:t>
      </w:r>
      <w:proofErr w:type="spellStart"/>
      <w:r w:rsidRPr="0081018A">
        <w:t>biais</w:t>
      </w:r>
      <w:proofErr w:type="spellEnd"/>
      <w:r w:rsidRPr="0081018A">
        <w:t xml:space="preserve"> de fusions et </w:t>
      </w:r>
      <w:proofErr w:type="spellStart"/>
      <w:r w:rsidRPr="0081018A">
        <w:t>d'acquisitions</w:t>
      </w:r>
      <w:proofErr w:type="spellEnd"/>
      <w:r w:rsidRPr="005934A2">
        <w:rPr>
          <w:lang w:val="fr-CH"/>
        </w:rPr>
        <w:t xml:space="preserve"> et d'intégrations verticales, afin de répondre à la demande des consommateurs qui veulent avoir accès à des services évolués.</w:t>
      </w:r>
    </w:p>
    <w:p w:rsidR="008177F7" w:rsidRPr="003F265B" w:rsidRDefault="0081018A" w:rsidP="001D381B">
      <w:pPr>
        <w:pStyle w:val="Heading1"/>
        <w:rPr>
          <w:lang w:val="en-GB"/>
        </w:rPr>
      </w:pPr>
      <w:bookmarkStart w:id="34" w:name="_Toc352684414"/>
      <w:bookmarkStart w:id="35" w:name="_Toc354053099"/>
      <w:bookmarkStart w:id="36" w:name="_Toc367349743"/>
      <w:r w:rsidRPr="005934A2">
        <w:t xml:space="preserve">Section 1: Cadres </w:t>
      </w:r>
      <w:proofErr w:type="spellStart"/>
      <w:r w:rsidRPr="001D381B">
        <w:t>réglementaires</w:t>
      </w:r>
      <w:proofErr w:type="spellEnd"/>
      <w:r w:rsidRPr="005934A2">
        <w:t xml:space="preserve"> en </w:t>
      </w:r>
      <w:proofErr w:type="spellStart"/>
      <w:r w:rsidRPr="005934A2">
        <w:t>vigueur</w:t>
      </w:r>
      <w:proofErr w:type="spellEnd"/>
      <w:r w:rsidRPr="005934A2">
        <w:t xml:space="preserve"> en </w:t>
      </w:r>
      <w:proofErr w:type="spellStart"/>
      <w:r w:rsidRPr="005934A2">
        <w:t>matière</w:t>
      </w:r>
      <w:proofErr w:type="spellEnd"/>
      <w:r w:rsidRPr="005934A2">
        <w:t xml:space="preserve"> de protection des </w:t>
      </w:r>
      <w:proofErr w:type="spellStart"/>
      <w:r w:rsidRPr="005934A2">
        <w:t>consommateurs</w:t>
      </w:r>
      <w:proofErr w:type="spellEnd"/>
      <w:r w:rsidRPr="005934A2">
        <w:rPr>
          <w:vertAlign w:val="superscript"/>
        </w:rPr>
        <w:footnoteReference w:id="3"/>
      </w:r>
      <w:bookmarkEnd w:id="34"/>
      <w:bookmarkEnd w:id="35"/>
      <w:bookmarkEnd w:id="36"/>
    </w:p>
    <w:p w:rsidR="0081018A" w:rsidRPr="0081018A" w:rsidRDefault="0081018A" w:rsidP="0081018A">
      <w:r w:rsidRPr="0081018A">
        <w:t>En juillet 2012, la Commission d'études 1 de l'UIT-D a mené auprès des 193 Etats Membres une enquête sur les politiques de protection des consommateurs, qui portait en particulier sur la convergence. La Commission d'études 1 utilisera les résultats de cette enquête pour rédiger les conclusions de l'étude de la Question 18-2/1 pour la période 2010-2014.</w:t>
      </w:r>
    </w:p>
    <w:p w:rsidR="008177F7" w:rsidRPr="003F265B" w:rsidRDefault="0081018A" w:rsidP="0081018A">
      <w:pPr>
        <w:rPr>
          <w:lang w:val="en-GB"/>
        </w:rPr>
      </w:pPr>
      <w:r w:rsidRPr="0081018A">
        <w:t>Au total, 37 réponses ont été reçues, dont deux émanaient d'organisations régionales/internationales et deux de Membres de Secteur</w:t>
      </w:r>
      <w:r w:rsidRPr="0081018A">
        <w:rPr>
          <w:vertAlign w:val="superscript"/>
        </w:rPr>
        <w:footnoteReference w:id="4"/>
      </w:r>
      <w:r w:rsidRPr="0081018A">
        <w:t>. La Figure 1 ci-après montre la ventilation des participants par région, tandis que le Tableau 1 présente les participants par niveau de développement.</w:t>
      </w:r>
      <w:r w:rsidR="004E7F9B" w:rsidRPr="003F265B">
        <w:rPr>
          <w:lang w:val="en-GB"/>
        </w:rPr>
        <w:t xml:space="preserve"> </w:t>
      </w:r>
    </w:p>
    <w:p w:rsidR="00CC4D1C" w:rsidRPr="003F265B" w:rsidRDefault="001D381B" w:rsidP="00AD73B3">
      <w:pPr>
        <w:pStyle w:val="Figuretitle"/>
        <w:rPr>
          <w:lang w:val="en-GB"/>
        </w:rPr>
      </w:pPr>
      <w:r w:rsidRPr="00281A9B">
        <w:rPr>
          <w:lang w:val="fr-CH"/>
        </w:rPr>
        <w:lastRenderedPageBreak/>
        <w:t xml:space="preserve">Figure 1: </w:t>
      </w:r>
      <w:r w:rsidRPr="00EE3E8D">
        <w:rPr>
          <w:lang w:val="fr-FR"/>
        </w:rPr>
        <w:t>Ventilation des participants à l'enquête par région</w:t>
      </w:r>
    </w:p>
    <w:p w:rsidR="00AD73B3" w:rsidRPr="003F265B" w:rsidRDefault="00AD73B3" w:rsidP="00AD73B3">
      <w:pPr>
        <w:pStyle w:val="Figure"/>
        <w:rPr>
          <w:lang w:val="en-GB"/>
        </w:rPr>
      </w:pPr>
      <w:r w:rsidRPr="003F265B">
        <w:rPr>
          <w:noProof/>
          <w:lang w:val="en-US" w:eastAsia="zh-CN"/>
        </w:rPr>
        <w:drawing>
          <wp:inline distT="0" distB="0" distL="0" distR="0">
            <wp:extent cx="4582145" cy="1477926"/>
            <wp:effectExtent l="19050" t="0" r="27955" b="7974"/>
            <wp:docPr id="12" name="C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D73B3" w:rsidRPr="003F265B" w:rsidRDefault="001D381B" w:rsidP="00AD73B3">
      <w:pPr>
        <w:pStyle w:val="figuresource"/>
        <w:rPr>
          <w:lang w:val="en-GB"/>
        </w:rPr>
      </w:pPr>
      <w:r>
        <w:rPr>
          <w:lang w:val="en-GB"/>
        </w:rPr>
        <w:t>Source: UIT</w:t>
      </w:r>
    </w:p>
    <w:p w:rsidR="00CC4D1C" w:rsidRPr="003F265B" w:rsidRDefault="00CC4D1C" w:rsidP="00CC4D1C">
      <w:pPr>
        <w:rPr>
          <w:lang w:val="en-GB"/>
        </w:rPr>
      </w:pPr>
    </w:p>
    <w:p w:rsidR="005576D9" w:rsidRPr="003F265B" w:rsidRDefault="001D381B" w:rsidP="005576D9">
      <w:pPr>
        <w:pStyle w:val="Tabletitle"/>
        <w:rPr>
          <w:lang w:val="en-GB"/>
        </w:rPr>
      </w:pPr>
      <w:r w:rsidRPr="004346ED">
        <w:rPr>
          <w:sz w:val="22"/>
          <w:szCs w:val="22"/>
          <w:lang w:val="fr-FR"/>
        </w:rPr>
        <w:t>Tableau 1: Ventilation des participants à l'enquête par niveau de développement</w:t>
      </w:r>
    </w:p>
    <w:tbl>
      <w:tblPr>
        <w:tblW w:w="8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95"/>
        <w:gridCol w:w="2619"/>
      </w:tblGrid>
      <w:tr w:rsidR="001D381B" w:rsidRPr="00EE3E8D" w:rsidTr="008827DC">
        <w:trPr>
          <w:jc w:val="center"/>
        </w:trPr>
        <w:tc>
          <w:tcPr>
            <w:tcW w:w="5495" w:type="dxa"/>
            <w:shd w:val="clear" w:color="auto" w:fill="E36C0A"/>
          </w:tcPr>
          <w:p w:rsidR="001D381B" w:rsidRPr="00EE3E8D" w:rsidRDefault="001D381B" w:rsidP="008827DC">
            <w:pPr>
              <w:pStyle w:val="Tablehead"/>
              <w:rPr>
                <w:lang w:val="fr-FR"/>
              </w:rPr>
            </w:pPr>
          </w:p>
        </w:tc>
        <w:tc>
          <w:tcPr>
            <w:tcW w:w="2619" w:type="dxa"/>
            <w:shd w:val="clear" w:color="auto" w:fill="E36C0A"/>
          </w:tcPr>
          <w:p w:rsidR="001D381B" w:rsidRPr="00EE3E8D" w:rsidRDefault="001D381B" w:rsidP="008827DC">
            <w:pPr>
              <w:pStyle w:val="Tablehead"/>
              <w:rPr>
                <w:lang w:val="fr-FR"/>
              </w:rPr>
            </w:pPr>
            <w:r w:rsidRPr="00EE3E8D">
              <w:rPr>
                <w:lang w:val="fr-FR"/>
              </w:rPr>
              <w:t>Pourcentage</w:t>
            </w:r>
          </w:p>
        </w:tc>
      </w:tr>
      <w:tr w:rsidR="001D381B" w:rsidRPr="00EE3E8D" w:rsidTr="008827DC">
        <w:trPr>
          <w:jc w:val="center"/>
        </w:trPr>
        <w:tc>
          <w:tcPr>
            <w:tcW w:w="5495" w:type="dxa"/>
            <w:shd w:val="clear" w:color="auto" w:fill="FBD4B4"/>
          </w:tcPr>
          <w:p w:rsidR="001D381B" w:rsidRPr="00EE3E8D" w:rsidRDefault="001D381B" w:rsidP="008827DC">
            <w:pPr>
              <w:pStyle w:val="Tabletext"/>
            </w:pPr>
            <w:r w:rsidRPr="00EE3E8D">
              <w:t>Pays développés</w:t>
            </w:r>
          </w:p>
        </w:tc>
        <w:tc>
          <w:tcPr>
            <w:tcW w:w="2619" w:type="dxa"/>
            <w:shd w:val="clear" w:color="auto" w:fill="FBD4B4"/>
          </w:tcPr>
          <w:p w:rsidR="001D381B" w:rsidRPr="00EE3E8D" w:rsidRDefault="001D381B" w:rsidP="008827DC">
            <w:pPr>
              <w:pStyle w:val="Tabletext"/>
              <w:jc w:val="center"/>
            </w:pPr>
            <w:r w:rsidRPr="00EE3E8D">
              <w:t>18,9</w:t>
            </w:r>
          </w:p>
        </w:tc>
      </w:tr>
      <w:tr w:rsidR="001D381B" w:rsidRPr="00EE3E8D" w:rsidTr="008827DC">
        <w:trPr>
          <w:jc w:val="center"/>
        </w:trPr>
        <w:tc>
          <w:tcPr>
            <w:tcW w:w="5495" w:type="dxa"/>
          </w:tcPr>
          <w:p w:rsidR="001D381B" w:rsidRPr="00EE3E8D" w:rsidRDefault="001D381B" w:rsidP="008827DC">
            <w:pPr>
              <w:pStyle w:val="Tabletext"/>
            </w:pPr>
            <w:r w:rsidRPr="00EE3E8D">
              <w:t>Pays dont l'économie est en transition</w:t>
            </w:r>
          </w:p>
        </w:tc>
        <w:tc>
          <w:tcPr>
            <w:tcW w:w="2619" w:type="dxa"/>
          </w:tcPr>
          <w:p w:rsidR="001D381B" w:rsidRPr="00EE3E8D" w:rsidRDefault="001D381B" w:rsidP="008827DC">
            <w:pPr>
              <w:pStyle w:val="Tabletext"/>
              <w:jc w:val="center"/>
            </w:pPr>
            <w:r w:rsidRPr="00EE3E8D">
              <w:t>2,7</w:t>
            </w:r>
          </w:p>
        </w:tc>
      </w:tr>
      <w:tr w:rsidR="001D381B" w:rsidRPr="00EE3E8D" w:rsidTr="008827DC">
        <w:trPr>
          <w:jc w:val="center"/>
        </w:trPr>
        <w:tc>
          <w:tcPr>
            <w:tcW w:w="5495" w:type="dxa"/>
            <w:shd w:val="clear" w:color="auto" w:fill="FBD4B4"/>
          </w:tcPr>
          <w:p w:rsidR="001D381B" w:rsidRPr="00EE3E8D" w:rsidRDefault="001D381B" w:rsidP="008827DC">
            <w:pPr>
              <w:pStyle w:val="Tabletext"/>
            </w:pPr>
            <w:r w:rsidRPr="00EE3E8D">
              <w:t>Pays en développement</w:t>
            </w:r>
          </w:p>
        </w:tc>
        <w:tc>
          <w:tcPr>
            <w:tcW w:w="2619" w:type="dxa"/>
            <w:shd w:val="clear" w:color="auto" w:fill="FBD4B4"/>
          </w:tcPr>
          <w:p w:rsidR="001D381B" w:rsidRPr="00EE3E8D" w:rsidRDefault="001D381B" w:rsidP="008827DC">
            <w:pPr>
              <w:pStyle w:val="Tabletext"/>
              <w:jc w:val="center"/>
            </w:pPr>
            <w:r w:rsidRPr="00EE3E8D">
              <w:t>54,1</w:t>
            </w:r>
          </w:p>
        </w:tc>
      </w:tr>
      <w:tr w:rsidR="001D381B" w:rsidRPr="00EE3E8D" w:rsidTr="008827DC">
        <w:trPr>
          <w:jc w:val="center"/>
        </w:trPr>
        <w:tc>
          <w:tcPr>
            <w:tcW w:w="5495" w:type="dxa"/>
          </w:tcPr>
          <w:p w:rsidR="001D381B" w:rsidRPr="00EE3E8D" w:rsidRDefault="001D381B" w:rsidP="008827DC">
            <w:pPr>
              <w:pStyle w:val="Tabletext"/>
            </w:pPr>
            <w:r w:rsidRPr="00EE3E8D">
              <w:t>Pays les moins avancés</w:t>
            </w:r>
          </w:p>
        </w:tc>
        <w:tc>
          <w:tcPr>
            <w:tcW w:w="2619" w:type="dxa"/>
          </w:tcPr>
          <w:p w:rsidR="001D381B" w:rsidRPr="00EE3E8D" w:rsidRDefault="001D381B" w:rsidP="008827DC">
            <w:pPr>
              <w:pStyle w:val="Tabletext"/>
              <w:jc w:val="center"/>
            </w:pPr>
            <w:r w:rsidRPr="00EE3E8D">
              <w:t>21,3</w:t>
            </w:r>
          </w:p>
        </w:tc>
      </w:tr>
    </w:tbl>
    <w:p w:rsidR="005576D9" w:rsidRPr="003F265B" w:rsidRDefault="005576D9" w:rsidP="005576D9">
      <w:pPr>
        <w:rPr>
          <w:lang w:val="en-GB"/>
        </w:rPr>
      </w:pPr>
    </w:p>
    <w:p w:rsidR="00D15E50" w:rsidRPr="004346ED" w:rsidRDefault="00D15E50" w:rsidP="00D15E50">
      <w:r w:rsidRPr="004346ED">
        <w:t>Des 32 Etats Membres ayant répondu</w:t>
      </w:r>
      <w:r w:rsidRPr="004346ED">
        <w:rPr>
          <w:vertAlign w:val="superscript"/>
        </w:rPr>
        <w:footnoteReference w:id="5"/>
      </w:r>
      <w:r w:rsidRPr="004346ED">
        <w:t>, 67% ont indiqué avoir une législation spécifique concernant la protection et les droits des consommateurs dans le secteur des télécommunications/TIC. En revanche, seuls deux des huit pays appartenant à la catégorie des pays les moins avancés (PMA)</w:t>
      </w:r>
      <w:r w:rsidRPr="004346ED">
        <w:rPr>
          <w:vertAlign w:val="superscript"/>
        </w:rPr>
        <w:footnoteReference w:id="6"/>
      </w:r>
      <w:r w:rsidRPr="004346ED">
        <w:t xml:space="preserve"> ayant répondu (à savoir le Sénégal et le Mali) ont une telle législation. </w:t>
      </w:r>
    </w:p>
    <w:p w:rsidR="00D15E50" w:rsidRPr="004346ED" w:rsidRDefault="00D15E50" w:rsidP="00D15E50">
      <w:r w:rsidRPr="004346ED">
        <w:t xml:space="preserve">Lorsqu'il existe une législation, les dispositions relatives aux consommateurs les plus souvent citées sont les suivantes: accès à l'information/transparence; qualité de service; équité/droit d'accès aux services; protection des données personnelles; protection de la vie privée; confidentialité des informations et droit de déposer plainte. </w:t>
      </w:r>
    </w:p>
    <w:p w:rsidR="005576D9" w:rsidRPr="003F265B" w:rsidRDefault="00D15E50" w:rsidP="00D15E50">
      <w:pPr>
        <w:rPr>
          <w:lang w:val="en-GB"/>
        </w:rPr>
      </w:pPr>
      <w:r w:rsidRPr="004346ED">
        <w:t xml:space="preserve">Les droits les moins souvent cités sont les suivants: </w:t>
      </w:r>
    </w:p>
    <w:p w:rsidR="00D15E50" w:rsidRPr="00D15E50" w:rsidRDefault="00D15E50" w:rsidP="00D15E50">
      <w:pPr>
        <w:pStyle w:val="Enumlevel1"/>
      </w:pPr>
      <w:r w:rsidRPr="004346ED">
        <w:rPr>
          <w:color w:val="E36C0A"/>
          <w:lang w:val="fr-FR"/>
        </w:rPr>
        <w:t>•</w:t>
      </w:r>
      <w:r w:rsidRPr="004346ED">
        <w:rPr>
          <w:lang w:val="fr-FR"/>
        </w:rPr>
        <w:tab/>
        <w:t xml:space="preserve">droit de </w:t>
      </w:r>
      <w:proofErr w:type="spellStart"/>
      <w:r w:rsidRPr="00D15E50">
        <w:t>résilier</w:t>
      </w:r>
      <w:proofErr w:type="spellEnd"/>
      <w:r w:rsidRPr="00D15E50">
        <w:t xml:space="preserve">/modifier un </w:t>
      </w:r>
      <w:proofErr w:type="spellStart"/>
      <w:r w:rsidRPr="00D15E50">
        <w:t>contrat</w:t>
      </w:r>
      <w:proofErr w:type="spellEnd"/>
      <w:r w:rsidRPr="00D15E50">
        <w:t xml:space="preserve"> (7/29, 24%);</w:t>
      </w:r>
    </w:p>
    <w:p w:rsidR="00D15E50" w:rsidRPr="00D15E50" w:rsidRDefault="00D15E50" w:rsidP="00D15E50">
      <w:pPr>
        <w:pStyle w:val="Enumlevel1"/>
      </w:pPr>
      <w:r w:rsidRPr="00D15E50">
        <w:rPr>
          <w:color w:val="E36C0A"/>
        </w:rPr>
        <w:t>•</w:t>
      </w:r>
      <w:r w:rsidRPr="00D15E50">
        <w:tab/>
      </w:r>
      <w:proofErr w:type="gramStart"/>
      <w:r w:rsidRPr="00D15E50">
        <w:t>compensation</w:t>
      </w:r>
      <w:proofErr w:type="gramEnd"/>
      <w:r w:rsidRPr="00D15E50">
        <w:t xml:space="preserve"> en </w:t>
      </w:r>
      <w:proofErr w:type="spellStart"/>
      <w:r w:rsidRPr="00D15E50">
        <w:t>cas</w:t>
      </w:r>
      <w:proofErr w:type="spellEnd"/>
      <w:r w:rsidRPr="00D15E50">
        <w:t xml:space="preserve"> </w:t>
      </w:r>
      <w:proofErr w:type="spellStart"/>
      <w:r w:rsidRPr="00D15E50">
        <w:t>d'interruption</w:t>
      </w:r>
      <w:proofErr w:type="spellEnd"/>
      <w:r w:rsidRPr="00D15E50">
        <w:t xml:space="preserve"> du service (5/29, 17%);</w:t>
      </w:r>
    </w:p>
    <w:p w:rsidR="00D15E50" w:rsidRPr="00D15E50" w:rsidRDefault="00D15E50" w:rsidP="00D15E50">
      <w:pPr>
        <w:pStyle w:val="Enumlevel1"/>
      </w:pPr>
      <w:r w:rsidRPr="00D15E50">
        <w:rPr>
          <w:color w:val="E36C0A"/>
        </w:rPr>
        <w:t>•</w:t>
      </w:r>
      <w:r w:rsidRPr="00D15E50">
        <w:tab/>
      </w:r>
      <w:proofErr w:type="spellStart"/>
      <w:proofErr w:type="gramStart"/>
      <w:r w:rsidRPr="00D15E50">
        <w:t>droit</w:t>
      </w:r>
      <w:proofErr w:type="spellEnd"/>
      <w:proofErr w:type="gramEnd"/>
      <w:r w:rsidRPr="00D15E50">
        <w:t xml:space="preserve"> de </w:t>
      </w:r>
      <w:proofErr w:type="spellStart"/>
      <w:r w:rsidRPr="00D15E50">
        <w:t>bloquer</w:t>
      </w:r>
      <w:proofErr w:type="spellEnd"/>
      <w:r w:rsidRPr="00D15E50">
        <w:t xml:space="preserve"> la </w:t>
      </w:r>
      <w:proofErr w:type="spellStart"/>
      <w:r w:rsidRPr="00D15E50">
        <w:t>publicité</w:t>
      </w:r>
      <w:proofErr w:type="spellEnd"/>
      <w:r w:rsidRPr="00D15E50">
        <w:t xml:space="preserve"> (4/29, 14%);</w:t>
      </w:r>
    </w:p>
    <w:p w:rsidR="00D15E50" w:rsidRPr="00D15E50" w:rsidRDefault="00D15E50" w:rsidP="00D15E50">
      <w:pPr>
        <w:pStyle w:val="Enumlevel1"/>
      </w:pPr>
      <w:r w:rsidRPr="00D15E50">
        <w:rPr>
          <w:color w:val="E36C0A"/>
        </w:rPr>
        <w:t>•</w:t>
      </w:r>
      <w:r w:rsidRPr="00D15E50">
        <w:tab/>
      </w:r>
      <w:proofErr w:type="spellStart"/>
      <w:proofErr w:type="gramStart"/>
      <w:r w:rsidRPr="00D15E50">
        <w:t>accès</w:t>
      </w:r>
      <w:proofErr w:type="spellEnd"/>
      <w:proofErr w:type="gramEnd"/>
      <w:r w:rsidRPr="00D15E50">
        <w:t xml:space="preserve"> aux </w:t>
      </w:r>
      <w:proofErr w:type="spellStart"/>
      <w:r w:rsidRPr="00D15E50">
        <w:t>numéros</w:t>
      </w:r>
      <w:proofErr w:type="spellEnd"/>
      <w:r w:rsidRPr="00D15E50">
        <w:t xml:space="preserve"> </w:t>
      </w:r>
      <w:proofErr w:type="spellStart"/>
      <w:r w:rsidRPr="00D15E50">
        <w:t>d'urgence</w:t>
      </w:r>
      <w:proofErr w:type="spellEnd"/>
      <w:r w:rsidRPr="00D15E50">
        <w:t xml:space="preserve"> (3/29, 10%);</w:t>
      </w:r>
    </w:p>
    <w:p w:rsidR="005576D9" w:rsidRPr="003F265B" w:rsidRDefault="00D15E50" w:rsidP="00D15E50">
      <w:pPr>
        <w:pStyle w:val="Enumlevel1"/>
      </w:pPr>
      <w:r w:rsidRPr="00D15E50">
        <w:rPr>
          <w:color w:val="E36C0A"/>
        </w:rPr>
        <w:t>•</w:t>
      </w:r>
      <w:r w:rsidRPr="00D15E50">
        <w:tab/>
      </w:r>
      <w:proofErr w:type="spellStart"/>
      <w:proofErr w:type="gramStart"/>
      <w:r w:rsidRPr="00D15E50">
        <w:t>portabilité</w:t>
      </w:r>
      <w:proofErr w:type="spellEnd"/>
      <w:proofErr w:type="gramEnd"/>
      <w:r w:rsidRPr="004346ED">
        <w:rPr>
          <w:lang w:val="fr-FR"/>
        </w:rPr>
        <w:t xml:space="preserve"> du numéro (3/29, 10%)</w:t>
      </w:r>
      <w:r>
        <w:rPr>
          <w:lang w:val="fr-FR"/>
        </w:rPr>
        <w:t>.</w:t>
      </w:r>
    </w:p>
    <w:p w:rsidR="00D15E50" w:rsidRPr="00D15E50" w:rsidRDefault="00D15E50" w:rsidP="00D15E50">
      <w:pPr>
        <w:keepNext/>
        <w:keepLines/>
      </w:pPr>
      <w:r w:rsidRPr="00D15E50">
        <w:lastRenderedPageBreak/>
        <w:t>Les participants à l'enquête ont presque tous indiqué que les consommateurs pouvaient accéder aux informations sur les prix/tarifs de l'accès et des services fixes, mobiles et Internet (sur ordinateur personnel et sur "</w:t>
      </w:r>
      <w:proofErr w:type="spellStart"/>
      <w:r w:rsidRPr="00D15E50">
        <w:t>smartphone</w:t>
      </w:r>
      <w:proofErr w:type="spellEnd"/>
      <w:r w:rsidRPr="00D15E50">
        <w:t xml:space="preserve">"). Vingt-trois participants (soit 62%) ont dit jouer un rôle dans le traitement des plaintes des consommateurs. </w:t>
      </w:r>
    </w:p>
    <w:p w:rsidR="00D15E50" w:rsidRPr="00D15E50" w:rsidRDefault="00D15E50" w:rsidP="00D15E50">
      <w:r w:rsidRPr="00D15E50">
        <w:rPr>
          <w:bCs/>
        </w:rPr>
        <w:t>Les plaintes des consommateurs constituent un indicateur précieux aidant les régulateurs à identifier les domaines dans lesquels la législation/réglementation en vigueur peut être insuffisante et où il est préférable de privilégier l'intervention. Les types de plaintes revenant le plus fréquemment, citées par tous les participants à l'enquête, concernent la tarification et la facturation, la qualité de service et les interruptions de service/une couverture médiocre.</w:t>
      </w:r>
    </w:p>
    <w:p w:rsidR="00D15E50" w:rsidRPr="00D15E50" w:rsidRDefault="00D15E50" w:rsidP="00D15E50">
      <w:r w:rsidRPr="00D15E50">
        <w:t>Le temps nécessaire au traitement des plaintes est l'un des meilleurs indicateurs de l'efficacité des pratiques en matière de protection des consommateurs. Cet indicateur contribue à mettre en évidence le niveau et le coût des ressources nécessaires, ainsi que l'organisme le mieux à même de traiter les plaintes. Lorsque les autorités nationales de régulation indiquent jouer un rôle dans le traitement des plaintes, le temps nécessaire pour ce faire varie peu. Dans deux tiers des cas environ, les plaintes sont traitées en 25 jours. Trois des 16 participants ont dit rencontrer des problèmes et des contestations en raison de la lenteur des procédures.</w:t>
      </w:r>
    </w:p>
    <w:p w:rsidR="005576D9" w:rsidRPr="003F265B" w:rsidRDefault="00D15E50" w:rsidP="00D15E50">
      <w:pPr>
        <w:rPr>
          <w:lang w:val="en-GB"/>
        </w:rPr>
      </w:pPr>
      <w:r w:rsidRPr="00D15E50">
        <w:t>Comme le montre la Figure 2, les responsabilités assumées concernant la protection des consommateurs varient beaucoup selon que l'on parle de pays en développement, de pays développés ou de pays dont l'économie est en transition. Par exemple, les régulateurs des pays développés ont moins tendance que ceux des pays en développement à intervenir directement dans le traitement des plaintes, tandis que les régulateurs des pays les moins avancés sont ceux qui s'occupent le plus de la protection contre les fraudes.</w:t>
      </w:r>
      <w:r w:rsidR="005576D9" w:rsidRPr="003F265B">
        <w:rPr>
          <w:lang w:val="en-GB"/>
        </w:rPr>
        <w:t xml:space="preserve"> </w:t>
      </w:r>
    </w:p>
    <w:p w:rsidR="00CC4D1C" w:rsidRPr="003F265B" w:rsidRDefault="00D15E50" w:rsidP="00B13193">
      <w:pPr>
        <w:pStyle w:val="Figuretitle"/>
        <w:rPr>
          <w:lang w:val="en-GB"/>
        </w:rPr>
      </w:pPr>
      <w:r w:rsidRPr="004346ED">
        <w:rPr>
          <w:lang w:val="fr-CH"/>
        </w:rPr>
        <w:t>Figur</w:t>
      </w:r>
      <w:r>
        <w:rPr>
          <w:lang w:val="fr-CH"/>
        </w:rPr>
        <w:t>e</w:t>
      </w:r>
      <w:r w:rsidRPr="004346ED">
        <w:rPr>
          <w:lang w:val="fr-CH"/>
        </w:rPr>
        <w:t xml:space="preserve"> 2: </w:t>
      </w:r>
      <w:r w:rsidRPr="00EE3E8D">
        <w:rPr>
          <w:lang w:val="fr-FR"/>
        </w:rPr>
        <w:t>Activités réglementaires relatives à la protection des consommateurs par niveau de développement</w:t>
      </w:r>
    </w:p>
    <w:p w:rsidR="00B13193" w:rsidRPr="003F265B" w:rsidRDefault="002C6A7A" w:rsidP="00B13193">
      <w:pPr>
        <w:pStyle w:val="Figure"/>
        <w:rPr>
          <w:lang w:val="en-GB"/>
        </w:rPr>
      </w:pPr>
      <w:r>
        <w:rPr>
          <w:noProof/>
          <w:lang w:val="en-US" w:eastAsia="zh-CN"/>
        </w:rPr>
        <w:pict>
          <v:shapetype id="_x0000_t202" coordsize="21600,21600" o:spt="202" path="m,l,21600r21600,l21600,xe">
            <v:stroke joinstyle="miter"/>
            <v:path gradientshapeok="t" o:connecttype="rect"/>
          </v:shapetype>
          <v:shape id="_x0000_s1032" type="#_x0000_t202" style="position:absolute;left:0;text-align:left;margin-left:405.25pt;margin-top:148.9pt;width:26.45pt;height:13.7pt;z-index:251664896" filled="f" stroked="f">
            <v:textbox inset="1.5mm,.3mm,1.5mm,.3mm">
              <w:txbxContent>
                <w:p w:rsidR="00C954D9" w:rsidRPr="008827DC" w:rsidRDefault="00C954D9" w:rsidP="00AC5A3E">
                  <w:pPr>
                    <w:shd w:val="clear" w:color="auto" w:fill="FFFFFF" w:themeFill="background1"/>
                    <w:spacing w:before="0"/>
                    <w:rPr>
                      <w:sz w:val="12"/>
                      <w:szCs w:val="16"/>
                      <w:lang w:val="en-US"/>
                    </w:rPr>
                  </w:pPr>
                  <w:proofErr w:type="spellStart"/>
                  <w:r>
                    <w:rPr>
                      <w:sz w:val="12"/>
                      <w:szCs w:val="16"/>
                      <w:lang w:val="en-US"/>
                    </w:rPr>
                    <w:t>Autres</w:t>
                  </w:r>
                  <w:proofErr w:type="spellEnd"/>
                </w:p>
              </w:txbxContent>
            </v:textbox>
          </v:shape>
        </w:pict>
      </w:r>
      <w:r>
        <w:rPr>
          <w:noProof/>
          <w:lang w:val="en-US" w:eastAsia="zh-CN"/>
        </w:rPr>
        <w:pict>
          <v:shape id="_x0000_s1028" type="#_x0000_t202" style="position:absolute;left:0;text-align:left;margin-left:51.45pt;margin-top:148.9pt;width:76pt;height:13.7pt;z-index:251660800" filled="f" stroked="f">
            <v:textbox inset="1.5mm,.3mm,1.5mm,.3mm">
              <w:txbxContent>
                <w:p w:rsidR="00C954D9" w:rsidRPr="008827DC" w:rsidRDefault="00C954D9" w:rsidP="008827DC">
                  <w:pPr>
                    <w:shd w:val="clear" w:color="auto" w:fill="FFFFFF" w:themeFill="background1"/>
                    <w:spacing w:before="0"/>
                    <w:rPr>
                      <w:sz w:val="12"/>
                      <w:szCs w:val="16"/>
                      <w:lang w:val="en-US"/>
                    </w:rPr>
                  </w:pPr>
                  <w:r w:rsidRPr="008827DC">
                    <w:rPr>
                      <w:sz w:val="12"/>
                      <w:szCs w:val="16"/>
                      <w:lang w:val="en-US"/>
                    </w:rPr>
                    <w:t xml:space="preserve">Examine les </w:t>
                  </w:r>
                  <w:proofErr w:type="spellStart"/>
                  <w:r w:rsidRPr="008827DC">
                    <w:rPr>
                      <w:sz w:val="12"/>
                      <w:szCs w:val="16"/>
                      <w:lang w:val="en-US"/>
                    </w:rPr>
                    <w:t>plaintes</w:t>
                  </w:r>
                  <w:proofErr w:type="spellEnd"/>
                </w:p>
              </w:txbxContent>
            </v:textbox>
          </v:shape>
        </w:pict>
      </w:r>
      <w:r>
        <w:rPr>
          <w:noProof/>
          <w:lang w:val="en-US" w:eastAsia="zh-CN"/>
        </w:rPr>
        <w:pict>
          <v:shape id="_x0000_s1029" type="#_x0000_t202" style="position:absolute;left:0;text-align:left;margin-left:130.95pt;margin-top:149.35pt;width:58.75pt;height:13.7pt;z-index:251661824" filled="f" stroked="f">
            <v:textbox inset="1.5mm,.3mm,1.5mm,.3mm">
              <w:txbxContent>
                <w:p w:rsidR="00C954D9" w:rsidRPr="008827DC" w:rsidRDefault="00C954D9" w:rsidP="008827DC">
                  <w:pPr>
                    <w:shd w:val="clear" w:color="auto" w:fill="FFFFFF" w:themeFill="background1"/>
                    <w:spacing w:before="0"/>
                    <w:rPr>
                      <w:sz w:val="12"/>
                      <w:szCs w:val="16"/>
                      <w:lang w:val="en-US"/>
                    </w:rPr>
                  </w:pPr>
                  <w:proofErr w:type="spellStart"/>
                  <w:r w:rsidRPr="008827DC">
                    <w:rPr>
                      <w:sz w:val="12"/>
                      <w:szCs w:val="16"/>
                      <w:lang w:val="en-US"/>
                    </w:rPr>
                    <w:t>Offre</w:t>
                  </w:r>
                  <w:proofErr w:type="spellEnd"/>
                  <w:r w:rsidRPr="008827DC">
                    <w:rPr>
                      <w:sz w:val="12"/>
                      <w:szCs w:val="16"/>
                      <w:lang w:val="en-US"/>
                    </w:rPr>
                    <w:t xml:space="preserve"> </w:t>
                  </w:r>
                  <w:proofErr w:type="spellStart"/>
                  <w:r w:rsidRPr="008827DC">
                    <w:rPr>
                      <w:sz w:val="12"/>
                      <w:szCs w:val="16"/>
                      <w:lang w:val="en-US"/>
                    </w:rPr>
                    <w:t>une</w:t>
                  </w:r>
                  <w:proofErr w:type="spellEnd"/>
                  <w:r w:rsidRPr="008827DC">
                    <w:rPr>
                      <w:sz w:val="12"/>
                      <w:szCs w:val="16"/>
                      <w:lang w:val="en-US"/>
                    </w:rPr>
                    <w:t xml:space="preserve"> formation</w:t>
                  </w:r>
                </w:p>
              </w:txbxContent>
            </v:textbox>
          </v:shape>
        </w:pict>
      </w:r>
      <w:r>
        <w:rPr>
          <w:noProof/>
          <w:lang w:val="en-US" w:eastAsia="zh-CN"/>
        </w:rPr>
        <w:pict>
          <v:shape id="_x0000_s1030" type="#_x0000_t202" style="position:absolute;left:0;text-align:left;margin-left:192.25pt;margin-top:147.6pt;width:134.4pt;height:15.45pt;z-index:251662848" filled="f" stroked="f">
            <v:textbox inset="1.5mm,.3mm,1.5mm,.3mm">
              <w:txbxContent>
                <w:p w:rsidR="00C954D9" w:rsidRPr="008827DC" w:rsidRDefault="00C954D9" w:rsidP="00AC5A3E">
                  <w:pPr>
                    <w:shd w:val="clear" w:color="auto" w:fill="FFFFFF" w:themeFill="background1"/>
                    <w:spacing w:before="0"/>
                    <w:jc w:val="left"/>
                    <w:rPr>
                      <w:sz w:val="12"/>
                      <w:szCs w:val="16"/>
                      <w:lang w:val="en-US"/>
                    </w:rPr>
                  </w:pPr>
                  <w:proofErr w:type="spellStart"/>
                  <w:r w:rsidRPr="008827DC">
                    <w:rPr>
                      <w:sz w:val="12"/>
                      <w:szCs w:val="16"/>
                      <w:lang w:val="en-US"/>
                    </w:rPr>
                    <w:t>Mène</w:t>
                  </w:r>
                  <w:proofErr w:type="spellEnd"/>
                  <w:r>
                    <w:rPr>
                      <w:sz w:val="12"/>
                      <w:szCs w:val="16"/>
                      <w:lang w:val="en-US"/>
                    </w:rPr>
                    <w:t xml:space="preserve"> des </w:t>
                  </w:r>
                  <w:proofErr w:type="spellStart"/>
                  <w:r>
                    <w:rPr>
                      <w:sz w:val="12"/>
                      <w:szCs w:val="16"/>
                      <w:lang w:val="en-US"/>
                    </w:rPr>
                    <w:t>activités</w:t>
                  </w:r>
                  <w:proofErr w:type="spellEnd"/>
                  <w:r>
                    <w:rPr>
                      <w:sz w:val="12"/>
                      <w:szCs w:val="16"/>
                      <w:lang w:val="en-US"/>
                    </w:rPr>
                    <w:t xml:space="preserve"> </w:t>
                  </w:r>
                  <w:proofErr w:type="spellStart"/>
                  <w:r>
                    <w:rPr>
                      <w:sz w:val="12"/>
                      <w:szCs w:val="16"/>
                      <w:lang w:val="en-US"/>
                    </w:rPr>
                    <w:t>d’information</w:t>
                  </w:r>
                  <w:proofErr w:type="spellEnd"/>
                  <w:r>
                    <w:rPr>
                      <w:sz w:val="12"/>
                      <w:szCs w:val="16"/>
                      <w:lang w:val="en-US"/>
                    </w:rPr>
                    <w:t xml:space="preserve"> </w:t>
                  </w:r>
                  <w:proofErr w:type="gramStart"/>
                  <w:r>
                    <w:rPr>
                      <w:sz w:val="12"/>
                      <w:szCs w:val="16"/>
                      <w:lang w:val="en-US"/>
                    </w:rPr>
                    <w:t>et</w:t>
                  </w:r>
                  <w:proofErr w:type="gramEnd"/>
                  <w:r>
                    <w:rPr>
                      <w:sz w:val="12"/>
                      <w:szCs w:val="16"/>
                      <w:lang w:val="en-US"/>
                    </w:rPr>
                    <w:br/>
                  </w:r>
                  <w:r w:rsidRPr="008827DC">
                    <w:rPr>
                      <w:sz w:val="12"/>
                      <w:szCs w:val="16"/>
                      <w:lang w:val="en-US"/>
                    </w:rPr>
                    <w:t xml:space="preserve">de </w:t>
                  </w:r>
                  <w:proofErr w:type="spellStart"/>
                  <w:r w:rsidRPr="008827DC">
                    <w:rPr>
                      <w:sz w:val="12"/>
                      <w:szCs w:val="16"/>
                      <w:lang w:val="en-US"/>
                    </w:rPr>
                    <w:t>sensibilisation</w:t>
                  </w:r>
                  <w:proofErr w:type="spellEnd"/>
                </w:p>
              </w:txbxContent>
            </v:textbox>
          </v:shape>
        </w:pict>
      </w:r>
      <w:r>
        <w:rPr>
          <w:noProof/>
          <w:lang w:val="en-US" w:eastAsia="zh-CN"/>
        </w:rPr>
        <w:pict>
          <v:shape id="_x0000_s1031" type="#_x0000_t202" style="position:absolute;left:0;text-align:left;margin-left:330.05pt;margin-top:147.55pt;width:72.55pt;height:15.55pt;z-index:251663872" filled="f" stroked="f">
            <v:textbox inset="1.5mm,.3mm,1.5mm,.3mm">
              <w:txbxContent>
                <w:p w:rsidR="00C954D9" w:rsidRPr="008827DC" w:rsidRDefault="00C954D9" w:rsidP="00AC5A3E">
                  <w:pPr>
                    <w:shd w:val="clear" w:color="auto" w:fill="FFFFFF" w:themeFill="background1"/>
                    <w:spacing w:before="0"/>
                    <w:jc w:val="left"/>
                    <w:rPr>
                      <w:sz w:val="12"/>
                      <w:szCs w:val="16"/>
                      <w:lang w:val="en-US"/>
                    </w:rPr>
                  </w:pPr>
                  <w:proofErr w:type="spellStart"/>
                  <w:r>
                    <w:rPr>
                      <w:sz w:val="12"/>
                      <w:szCs w:val="16"/>
                      <w:lang w:val="en-US"/>
                    </w:rPr>
                    <w:t>S’occupe</w:t>
                  </w:r>
                  <w:proofErr w:type="spellEnd"/>
                  <w:r>
                    <w:rPr>
                      <w:sz w:val="12"/>
                      <w:szCs w:val="16"/>
                      <w:lang w:val="en-US"/>
                    </w:rPr>
                    <w:t xml:space="preserve"> de la protection</w:t>
                  </w:r>
                  <w:r>
                    <w:rPr>
                      <w:sz w:val="12"/>
                      <w:szCs w:val="16"/>
                      <w:lang w:val="en-US"/>
                    </w:rPr>
                    <w:br/>
                  </w:r>
                  <w:proofErr w:type="spellStart"/>
                  <w:r>
                    <w:rPr>
                      <w:sz w:val="12"/>
                      <w:szCs w:val="16"/>
                      <w:lang w:val="en-US"/>
                    </w:rPr>
                    <w:t>contre</w:t>
                  </w:r>
                  <w:proofErr w:type="spellEnd"/>
                  <w:r>
                    <w:rPr>
                      <w:sz w:val="12"/>
                      <w:szCs w:val="16"/>
                      <w:lang w:val="en-US"/>
                    </w:rPr>
                    <w:t xml:space="preserve"> les </w:t>
                  </w:r>
                  <w:proofErr w:type="spellStart"/>
                  <w:r>
                    <w:rPr>
                      <w:sz w:val="12"/>
                      <w:szCs w:val="16"/>
                      <w:lang w:val="en-US"/>
                    </w:rPr>
                    <w:t>fraudes</w:t>
                  </w:r>
                  <w:proofErr w:type="spellEnd"/>
                </w:p>
              </w:txbxContent>
            </v:textbox>
          </v:shape>
        </w:pict>
      </w:r>
      <w:r>
        <w:rPr>
          <w:noProof/>
          <w:lang w:val="en-US" w:eastAsia="zh-CN"/>
        </w:rPr>
        <w:pict>
          <v:shape id="_x0000_s1027" type="#_x0000_t202" style="position:absolute;left:0;text-align:left;margin-left:46.15pt;margin-top:135.2pt;width:391.35pt;height:13.7pt;z-index:251659776" filled="f" stroked="f">
            <v:textbox inset="1.5mm,.3mm,1.5mm,.3mm">
              <w:txbxContent>
                <w:p w:rsidR="00C954D9" w:rsidRPr="00A965AD" w:rsidRDefault="00C954D9" w:rsidP="00A965AD">
                  <w:pPr>
                    <w:shd w:val="clear" w:color="auto" w:fill="FFFFFF" w:themeFill="background1"/>
                    <w:spacing w:before="0"/>
                    <w:rPr>
                      <w:sz w:val="16"/>
                      <w:szCs w:val="16"/>
                      <w:lang w:val="en-US"/>
                    </w:rPr>
                  </w:pPr>
                  <w:r>
                    <w:rPr>
                      <w:sz w:val="16"/>
                      <w:szCs w:val="16"/>
                      <w:lang w:val="en-US"/>
                    </w:rPr>
                    <w:t xml:space="preserve">        </w:t>
                  </w:r>
                  <w:r w:rsidRPr="00A965AD">
                    <w:rPr>
                      <w:sz w:val="16"/>
                      <w:szCs w:val="16"/>
                      <w:lang w:val="en-US"/>
                    </w:rPr>
                    <w:t xml:space="preserve">Pays </w:t>
                  </w:r>
                  <w:proofErr w:type="spellStart"/>
                  <w:r w:rsidRPr="00A965AD">
                    <w:rPr>
                      <w:sz w:val="16"/>
                      <w:szCs w:val="16"/>
                      <w:lang w:val="en-US"/>
                    </w:rPr>
                    <w:t>dévelopés</w:t>
                  </w:r>
                  <w:proofErr w:type="spellEnd"/>
                  <w:r w:rsidRPr="00A965AD">
                    <w:rPr>
                      <w:sz w:val="16"/>
                      <w:szCs w:val="16"/>
                      <w:lang w:val="en-US"/>
                    </w:rPr>
                    <w:t xml:space="preserve">    Pays </w:t>
                  </w:r>
                  <w:proofErr w:type="spellStart"/>
                  <w:r w:rsidRPr="00A965AD">
                    <w:rPr>
                      <w:sz w:val="16"/>
                      <w:szCs w:val="16"/>
                      <w:lang w:val="en-US"/>
                    </w:rPr>
                    <w:t>dont</w:t>
                  </w:r>
                  <w:proofErr w:type="spellEnd"/>
                  <w:r w:rsidRPr="00A965AD">
                    <w:rPr>
                      <w:sz w:val="16"/>
                      <w:szCs w:val="16"/>
                      <w:lang w:val="en-US"/>
                    </w:rPr>
                    <w:t xml:space="preserve"> </w:t>
                  </w:r>
                  <w:proofErr w:type="spellStart"/>
                  <w:r w:rsidRPr="00A965AD">
                    <w:rPr>
                      <w:sz w:val="16"/>
                      <w:szCs w:val="16"/>
                      <w:lang w:val="en-US"/>
                    </w:rPr>
                    <w:t>l’économie</w:t>
                  </w:r>
                  <w:proofErr w:type="spellEnd"/>
                  <w:r w:rsidRPr="00A965AD">
                    <w:rPr>
                      <w:sz w:val="16"/>
                      <w:szCs w:val="16"/>
                      <w:lang w:val="en-US"/>
                    </w:rPr>
                    <w:t xml:space="preserve"> </w:t>
                  </w:r>
                  <w:proofErr w:type="spellStart"/>
                  <w:proofErr w:type="gramStart"/>
                  <w:r w:rsidRPr="00A965AD">
                    <w:rPr>
                      <w:sz w:val="16"/>
                      <w:szCs w:val="16"/>
                      <w:lang w:val="en-US"/>
                    </w:rPr>
                    <w:t>est</w:t>
                  </w:r>
                  <w:proofErr w:type="spellEnd"/>
                  <w:proofErr w:type="gramEnd"/>
                  <w:r w:rsidRPr="00A965AD">
                    <w:rPr>
                      <w:sz w:val="16"/>
                      <w:szCs w:val="16"/>
                      <w:lang w:val="en-US"/>
                    </w:rPr>
                    <w:t xml:space="preserve"> en transition   Pays en </w:t>
                  </w:r>
                  <w:proofErr w:type="spellStart"/>
                  <w:r w:rsidRPr="00A965AD">
                    <w:rPr>
                      <w:sz w:val="16"/>
                      <w:szCs w:val="16"/>
                      <w:lang w:val="en-US"/>
                    </w:rPr>
                    <w:t>développement</w:t>
                  </w:r>
                  <w:proofErr w:type="spellEnd"/>
                  <w:r w:rsidRPr="00A965AD">
                    <w:rPr>
                      <w:sz w:val="16"/>
                      <w:szCs w:val="16"/>
                      <w:lang w:val="en-US"/>
                    </w:rPr>
                    <w:t xml:space="preserve"> </w:t>
                  </w:r>
                  <w:r>
                    <w:rPr>
                      <w:sz w:val="16"/>
                      <w:szCs w:val="16"/>
                      <w:lang w:val="en-US"/>
                    </w:rPr>
                    <w:t xml:space="preserve">        </w:t>
                  </w:r>
                  <w:r w:rsidRPr="00A965AD">
                    <w:rPr>
                      <w:sz w:val="16"/>
                      <w:szCs w:val="16"/>
                      <w:lang w:val="en-US"/>
                    </w:rPr>
                    <w:t xml:space="preserve"> Pays les </w:t>
                  </w:r>
                  <w:proofErr w:type="spellStart"/>
                  <w:r w:rsidRPr="00A965AD">
                    <w:rPr>
                      <w:sz w:val="16"/>
                      <w:szCs w:val="16"/>
                      <w:lang w:val="en-US"/>
                    </w:rPr>
                    <w:t>moins</w:t>
                  </w:r>
                  <w:proofErr w:type="spellEnd"/>
                  <w:r w:rsidRPr="00A965AD">
                    <w:rPr>
                      <w:sz w:val="16"/>
                      <w:szCs w:val="16"/>
                      <w:lang w:val="en-US"/>
                    </w:rPr>
                    <w:t xml:space="preserve"> </w:t>
                  </w:r>
                  <w:proofErr w:type="spellStart"/>
                  <w:r w:rsidRPr="00A965AD">
                    <w:rPr>
                      <w:sz w:val="16"/>
                      <w:szCs w:val="16"/>
                      <w:lang w:val="en-US"/>
                    </w:rPr>
                    <w:t>avancés</w:t>
                  </w:r>
                  <w:proofErr w:type="spellEnd"/>
                </w:p>
              </w:txbxContent>
            </v:textbox>
          </v:shape>
        </w:pict>
      </w:r>
      <w:r w:rsidR="00B13193" w:rsidRPr="003F265B">
        <w:rPr>
          <w:noProof/>
          <w:lang w:val="en-US" w:eastAsia="zh-CN"/>
        </w:rPr>
        <w:drawing>
          <wp:inline distT="0" distB="0" distL="0" distR="0">
            <wp:extent cx="5265420" cy="1931035"/>
            <wp:effectExtent l="2540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265420" cy="1931035"/>
                    </a:xfrm>
                    <a:prstGeom prst="rect">
                      <a:avLst/>
                    </a:prstGeom>
                    <a:noFill/>
                    <a:ln w="9525">
                      <a:noFill/>
                      <a:miter lim="800000"/>
                      <a:headEnd/>
                      <a:tailEnd/>
                    </a:ln>
                  </pic:spPr>
                </pic:pic>
              </a:graphicData>
            </a:graphic>
          </wp:inline>
        </w:drawing>
      </w:r>
    </w:p>
    <w:p w:rsidR="00B13193" w:rsidRPr="003F265B" w:rsidRDefault="00D15E50" w:rsidP="00B13193">
      <w:pPr>
        <w:pStyle w:val="figuresource"/>
        <w:rPr>
          <w:lang w:val="en-GB"/>
        </w:rPr>
      </w:pPr>
      <w:r>
        <w:rPr>
          <w:lang w:val="en-GB"/>
        </w:rPr>
        <w:t>Source: UIT</w:t>
      </w:r>
    </w:p>
    <w:p w:rsidR="000A71D3" w:rsidRPr="003F265B" w:rsidRDefault="000A71D3" w:rsidP="00133CDA">
      <w:pPr>
        <w:rPr>
          <w:lang w:val="en-GB"/>
        </w:rPr>
      </w:pPr>
    </w:p>
    <w:p w:rsidR="00B13193" w:rsidRPr="003F265B" w:rsidRDefault="00D15E50" w:rsidP="00D15E50">
      <w:pPr>
        <w:rPr>
          <w:lang w:val="en-GB"/>
        </w:rPr>
      </w:pPr>
      <w:r w:rsidRPr="004346ED">
        <w:t>Dans 17 pays, les autorités de régulation des télécommunications ont indiqué qu'il n'existe pas de législation spécifique en matière de protection des consommateurs (13% des réponses). Dix de ces pays ont une autre autorité nationale de régulation habilitée à faire appliquer la réglementation générale en matière de protection des consommateurs dans le secteur des télécommunications/TIC.</w:t>
      </w:r>
    </w:p>
    <w:p w:rsidR="00B13193" w:rsidRPr="003F265B" w:rsidRDefault="00F12BC6" w:rsidP="00F12BC6">
      <w:pPr>
        <w:pStyle w:val="Figuretitle"/>
      </w:pPr>
      <w:r w:rsidRPr="004346ED">
        <w:rPr>
          <w:lang w:val="fr-CH"/>
        </w:rPr>
        <w:lastRenderedPageBreak/>
        <w:t>Figur</w:t>
      </w:r>
      <w:r>
        <w:rPr>
          <w:lang w:val="fr-CH"/>
        </w:rPr>
        <w:t>e</w:t>
      </w:r>
      <w:r w:rsidRPr="004346ED">
        <w:rPr>
          <w:lang w:val="fr-CH"/>
        </w:rPr>
        <w:t xml:space="preserve"> 3: </w:t>
      </w:r>
      <w:r w:rsidRPr="00EE3E8D">
        <w:rPr>
          <w:lang w:val="fr-FR"/>
        </w:rPr>
        <w:t>Autorités nationales de régulation chargées de la protection des consommateurs dont le mandat couvre le secteur des télécommunications/TIC</w:t>
      </w:r>
      <w:r w:rsidRPr="0006645A">
        <w:rPr>
          <w:rStyle w:val="FootnoteReference"/>
          <w:lang w:val="es-ES"/>
        </w:rPr>
        <w:footnoteReference w:id="7"/>
      </w:r>
    </w:p>
    <w:p w:rsidR="006D37E8" w:rsidRDefault="00A12A78" w:rsidP="00885094">
      <w:pPr>
        <w:pStyle w:val="Figure"/>
        <w:jc w:val="both"/>
      </w:pPr>
      <w:r>
        <w:object w:dxaOrig="7227" w:dyaOrig="2797">
          <v:shape id="_x0000_i1025" type="#_x0000_t75" style="width:361.5pt;height:140pt" o:ole="">
            <v:imagedata r:id="rId24" o:title=""/>
          </v:shape>
          <o:OLEObject Type="Embed" ProgID="Word.Document.12" ShapeID="_x0000_i1025" DrawAspect="Content" ObjectID="_1441092042" r:id="rId25">
            <o:FieldCodes>\s</o:FieldCodes>
          </o:OLEObject>
        </w:object>
      </w:r>
    </w:p>
    <w:p w:rsidR="00184EFD" w:rsidRPr="003F265B" w:rsidRDefault="00F12BC6" w:rsidP="00184EFD">
      <w:pPr>
        <w:pStyle w:val="figuresource"/>
      </w:pPr>
      <w:r>
        <w:t>Source: UIT</w:t>
      </w:r>
    </w:p>
    <w:p w:rsidR="001079A9" w:rsidRPr="003F265B" w:rsidRDefault="001079A9" w:rsidP="001079A9">
      <w:pPr>
        <w:rPr>
          <w:lang w:val="en-GB"/>
        </w:rPr>
      </w:pPr>
    </w:p>
    <w:p w:rsidR="001079A9" w:rsidRPr="003F265B" w:rsidRDefault="0000571E" w:rsidP="0000571E">
      <w:pPr>
        <w:rPr>
          <w:lang w:val="en-GB"/>
        </w:rPr>
      </w:pPr>
      <w:r w:rsidRPr="004346ED">
        <w:t xml:space="preserve">Dans près de deux tiers des pays ayant répondu à l'enquête, seuls un ou deux organismes s'occupent de la protection des consommateurs, contre trois ou plus dans le tiers restant. Les réponses montrent que les responsabilités de ces organismes en matière de protection des consommateurs sont très variables. Dans la majorité des cas, l'organisme est compétent en matière d'éducation des consommateurs et de traitement des plaintes: trois quarts d'entre eux environ interviennent dans l'élaboration de la législation et à peine plus de la moitié participent à sa mise en </w:t>
      </w:r>
      <w:r>
        <w:t>œ</w:t>
      </w:r>
      <w:r w:rsidRPr="004346ED">
        <w:t>uvre.</w:t>
      </w:r>
    </w:p>
    <w:p w:rsidR="00885CFE" w:rsidRPr="003F265B" w:rsidRDefault="0000571E" w:rsidP="00184EFD">
      <w:pPr>
        <w:pStyle w:val="Figuretitle"/>
        <w:rPr>
          <w:lang w:val="en-GB"/>
        </w:rPr>
      </w:pPr>
      <w:r w:rsidRPr="004346ED">
        <w:rPr>
          <w:lang w:val="fr-CH"/>
        </w:rPr>
        <w:t>Figur</w:t>
      </w:r>
      <w:r>
        <w:rPr>
          <w:lang w:val="fr-CH"/>
        </w:rPr>
        <w:t>e</w:t>
      </w:r>
      <w:r w:rsidRPr="004346ED">
        <w:rPr>
          <w:lang w:val="fr-CH"/>
        </w:rPr>
        <w:t xml:space="preserve"> 4: </w:t>
      </w:r>
      <w:r w:rsidRPr="00EE3E8D">
        <w:rPr>
          <w:lang w:val="fr-FR"/>
        </w:rPr>
        <w:t>Responsabilités des organismes de protection des consommateurs liées aux TIC/télécommunications</w:t>
      </w:r>
    </w:p>
    <w:p w:rsidR="00885CFE" w:rsidRPr="003F265B" w:rsidRDefault="002C6A7A" w:rsidP="00885CFE">
      <w:pPr>
        <w:pStyle w:val="Figure"/>
        <w:rPr>
          <w:lang w:val="en-GB"/>
        </w:rPr>
      </w:pPr>
      <w:r>
        <w:rPr>
          <w:noProof/>
          <w:lang w:val="en-US" w:eastAsia="zh-CN"/>
        </w:rPr>
        <w:pict>
          <v:shape id="_x0000_s1036" type="#_x0000_t202" style="position:absolute;left:0;text-align:left;margin-left:20.8pt;margin-top:186.3pt;width:90.1pt;height:33.15pt;z-index:251665920" fillcolor="white [3212]" stroked="f">
            <v:textbox inset=".5mm,.3mm,.5mm,.3mm">
              <w:txbxContent>
                <w:p w:rsidR="00C954D9" w:rsidRPr="005B4F9D" w:rsidRDefault="00C954D9" w:rsidP="005B4F9D">
                  <w:pPr>
                    <w:spacing w:before="0"/>
                    <w:ind w:leftChars="-50" w:left="-105" w:rightChars="-50" w:right="-105"/>
                    <w:jc w:val="center"/>
                    <w:rPr>
                      <w:sz w:val="16"/>
                      <w:lang w:val="en-US"/>
                    </w:rPr>
                  </w:pPr>
                  <w:proofErr w:type="gramStart"/>
                  <w:r>
                    <w:rPr>
                      <w:sz w:val="16"/>
                      <w:lang w:val="en-US"/>
                    </w:rPr>
                    <w:t xml:space="preserve">Education des </w:t>
                  </w:r>
                  <w:proofErr w:type="spellStart"/>
                  <w:r>
                    <w:rPr>
                      <w:sz w:val="16"/>
                      <w:lang w:val="en-US"/>
                    </w:rPr>
                    <w:t>consommateurs</w:t>
                  </w:r>
                  <w:proofErr w:type="spellEnd"/>
                  <w:r>
                    <w:rPr>
                      <w:sz w:val="16"/>
                      <w:lang w:val="en-US"/>
                    </w:rPr>
                    <w:t xml:space="preserve"> (formation, information, etc.)</w:t>
                  </w:r>
                  <w:proofErr w:type="gramEnd"/>
                </w:p>
              </w:txbxContent>
            </v:textbox>
          </v:shape>
        </w:pict>
      </w:r>
      <w:r>
        <w:rPr>
          <w:noProof/>
          <w:lang w:val="en-US" w:eastAsia="zh-CN"/>
        </w:rPr>
        <w:pict>
          <v:shape id="_x0000_s1040" type="#_x0000_t202" style="position:absolute;left:0;text-align:left;margin-left:408.15pt;margin-top:99.7pt;width:24.95pt;height:29.65pt;z-index:251670016" fillcolor="white [3212]" stroked="f">
            <v:textbox inset="2.5mm,1.3mm,2.5mm,1.3mm">
              <w:txbxContent>
                <w:p w:rsidR="00C954D9" w:rsidRDefault="00C954D9" w:rsidP="00814D8A">
                  <w:pPr>
                    <w:spacing w:before="0"/>
                    <w:ind w:leftChars="-50" w:left="-105" w:rightChars="-50" w:right="-105"/>
                    <w:rPr>
                      <w:sz w:val="16"/>
                      <w:lang w:val="en-US"/>
                    </w:rPr>
                  </w:pPr>
                  <w:r>
                    <w:rPr>
                      <w:sz w:val="16"/>
                      <w:lang w:val="en-US"/>
                    </w:rPr>
                    <w:t>Non</w:t>
                  </w:r>
                </w:p>
                <w:p w:rsidR="00C954D9" w:rsidRPr="005B4F9D" w:rsidRDefault="00C954D9" w:rsidP="00814D8A">
                  <w:pPr>
                    <w:spacing w:before="60"/>
                    <w:ind w:leftChars="-50" w:left="-105" w:rightChars="-50" w:right="-105"/>
                    <w:rPr>
                      <w:sz w:val="16"/>
                      <w:lang w:val="en-US"/>
                    </w:rPr>
                  </w:pPr>
                  <w:proofErr w:type="spellStart"/>
                  <w:r>
                    <w:rPr>
                      <w:sz w:val="16"/>
                      <w:lang w:val="en-US"/>
                    </w:rPr>
                    <w:t>Oui</w:t>
                  </w:r>
                  <w:proofErr w:type="spellEnd"/>
                </w:p>
              </w:txbxContent>
            </v:textbox>
          </v:shape>
        </w:pict>
      </w:r>
      <w:r>
        <w:rPr>
          <w:noProof/>
          <w:lang w:val="en-US" w:eastAsia="zh-CN"/>
        </w:rPr>
        <w:pict>
          <v:shape id="_x0000_s1038" type="#_x0000_t202" style="position:absolute;left:0;text-align:left;margin-left:204.4pt;margin-top:186.3pt;width:95.5pt;height:33.15pt;z-index:251667968" fillcolor="white [3212]" stroked="f">
            <v:textbox inset=".5mm,.3mm,.5mm,.3mm">
              <w:txbxContent>
                <w:p w:rsidR="00C954D9" w:rsidRPr="005B4F9D" w:rsidRDefault="00C954D9" w:rsidP="002627F5">
                  <w:pPr>
                    <w:spacing w:before="0"/>
                    <w:ind w:leftChars="-50" w:left="-105" w:rightChars="-50" w:right="-105"/>
                    <w:jc w:val="center"/>
                    <w:rPr>
                      <w:sz w:val="16"/>
                      <w:lang w:val="en-US"/>
                    </w:rPr>
                  </w:pPr>
                  <w:proofErr w:type="spellStart"/>
                  <w:r>
                    <w:rPr>
                      <w:sz w:val="16"/>
                      <w:lang w:val="en-US"/>
                    </w:rPr>
                    <w:t>Représentation</w:t>
                  </w:r>
                  <w:proofErr w:type="spellEnd"/>
                  <w:r>
                    <w:rPr>
                      <w:sz w:val="16"/>
                      <w:lang w:val="en-US"/>
                    </w:rPr>
                    <w:t xml:space="preserve"> </w:t>
                  </w:r>
                  <w:proofErr w:type="spellStart"/>
                  <w:r>
                    <w:rPr>
                      <w:sz w:val="16"/>
                      <w:lang w:val="en-US"/>
                    </w:rPr>
                    <w:t>dans</w:t>
                  </w:r>
                  <w:proofErr w:type="spellEnd"/>
                  <w:r>
                    <w:rPr>
                      <w:sz w:val="16"/>
                      <w:lang w:val="en-US"/>
                    </w:rPr>
                    <w:t xml:space="preserve"> les structures charges de </w:t>
                  </w:r>
                  <w:proofErr w:type="spellStart"/>
                  <w:r>
                    <w:rPr>
                      <w:sz w:val="16"/>
                      <w:lang w:val="en-US"/>
                    </w:rPr>
                    <w:t>l’application</w:t>
                  </w:r>
                  <w:proofErr w:type="spellEnd"/>
                  <w:r>
                    <w:rPr>
                      <w:sz w:val="16"/>
                      <w:lang w:val="en-US"/>
                    </w:rPr>
                    <w:t xml:space="preserve"> de la </w:t>
                  </w:r>
                  <w:proofErr w:type="spellStart"/>
                  <w:r>
                    <w:rPr>
                      <w:sz w:val="16"/>
                      <w:lang w:val="en-US"/>
                    </w:rPr>
                    <w:t>loi</w:t>
                  </w:r>
                  <w:proofErr w:type="spellEnd"/>
                </w:p>
              </w:txbxContent>
            </v:textbox>
          </v:shape>
        </w:pict>
      </w:r>
      <w:r>
        <w:rPr>
          <w:noProof/>
          <w:lang w:val="en-US" w:eastAsia="zh-CN"/>
        </w:rPr>
        <w:pict>
          <v:shape id="_x0000_s1039" type="#_x0000_t202" style="position:absolute;left:0;text-align:left;margin-left:299.45pt;margin-top:186.3pt;width:94.3pt;height:33.15pt;z-index:251668992" fillcolor="white [3212]" stroked="f">
            <v:textbox inset=".5mm,.3mm,.5mm,.3mm">
              <w:txbxContent>
                <w:p w:rsidR="00C954D9" w:rsidRPr="005B4F9D" w:rsidRDefault="00C954D9" w:rsidP="002627F5">
                  <w:pPr>
                    <w:spacing w:before="0"/>
                    <w:ind w:leftChars="-50" w:left="-105" w:rightChars="-50" w:right="-105"/>
                    <w:jc w:val="center"/>
                    <w:rPr>
                      <w:sz w:val="16"/>
                      <w:lang w:val="en-US"/>
                    </w:rPr>
                  </w:pPr>
                  <w:proofErr w:type="spellStart"/>
                  <w:r>
                    <w:rPr>
                      <w:sz w:val="16"/>
                      <w:lang w:val="en-US"/>
                    </w:rPr>
                    <w:t>Traitement</w:t>
                  </w:r>
                  <w:proofErr w:type="spellEnd"/>
                  <w:r>
                    <w:rPr>
                      <w:sz w:val="16"/>
                      <w:lang w:val="en-US"/>
                    </w:rPr>
                    <w:t xml:space="preserve"> des plaints des </w:t>
                  </w:r>
                  <w:proofErr w:type="spellStart"/>
                  <w:r>
                    <w:rPr>
                      <w:sz w:val="16"/>
                      <w:lang w:val="en-US"/>
                    </w:rPr>
                    <w:t>consommateurs</w:t>
                  </w:r>
                  <w:proofErr w:type="spellEnd"/>
                  <w:r>
                    <w:rPr>
                      <w:sz w:val="16"/>
                      <w:lang w:val="en-US"/>
                    </w:rPr>
                    <w:t xml:space="preserve"> </w:t>
                  </w:r>
                  <w:proofErr w:type="spellStart"/>
                  <w:r>
                    <w:rPr>
                      <w:sz w:val="16"/>
                      <w:lang w:val="en-US"/>
                    </w:rPr>
                    <w:t>ou</w:t>
                  </w:r>
                  <w:proofErr w:type="spellEnd"/>
                  <w:r>
                    <w:rPr>
                      <w:sz w:val="16"/>
                      <w:lang w:val="en-US"/>
                    </w:rPr>
                    <w:t xml:space="preserve"> </w:t>
                  </w:r>
                  <w:proofErr w:type="spellStart"/>
                  <w:r>
                    <w:rPr>
                      <w:sz w:val="16"/>
                      <w:lang w:val="en-US"/>
                    </w:rPr>
                    <w:t>réponse</w:t>
                  </w:r>
                  <w:proofErr w:type="spellEnd"/>
                  <w:r>
                    <w:rPr>
                      <w:sz w:val="16"/>
                      <w:lang w:val="en-US"/>
                    </w:rPr>
                    <w:t xml:space="preserve"> à </w:t>
                  </w:r>
                  <w:proofErr w:type="spellStart"/>
                  <w:r>
                    <w:rPr>
                      <w:sz w:val="16"/>
                      <w:lang w:val="en-US"/>
                    </w:rPr>
                    <w:t>leurs</w:t>
                  </w:r>
                  <w:proofErr w:type="spellEnd"/>
                  <w:r>
                    <w:rPr>
                      <w:sz w:val="16"/>
                      <w:lang w:val="en-US"/>
                    </w:rPr>
                    <w:t xml:space="preserve"> questions</w:t>
                  </w:r>
                </w:p>
              </w:txbxContent>
            </v:textbox>
          </v:shape>
        </w:pict>
      </w:r>
      <w:r>
        <w:rPr>
          <w:noProof/>
          <w:lang w:val="en-US" w:eastAsia="zh-CN"/>
        </w:rPr>
        <w:pict>
          <v:shape id="_x0000_s1037" type="#_x0000_t202" style="position:absolute;left:0;text-align:left;margin-left:112.95pt;margin-top:186.3pt;width:90.1pt;height:33.15pt;z-index:251666944" fillcolor="white [3212]" stroked="f">
            <v:textbox inset=".5mm,.3mm,.5mm,.3mm">
              <w:txbxContent>
                <w:p w:rsidR="00C954D9" w:rsidRPr="005B4F9D" w:rsidRDefault="00C954D9" w:rsidP="006F11EA">
                  <w:pPr>
                    <w:spacing w:before="0"/>
                    <w:ind w:leftChars="-50" w:left="-105" w:rightChars="-50" w:right="-105"/>
                    <w:jc w:val="center"/>
                    <w:rPr>
                      <w:sz w:val="16"/>
                      <w:lang w:val="en-US"/>
                    </w:rPr>
                  </w:pPr>
                  <w:r>
                    <w:rPr>
                      <w:sz w:val="16"/>
                      <w:lang w:val="en-US"/>
                    </w:rPr>
                    <w:t xml:space="preserve">Participation à </w:t>
                  </w:r>
                  <w:proofErr w:type="spellStart"/>
                  <w:r>
                    <w:rPr>
                      <w:sz w:val="16"/>
                      <w:lang w:val="en-US"/>
                    </w:rPr>
                    <w:t>l’élaboration</w:t>
                  </w:r>
                  <w:proofErr w:type="spellEnd"/>
                  <w:r>
                    <w:rPr>
                      <w:sz w:val="16"/>
                      <w:lang w:val="en-US"/>
                    </w:rPr>
                    <w:t xml:space="preserve"> des </w:t>
                  </w:r>
                  <w:proofErr w:type="spellStart"/>
                  <w:r>
                    <w:rPr>
                      <w:sz w:val="16"/>
                      <w:lang w:val="en-US"/>
                    </w:rPr>
                    <w:t>projets</w:t>
                  </w:r>
                  <w:proofErr w:type="spellEnd"/>
                  <w:r>
                    <w:rPr>
                      <w:sz w:val="16"/>
                      <w:lang w:val="en-US"/>
                    </w:rPr>
                    <w:t xml:space="preserve"> de </w:t>
                  </w:r>
                  <w:proofErr w:type="spellStart"/>
                  <w:r>
                    <w:rPr>
                      <w:sz w:val="16"/>
                      <w:lang w:val="en-US"/>
                    </w:rPr>
                    <w:t>texte</w:t>
                  </w:r>
                  <w:proofErr w:type="spellEnd"/>
                  <w:r>
                    <w:rPr>
                      <w:sz w:val="16"/>
                      <w:lang w:val="en-US"/>
                    </w:rPr>
                    <w:t xml:space="preserve"> </w:t>
                  </w:r>
                  <w:proofErr w:type="gramStart"/>
                  <w:r>
                    <w:rPr>
                      <w:sz w:val="16"/>
                      <w:lang w:val="en-US"/>
                    </w:rPr>
                    <w:t>et</w:t>
                  </w:r>
                  <w:proofErr w:type="gramEnd"/>
                  <w:r>
                    <w:rPr>
                      <w:sz w:val="16"/>
                      <w:lang w:val="en-US"/>
                    </w:rPr>
                    <w:t xml:space="preserve"> </w:t>
                  </w:r>
                  <w:proofErr w:type="spellStart"/>
                  <w:r>
                    <w:rPr>
                      <w:sz w:val="16"/>
                      <w:lang w:val="en-US"/>
                    </w:rPr>
                    <w:t>autres</w:t>
                  </w:r>
                  <w:proofErr w:type="spellEnd"/>
                  <w:r>
                    <w:rPr>
                      <w:sz w:val="16"/>
                      <w:lang w:val="en-US"/>
                    </w:rPr>
                    <w:t> </w:t>
                  </w:r>
                  <w:proofErr w:type="spellStart"/>
                  <w:r>
                    <w:rPr>
                      <w:sz w:val="16"/>
                      <w:lang w:val="en-US"/>
                    </w:rPr>
                    <w:t>décisions</w:t>
                  </w:r>
                  <w:proofErr w:type="spellEnd"/>
                </w:p>
              </w:txbxContent>
            </v:textbox>
          </v:shape>
        </w:pict>
      </w:r>
      <w:r w:rsidR="00885CFE" w:rsidRPr="003F265B">
        <w:rPr>
          <w:noProof/>
          <w:lang w:val="en-US" w:eastAsia="zh-CN"/>
        </w:rPr>
        <w:drawing>
          <wp:inline distT="0" distB="0" distL="0" distR="0">
            <wp:extent cx="5265420" cy="2640965"/>
            <wp:effectExtent l="2540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265420" cy="2640965"/>
                    </a:xfrm>
                    <a:prstGeom prst="rect">
                      <a:avLst/>
                    </a:prstGeom>
                    <a:noFill/>
                    <a:ln w="9525">
                      <a:noFill/>
                      <a:miter lim="800000"/>
                      <a:headEnd/>
                      <a:tailEnd/>
                    </a:ln>
                  </pic:spPr>
                </pic:pic>
              </a:graphicData>
            </a:graphic>
          </wp:inline>
        </w:drawing>
      </w:r>
    </w:p>
    <w:p w:rsidR="00885CFE" w:rsidRPr="003F265B" w:rsidRDefault="0000571E" w:rsidP="00885CFE">
      <w:pPr>
        <w:pStyle w:val="figuresource"/>
        <w:rPr>
          <w:lang w:val="en-GB"/>
        </w:rPr>
      </w:pPr>
      <w:r>
        <w:rPr>
          <w:lang w:val="en-GB"/>
        </w:rPr>
        <w:t>Source: UIT</w:t>
      </w:r>
    </w:p>
    <w:p w:rsidR="00885CFE" w:rsidRPr="003F265B" w:rsidRDefault="00885CFE" w:rsidP="00885CFE">
      <w:pPr>
        <w:rPr>
          <w:lang w:val="en-GB"/>
        </w:rPr>
      </w:pPr>
    </w:p>
    <w:p w:rsidR="0000571E" w:rsidRPr="004346ED" w:rsidRDefault="0000571E" w:rsidP="0000571E">
      <w:r w:rsidRPr="004346ED">
        <w:lastRenderedPageBreak/>
        <w:t>La moitié des participants ont fait savoir que les organismes rencontraient des difficultés pour faire appliquer la législation sur la protection des consommateurs et/ou pour promouvoir la protection des consommateurs sous une forme ou une autre. Cette proportion passe à 75% dans les PMA.</w:t>
      </w:r>
    </w:p>
    <w:p w:rsidR="0000571E" w:rsidRPr="004346ED" w:rsidRDefault="0000571E" w:rsidP="0000571E">
      <w:r w:rsidRPr="004346ED">
        <w:t>De nombreux participants ont indiqué que les organismes de protection des consommateurs rencontraient des problèmes structurels, et notamment ne disposaient pas de compétences et de ressources humaines suffisantes. D'autres ont expliqué que la législation nationale relative à la protection des consommateurs était inadaptée ou inexistante. Certains ont également fait état de problèmes concernant l'éducation et la sensibilisation des consommateurs.</w:t>
      </w:r>
    </w:p>
    <w:p w:rsidR="0000571E" w:rsidRPr="004346ED" w:rsidRDefault="0000571E" w:rsidP="0000571E">
      <w:r w:rsidRPr="004346ED">
        <w:t>Dans la majorité des cas, les participants ont dit que les responsabilités étaient clairement réparties entre les différents organismes concernés et un peu moins d'un tiers d'entre eux seulement ont signalé un chevauchement des compétences. Dans ce cas, seulement la moitié des participants environ ont expliqué avoir les moyens d'échanger activement des renseignements sur les problèmes rencontrés. L'échange de renseignements se fait sous couvert d'accords officiels d'échange d'information, de documents ou rapports spéciaux ou d'ateliers, ou par l'intermédiaire d'un ministère.</w:t>
      </w:r>
    </w:p>
    <w:p w:rsidR="0000571E" w:rsidRPr="004346ED" w:rsidRDefault="0000571E" w:rsidP="0000571E">
      <w:r w:rsidRPr="004346ED">
        <w:t>La même proportion environ a indiqué travailler en coopération ou en coordination avec les organismes de protection des consommateurs uniquement "en cas de besoin", ce qui peut expliquer que seule la moitié des participants estiment que les consommateurs peuvent facilement savoir à quel organisme s'adresser pour différents problèmes. Par ailleurs, cette réponse semble en contradiction avec les conclusions de l'enquête, selon lesquelles un peu plus des deux tiers des consommateurs peuvent résoudre leurs problèmes liés à des services convergents en s'adressant à un seul organisme. Une proportion équivalente des participants ont indiqué que les consommateurs doivent s'adresser à des entités différentes en fonction des problèmes qu'ils rencontrent.</w:t>
      </w:r>
    </w:p>
    <w:p w:rsidR="0000571E" w:rsidRPr="004346ED" w:rsidRDefault="0000571E" w:rsidP="0000571E">
      <w:r w:rsidRPr="004346ED">
        <w:t>La plupart des régulateurs des télécommunications/TIC se sentent néanmoins en mesure de traiter eux-mêmes les différents problèmes de protection des consommateurs dans le secteur des télécommunications/TIC sans renvoyer le consommateur à un autre organisme.</w:t>
      </w:r>
    </w:p>
    <w:p w:rsidR="0000571E" w:rsidRPr="004346ED" w:rsidRDefault="0000571E" w:rsidP="0000571E">
      <w:r w:rsidRPr="004346ED">
        <w:t>Plus de la moitié des participants à l'enquête ont le sentiment qu'une législation supplémentaire relative à la protection des consommateurs est nécessaire dans leur pays et près des deux tiers ont indiqué que les besoins des consommateurs n'étaient pas couverts de façon adéquate par la législation existante ou que ladite législation était obsolète. Près des trois quarts des participants estiment avoir besoin de disposer de plus de lignes directrices et de recommandations en matière de protection des consommateurs – notamment en ce qui concerne la manière d'éduquer les consommateurs et de les tenir informés.</w:t>
      </w:r>
    </w:p>
    <w:p w:rsidR="00655B71" w:rsidRPr="003F265B" w:rsidRDefault="0000571E" w:rsidP="0000571E">
      <w:pPr>
        <w:rPr>
          <w:lang w:val="en-GB"/>
        </w:rPr>
      </w:pPr>
      <w:r w:rsidRPr="004346ED">
        <w:t>Quelques participants (19) ont indiqué qu'ils avaient mis à jour leur législation relative à la protection des consommateurs</w:t>
      </w:r>
      <w:r w:rsidRPr="004346ED">
        <w:rPr>
          <w:vertAlign w:val="superscript"/>
        </w:rPr>
        <w:footnoteReference w:id="8"/>
      </w:r>
      <w:r w:rsidRPr="004346ED">
        <w:t>. Ces mises à jour ont été réalisées au cours des deux années précédentes dans plus de la moitié des pays ayant répondu (59%) et portaient sur différents domaines:</w:t>
      </w:r>
    </w:p>
    <w:p w:rsidR="00AC0B2B" w:rsidRPr="00AC0B2B" w:rsidRDefault="00AC0B2B" w:rsidP="00AC0B2B">
      <w:pPr>
        <w:pStyle w:val="Enumlevel1"/>
      </w:pPr>
      <w:r w:rsidRPr="00AC0B2B">
        <w:rPr>
          <w:color w:val="E36C0A"/>
        </w:rPr>
        <w:t>•</w:t>
      </w:r>
      <w:r w:rsidRPr="00AC0B2B">
        <w:tab/>
      </w:r>
      <w:proofErr w:type="gramStart"/>
      <w:r w:rsidRPr="00AC0B2B">
        <w:t>nouveaux</w:t>
      </w:r>
      <w:proofErr w:type="gramEnd"/>
      <w:r w:rsidRPr="00AC0B2B">
        <w:t xml:space="preserve"> </w:t>
      </w:r>
      <w:proofErr w:type="spellStart"/>
      <w:r w:rsidRPr="00AC0B2B">
        <w:t>droits</w:t>
      </w:r>
      <w:proofErr w:type="spellEnd"/>
      <w:r w:rsidRPr="00AC0B2B">
        <w:t xml:space="preserve"> pour les </w:t>
      </w:r>
      <w:proofErr w:type="spellStart"/>
      <w:r w:rsidRPr="00AC0B2B">
        <w:t>utilisateurs</w:t>
      </w:r>
      <w:proofErr w:type="spellEnd"/>
      <w:r w:rsidRPr="00AC0B2B">
        <w:t>;</w:t>
      </w:r>
    </w:p>
    <w:p w:rsidR="00AC0B2B" w:rsidRPr="00AC0B2B" w:rsidRDefault="00AC0B2B" w:rsidP="00AC0B2B">
      <w:pPr>
        <w:pStyle w:val="Enumlevel1"/>
      </w:pPr>
      <w:r w:rsidRPr="00AC0B2B">
        <w:rPr>
          <w:color w:val="E36C0A"/>
        </w:rPr>
        <w:t>•</w:t>
      </w:r>
      <w:r w:rsidRPr="00AC0B2B">
        <w:tab/>
      </w:r>
      <w:proofErr w:type="spellStart"/>
      <w:proofErr w:type="gramStart"/>
      <w:r w:rsidRPr="00AC0B2B">
        <w:t>renforcement</w:t>
      </w:r>
      <w:proofErr w:type="spellEnd"/>
      <w:proofErr w:type="gramEnd"/>
      <w:r w:rsidRPr="00AC0B2B">
        <w:t xml:space="preserve"> de la </w:t>
      </w:r>
      <w:proofErr w:type="spellStart"/>
      <w:r w:rsidRPr="00AC0B2B">
        <w:t>transparence</w:t>
      </w:r>
      <w:proofErr w:type="spellEnd"/>
      <w:r w:rsidRPr="00AC0B2B">
        <w:t xml:space="preserve">/des </w:t>
      </w:r>
      <w:proofErr w:type="spellStart"/>
      <w:r w:rsidRPr="00AC0B2B">
        <w:t>informations</w:t>
      </w:r>
      <w:proofErr w:type="spellEnd"/>
      <w:r w:rsidRPr="00AC0B2B">
        <w:t xml:space="preserve">; </w:t>
      </w:r>
    </w:p>
    <w:p w:rsidR="00AC0B2B" w:rsidRPr="00AC0B2B" w:rsidRDefault="00AC0B2B" w:rsidP="00AC0B2B">
      <w:pPr>
        <w:pStyle w:val="Enumlevel1"/>
      </w:pPr>
      <w:r w:rsidRPr="00AC0B2B">
        <w:rPr>
          <w:color w:val="E36C0A"/>
        </w:rPr>
        <w:t>•</w:t>
      </w:r>
      <w:r w:rsidRPr="00AC0B2B">
        <w:tab/>
      </w:r>
      <w:proofErr w:type="spellStart"/>
      <w:proofErr w:type="gramStart"/>
      <w:r w:rsidRPr="00AC0B2B">
        <w:t>sécurité</w:t>
      </w:r>
      <w:proofErr w:type="spellEnd"/>
      <w:r w:rsidRPr="00AC0B2B">
        <w:t>/</w:t>
      </w:r>
      <w:proofErr w:type="spellStart"/>
      <w:r w:rsidRPr="00AC0B2B">
        <w:t>confidentialité</w:t>
      </w:r>
      <w:proofErr w:type="spellEnd"/>
      <w:proofErr w:type="gramEnd"/>
      <w:r w:rsidRPr="00AC0B2B">
        <w:t xml:space="preserve"> des </w:t>
      </w:r>
      <w:proofErr w:type="spellStart"/>
      <w:r w:rsidRPr="00AC0B2B">
        <w:t>données</w:t>
      </w:r>
      <w:proofErr w:type="spellEnd"/>
      <w:r w:rsidRPr="00AC0B2B">
        <w:t xml:space="preserve">; </w:t>
      </w:r>
      <w:proofErr w:type="spellStart"/>
      <w:r w:rsidRPr="00AC0B2B">
        <w:t>réglementation</w:t>
      </w:r>
      <w:proofErr w:type="spellEnd"/>
      <w:r w:rsidRPr="00AC0B2B">
        <w:t xml:space="preserve"> des prix; et </w:t>
      </w:r>
    </w:p>
    <w:p w:rsidR="00655B71" w:rsidRPr="00AC0B2B" w:rsidRDefault="00AC0B2B" w:rsidP="00AC0B2B">
      <w:pPr>
        <w:pStyle w:val="Enumlevel1"/>
      </w:pPr>
      <w:r w:rsidRPr="00AC0B2B">
        <w:rPr>
          <w:color w:val="E36C0A"/>
        </w:rPr>
        <w:t>•</w:t>
      </w:r>
      <w:r w:rsidRPr="00AC0B2B">
        <w:tab/>
      </w:r>
      <w:proofErr w:type="spellStart"/>
      <w:proofErr w:type="gramStart"/>
      <w:r w:rsidRPr="00AC0B2B">
        <w:t>accessibilité</w:t>
      </w:r>
      <w:proofErr w:type="spellEnd"/>
      <w:proofErr w:type="gramEnd"/>
      <w:r w:rsidRPr="00AC0B2B">
        <w:t xml:space="preserve">. </w:t>
      </w:r>
      <w:r w:rsidR="004E7F9B" w:rsidRPr="00AC0B2B">
        <w:t xml:space="preserve"> </w:t>
      </w:r>
    </w:p>
    <w:p w:rsidR="00AC0B2B" w:rsidRPr="00AC0B2B" w:rsidRDefault="00AC0B2B" w:rsidP="00AC0B2B">
      <w:r w:rsidRPr="00AC0B2B">
        <w:t>Lorsque les participants ont fait savoir qu'ils n'avaient modifié qu'un seul aspect de la législation, ces modifications concernaient les lignes directrices en matière de protection des consommateurs (Bahreïn), la réglementation du travail dans le secteur des télécommunications (El Salvador) et un nouveau système de résolution des plaintes (Sénégal).</w:t>
      </w:r>
    </w:p>
    <w:p w:rsidR="00AC0B2B" w:rsidRPr="00AC0B2B" w:rsidRDefault="00AC0B2B" w:rsidP="00AC0B2B">
      <w:r w:rsidRPr="00AC0B2B">
        <w:lastRenderedPageBreak/>
        <w:t>Un très petit nombre de participants (6 sur 33) ont indiqué avoir modifié la réglementation pour couvrir différents aspects des services convergents</w:t>
      </w:r>
      <w:r w:rsidRPr="00AC0B2B">
        <w:rPr>
          <w:vertAlign w:val="superscript"/>
        </w:rPr>
        <w:footnoteReference w:id="9"/>
      </w:r>
      <w:r w:rsidRPr="00AC0B2B">
        <w:t>. Les mesures prises étaient de natures diverses, les seuls domaines revenant plusieurs fois étant la transparence des prix (trois sur huit) et la neutralité technologique/des réseaux (deux sur huit).</w:t>
      </w:r>
    </w:p>
    <w:p w:rsidR="00655B71" w:rsidRPr="003F265B" w:rsidRDefault="00AC0B2B" w:rsidP="00AC0B2B">
      <w:pPr>
        <w:rPr>
          <w:lang w:val="en-GB"/>
        </w:rPr>
      </w:pPr>
      <w:r w:rsidRPr="00AC0B2B">
        <w:t>Les réponses données une seule fois sont les suivantes:</w:t>
      </w:r>
      <w:r w:rsidR="00655B71" w:rsidRPr="003F265B">
        <w:rPr>
          <w:lang w:val="en-GB"/>
        </w:rPr>
        <w:t xml:space="preserve"> </w:t>
      </w:r>
    </w:p>
    <w:p w:rsidR="00AC0B2B" w:rsidRPr="00AC0B2B" w:rsidRDefault="00AC0B2B" w:rsidP="00AC0B2B">
      <w:pPr>
        <w:pStyle w:val="Enumlevel1"/>
      </w:pPr>
      <w:r w:rsidRPr="00AC0B2B">
        <w:rPr>
          <w:color w:val="E36C0A"/>
        </w:rPr>
        <w:t>•</w:t>
      </w:r>
      <w:r w:rsidRPr="00AC0B2B">
        <w:tab/>
      </w:r>
      <w:proofErr w:type="spellStart"/>
      <w:r w:rsidRPr="00AC0B2B">
        <w:t>Réglementation</w:t>
      </w:r>
      <w:proofErr w:type="spellEnd"/>
      <w:r w:rsidRPr="00AC0B2B">
        <w:t xml:space="preserve"> des communications des </w:t>
      </w:r>
      <w:proofErr w:type="spellStart"/>
      <w:r w:rsidRPr="00AC0B2B">
        <w:t>abonnés</w:t>
      </w:r>
      <w:proofErr w:type="spellEnd"/>
      <w:r w:rsidRPr="00AC0B2B">
        <w:t xml:space="preserve"> – commercialisation de services </w:t>
      </w:r>
      <w:proofErr w:type="spellStart"/>
      <w:r w:rsidRPr="00AC0B2B">
        <w:t>groupés</w:t>
      </w:r>
      <w:proofErr w:type="spellEnd"/>
      <w:r w:rsidRPr="00AC0B2B">
        <w:t xml:space="preserve"> (</w:t>
      </w:r>
      <w:proofErr w:type="spellStart"/>
      <w:r w:rsidRPr="00AC0B2B">
        <w:t>Colombie</w:t>
      </w:r>
      <w:proofErr w:type="spellEnd"/>
      <w:r w:rsidRPr="00AC0B2B">
        <w:t>).</w:t>
      </w:r>
    </w:p>
    <w:p w:rsidR="00AC0B2B" w:rsidRPr="00AC0B2B" w:rsidRDefault="00AC0B2B" w:rsidP="00AC0B2B">
      <w:pPr>
        <w:pStyle w:val="Enumlevel1"/>
      </w:pPr>
      <w:r w:rsidRPr="00AC0B2B">
        <w:rPr>
          <w:color w:val="E36C0A"/>
        </w:rPr>
        <w:t>•</w:t>
      </w:r>
      <w:r w:rsidRPr="00AC0B2B">
        <w:tab/>
      </w:r>
      <w:proofErr w:type="spellStart"/>
      <w:r w:rsidRPr="00AC0B2B">
        <w:t>Réglementation</w:t>
      </w:r>
      <w:proofErr w:type="spellEnd"/>
      <w:r w:rsidRPr="00AC0B2B">
        <w:t xml:space="preserve"> relative aux </w:t>
      </w:r>
      <w:proofErr w:type="spellStart"/>
      <w:r w:rsidRPr="00AC0B2B">
        <w:t>contrats</w:t>
      </w:r>
      <w:proofErr w:type="spellEnd"/>
      <w:r w:rsidRPr="00AC0B2B">
        <w:t xml:space="preserve"> (</w:t>
      </w:r>
      <w:proofErr w:type="spellStart"/>
      <w:r w:rsidRPr="00AC0B2B">
        <w:t>Colombie</w:t>
      </w:r>
      <w:proofErr w:type="spellEnd"/>
      <w:r w:rsidRPr="00AC0B2B">
        <w:t>).</w:t>
      </w:r>
    </w:p>
    <w:p w:rsidR="00AC0B2B" w:rsidRPr="00AC0B2B" w:rsidRDefault="00AC0B2B" w:rsidP="00AC0B2B">
      <w:pPr>
        <w:pStyle w:val="Enumlevel1"/>
      </w:pPr>
      <w:r w:rsidRPr="00AC0B2B">
        <w:rPr>
          <w:color w:val="E36C0A"/>
        </w:rPr>
        <w:t>•</w:t>
      </w:r>
      <w:r w:rsidRPr="00AC0B2B">
        <w:tab/>
        <w:t xml:space="preserve">Cadre </w:t>
      </w:r>
      <w:proofErr w:type="spellStart"/>
      <w:r w:rsidRPr="00AC0B2B">
        <w:t>réglementaire</w:t>
      </w:r>
      <w:proofErr w:type="spellEnd"/>
      <w:r w:rsidRPr="00AC0B2B">
        <w:t xml:space="preserve"> applicable à la </w:t>
      </w:r>
      <w:proofErr w:type="spellStart"/>
      <w:r w:rsidRPr="00AC0B2B">
        <w:t>télévision</w:t>
      </w:r>
      <w:proofErr w:type="spellEnd"/>
      <w:r w:rsidRPr="00AC0B2B">
        <w:t xml:space="preserve"> à </w:t>
      </w:r>
      <w:proofErr w:type="spellStart"/>
      <w:r w:rsidRPr="00AC0B2B">
        <w:t>péage</w:t>
      </w:r>
      <w:proofErr w:type="spellEnd"/>
      <w:r w:rsidRPr="00AC0B2B">
        <w:t xml:space="preserve"> (</w:t>
      </w:r>
      <w:proofErr w:type="spellStart"/>
      <w:r w:rsidRPr="00AC0B2B">
        <w:t>Brésil</w:t>
      </w:r>
      <w:proofErr w:type="spellEnd"/>
      <w:r w:rsidRPr="00AC0B2B">
        <w:t>).</w:t>
      </w:r>
    </w:p>
    <w:p w:rsidR="00AC0B2B" w:rsidRPr="00AC0B2B" w:rsidRDefault="00AC0B2B" w:rsidP="00AC0B2B">
      <w:pPr>
        <w:pStyle w:val="Enumlevel1"/>
      </w:pPr>
      <w:r w:rsidRPr="00AC0B2B">
        <w:rPr>
          <w:color w:val="E36C0A"/>
        </w:rPr>
        <w:t>•</w:t>
      </w:r>
      <w:r w:rsidRPr="00AC0B2B">
        <w:tab/>
        <w:t xml:space="preserve">Protection des </w:t>
      </w:r>
      <w:proofErr w:type="spellStart"/>
      <w:r w:rsidRPr="00AC0B2B">
        <w:t>informations</w:t>
      </w:r>
      <w:proofErr w:type="spellEnd"/>
      <w:r w:rsidRPr="00AC0B2B">
        <w:t xml:space="preserve"> </w:t>
      </w:r>
      <w:proofErr w:type="spellStart"/>
      <w:r w:rsidRPr="00AC0B2B">
        <w:t>personnelles</w:t>
      </w:r>
      <w:proofErr w:type="spellEnd"/>
      <w:r w:rsidRPr="00AC0B2B">
        <w:t xml:space="preserve"> (</w:t>
      </w:r>
      <w:proofErr w:type="spellStart"/>
      <w:r w:rsidRPr="00AC0B2B">
        <w:t>Italie</w:t>
      </w:r>
      <w:proofErr w:type="spellEnd"/>
      <w:r w:rsidRPr="00AC0B2B">
        <w:t>).</w:t>
      </w:r>
    </w:p>
    <w:p w:rsidR="00655B71" w:rsidRPr="00AC0B2B" w:rsidRDefault="00AC0B2B" w:rsidP="00AC0B2B">
      <w:pPr>
        <w:pStyle w:val="Enumlevel1"/>
      </w:pPr>
      <w:r w:rsidRPr="00AC0B2B">
        <w:rPr>
          <w:color w:val="E36C0A"/>
        </w:rPr>
        <w:t>•</w:t>
      </w:r>
      <w:r w:rsidRPr="00AC0B2B">
        <w:tab/>
        <w:t xml:space="preserve">Convergence </w:t>
      </w:r>
      <w:proofErr w:type="gramStart"/>
      <w:r w:rsidRPr="00AC0B2B">
        <w:t>et</w:t>
      </w:r>
      <w:proofErr w:type="gramEnd"/>
      <w:r w:rsidRPr="00AC0B2B">
        <w:t xml:space="preserve"> utilisation du spectre (</w:t>
      </w:r>
      <w:proofErr w:type="spellStart"/>
      <w:r w:rsidRPr="00AC0B2B">
        <w:t>Ouganda</w:t>
      </w:r>
      <w:proofErr w:type="spellEnd"/>
      <w:r w:rsidRPr="00AC0B2B">
        <w:t>).</w:t>
      </w:r>
    </w:p>
    <w:p w:rsidR="00655B71" w:rsidRPr="003F265B" w:rsidRDefault="00AC0B2B" w:rsidP="00AC0B2B">
      <w:pPr>
        <w:rPr>
          <w:lang w:val="en-GB"/>
        </w:rPr>
      </w:pPr>
      <w:r w:rsidRPr="00AC0B2B">
        <w:t>Ce nombre est étonnamment faible étant donné les nombreux services convergents dont tous les pays participants ont fait état:</w:t>
      </w:r>
    </w:p>
    <w:p w:rsidR="00AC0B2B" w:rsidRPr="00AC0B2B" w:rsidRDefault="00AC0B2B" w:rsidP="00AC0B2B">
      <w:pPr>
        <w:pStyle w:val="Enumlevel1"/>
      </w:pPr>
      <w:r w:rsidRPr="00AC0B2B">
        <w:rPr>
          <w:color w:val="E36C0A"/>
        </w:rPr>
        <w:t>•</w:t>
      </w:r>
      <w:r w:rsidRPr="00AC0B2B">
        <w:tab/>
        <w:t xml:space="preserve">79% </w:t>
      </w:r>
      <w:proofErr w:type="spellStart"/>
      <w:r w:rsidRPr="00AC0B2B">
        <w:t>ont</w:t>
      </w:r>
      <w:proofErr w:type="spellEnd"/>
      <w:r w:rsidRPr="00AC0B2B">
        <w:t xml:space="preserve"> des services de </w:t>
      </w:r>
      <w:proofErr w:type="spellStart"/>
      <w:r w:rsidRPr="00AC0B2B">
        <w:t>téléphonie</w:t>
      </w:r>
      <w:proofErr w:type="spellEnd"/>
      <w:r w:rsidRPr="00AC0B2B">
        <w:t xml:space="preserve"> Internet; </w:t>
      </w:r>
    </w:p>
    <w:p w:rsidR="00AC0B2B" w:rsidRPr="00AC0B2B" w:rsidRDefault="00AC0B2B" w:rsidP="00AC0B2B">
      <w:pPr>
        <w:pStyle w:val="Enumlevel1"/>
      </w:pPr>
      <w:r w:rsidRPr="00AC0B2B">
        <w:rPr>
          <w:color w:val="E36C0A"/>
        </w:rPr>
        <w:t>•</w:t>
      </w:r>
      <w:r w:rsidRPr="00AC0B2B">
        <w:tab/>
        <w:t xml:space="preserve">52% </w:t>
      </w:r>
      <w:proofErr w:type="spellStart"/>
      <w:r w:rsidRPr="00AC0B2B">
        <w:t>ont</w:t>
      </w:r>
      <w:proofErr w:type="spellEnd"/>
      <w:r w:rsidRPr="00AC0B2B">
        <w:t xml:space="preserve"> des services de </w:t>
      </w:r>
      <w:proofErr w:type="spellStart"/>
      <w:r w:rsidRPr="00AC0B2B">
        <w:t>télévision</w:t>
      </w:r>
      <w:proofErr w:type="spellEnd"/>
      <w:r w:rsidRPr="00AC0B2B">
        <w:t xml:space="preserve"> </w:t>
      </w:r>
      <w:proofErr w:type="spellStart"/>
      <w:r w:rsidRPr="00AC0B2B">
        <w:t>sur</w:t>
      </w:r>
      <w:proofErr w:type="spellEnd"/>
      <w:r w:rsidRPr="00AC0B2B">
        <w:t xml:space="preserve"> mobile/TVIP; </w:t>
      </w:r>
    </w:p>
    <w:p w:rsidR="00AC0B2B" w:rsidRPr="00AC0B2B" w:rsidRDefault="00AC0B2B" w:rsidP="00AC0B2B">
      <w:pPr>
        <w:pStyle w:val="Enumlevel1"/>
      </w:pPr>
      <w:r w:rsidRPr="00AC0B2B">
        <w:rPr>
          <w:color w:val="E36C0A"/>
        </w:rPr>
        <w:t>•</w:t>
      </w:r>
      <w:r w:rsidRPr="00AC0B2B">
        <w:tab/>
        <w:t xml:space="preserve">14% </w:t>
      </w:r>
      <w:proofErr w:type="spellStart"/>
      <w:r w:rsidRPr="00AC0B2B">
        <w:t>ont</w:t>
      </w:r>
      <w:proofErr w:type="spellEnd"/>
      <w:r w:rsidRPr="00AC0B2B">
        <w:t xml:space="preserve"> des services de </w:t>
      </w:r>
      <w:proofErr w:type="spellStart"/>
      <w:r w:rsidRPr="00AC0B2B">
        <w:t>paiement</w:t>
      </w:r>
      <w:proofErr w:type="spellEnd"/>
      <w:r w:rsidRPr="00AC0B2B">
        <w:t xml:space="preserve">/services </w:t>
      </w:r>
      <w:proofErr w:type="spellStart"/>
      <w:r w:rsidRPr="00AC0B2B">
        <w:t>bancaires</w:t>
      </w:r>
      <w:proofErr w:type="spellEnd"/>
      <w:r w:rsidRPr="00AC0B2B">
        <w:t xml:space="preserve"> </w:t>
      </w:r>
      <w:proofErr w:type="spellStart"/>
      <w:r w:rsidRPr="00AC0B2B">
        <w:t>sur</w:t>
      </w:r>
      <w:proofErr w:type="spellEnd"/>
      <w:r w:rsidRPr="00AC0B2B">
        <w:t xml:space="preserve"> mobile;</w:t>
      </w:r>
    </w:p>
    <w:p w:rsidR="00AC0B2B" w:rsidRPr="00AC0B2B" w:rsidRDefault="00AC0B2B" w:rsidP="00AC0B2B">
      <w:pPr>
        <w:pStyle w:val="Enumlevel1"/>
      </w:pPr>
      <w:r w:rsidRPr="00AC0B2B">
        <w:rPr>
          <w:color w:val="E36C0A"/>
        </w:rPr>
        <w:t>•</w:t>
      </w:r>
      <w:r w:rsidRPr="00AC0B2B">
        <w:tab/>
        <w:t xml:space="preserve">21% </w:t>
      </w:r>
      <w:proofErr w:type="spellStart"/>
      <w:r w:rsidRPr="00AC0B2B">
        <w:t>ont</w:t>
      </w:r>
      <w:proofErr w:type="spellEnd"/>
      <w:r w:rsidRPr="00AC0B2B">
        <w:t xml:space="preserve"> "</w:t>
      </w:r>
      <w:proofErr w:type="spellStart"/>
      <w:r w:rsidRPr="00AC0B2B">
        <w:t>d'autres</w:t>
      </w:r>
      <w:proofErr w:type="spellEnd"/>
      <w:r w:rsidRPr="00AC0B2B">
        <w:t xml:space="preserve">" </w:t>
      </w:r>
      <w:proofErr w:type="spellStart"/>
      <w:r w:rsidRPr="00AC0B2B">
        <w:t>produits</w:t>
      </w:r>
      <w:proofErr w:type="spellEnd"/>
      <w:r w:rsidRPr="00AC0B2B">
        <w:t xml:space="preserve"> et services </w:t>
      </w:r>
      <w:proofErr w:type="spellStart"/>
      <w:r w:rsidRPr="00AC0B2B">
        <w:t>convergents</w:t>
      </w:r>
      <w:proofErr w:type="spellEnd"/>
      <w:r w:rsidRPr="00AC0B2B">
        <w:t xml:space="preserve">, </w:t>
      </w:r>
      <w:proofErr w:type="spellStart"/>
      <w:r w:rsidRPr="00AC0B2B">
        <w:t>notamment</w:t>
      </w:r>
      <w:proofErr w:type="spellEnd"/>
      <w:r w:rsidRPr="00AC0B2B">
        <w:t xml:space="preserve"> des services de localisation par GPS </w:t>
      </w:r>
      <w:proofErr w:type="spellStart"/>
      <w:r w:rsidRPr="00AC0B2B">
        <w:t>sur</w:t>
      </w:r>
      <w:proofErr w:type="spellEnd"/>
      <w:r w:rsidRPr="00AC0B2B">
        <w:t xml:space="preserve"> mobile, des services </w:t>
      </w:r>
      <w:proofErr w:type="spellStart"/>
      <w:r w:rsidRPr="00AC0B2B">
        <w:t>sur</w:t>
      </w:r>
      <w:proofErr w:type="spellEnd"/>
      <w:r w:rsidRPr="00AC0B2B">
        <w:t xml:space="preserve"> </w:t>
      </w:r>
      <w:proofErr w:type="spellStart"/>
      <w:r w:rsidRPr="00AC0B2B">
        <w:t>smartphones</w:t>
      </w:r>
      <w:proofErr w:type="spellEnd"/>
      <w:r w:rsidRPr="00AC0B2B">
        <w:t xml:space="preserve"> et </w:t>
      </w:r>
      <w:proofErr w:type="spellStart"/>
      <w:r w:rsidRPr="00AC0B2B">
        <w:t>tablettes</w:t>
      </w:r>
      <w:proofErr w:type="spellEnd"/>
      <w:r w:rsidRPr="00AC0B2B">
        <w:t xml:space="preserve">, des </w:t>
      </w:r>
      <w:proofErr w:type="spellStart"/>
      <w:r w:rsidRPr="00AC0B2B">
        <w:t>offres</w:t>
      </w:r>
      <w:proofErr w:type="spellEnd"/>
      <w:r w:rsidRPr="00AC0B2B">
        <w:t xml:space="preserve"> </w:t>
      </w:r>
      <w:proofErr w:type="spellStart"/>
      <w:r w:rsidRPr="00AC0B2B">
        <w:t>groupées</w:t>
      </w:r>
      <w:proofErr w:type="spellEnd"/>
      <w:r w:rsidRPr="00AC0B2B">
        <w:t xml:space="preserve"> (</w:t>
      </w:r>
      <w:proofErr w:type="spellStart"/>
      <w:r w:rsidRPr="00AC0B2B">
        <w:t>télévision</w:t>
      </w:r>
      <w:proofErr w:type="spellEnd"/>
      <w:r w:rsidRPr="00AC0B2B">
        <w:t xml:space="preserve"> à </w:t>
      </w:r>
      <w:proofErr w:type="spellStart"/>
      <w:r w:rsidRPr="00AC0B2B">
        <w:t>péage</w:t>
      </w:r>
      <w:proofErr w:type="spellEnd"/>
      <w:r w:rsidRPr="00AC0B2B">
        <w:t xml:space="preserve">, </w:t>
      </w:r>
      <w:proofErr w:type="spellStart"/>
      <w:r w:rsidRPr="00AC0B2B">
        <w:t>téléphonie</w:t>
      </w:r>
      <w:proofErr w:type="spellEnd"/>
      <w:r w:rsidRPr="00AC0B2B">
        <w:t xml:space="preserve"> et Internet large </w:t>
      </w:r>
      <w:proofErr w:type="spellStart"/>
      <w:r w:rsidRPr="00AC0B2B">
        <w:t>bande</w:t>
      </w:r>
      <w:proofErr w:type="spellEnd"/>
      <w:r w:rsidRPr="00AC0B2B">
        <w:t xml:space="preserve">), des </w:t>
      </w:r>
      <w:proofErr w:type="spellStart"/>
      <w:r w:rsidRPr="00AC0B2B">
        <w:t>offres</w:t>
      </w:r>
      <w:proofErr w:type="spellEnd"/>
      <w:r w:rsidRPr="00AC0B2B">
        <w:t xml:space="preserve"> double play (services large </w:t>
      </w:r>
      <w:proofErr w:type="spellStart"/>
      <w:r w:rsidRPr="00AC0B2B">
        <w:t>bande</w:t>
      </w:r>
      <w:proofErr w:type="spellEnd"/>
      <w:r w:rsidRPr="00AC0B2B">
        <w:t xml:space="preserve"> et de </w:t>
      </w:r>
      <w:proofErr w:type="spellStart"/>
      <w:r w:rsidRPr="00AC0B2B">
        <w:t>ligne</w:t>
      </w:r>
      <w:proofErr w:type="spellEnd"/>
      <w:r w:rsidRPr="00AC0B2B">
        <w:t xml:space="preserve"> fixe), des </w:t>
      </w:r>
      <w:proofErr w:type="spellStart"/>
      <w:r w:rsidRPr="00AC0B2B">
        <w:t>offres</w:t>
      </w:r>
      <w:proofErr w:type="spellEnd"/>
      <w:r w:rsidRPr="00AC0B2B">
        <w:t xml:space="preserve"> triple play (services large </w:t>
      </w:r>
      <w:proofErr w:type="spellStart"/>
      <w:r w:rsidRPr="00AC0B2B">
        <w:t>bande</w:t>
      </w:r>
      <w:proofErr w:type="spellEnd"/>
      <w:r w:rsidRPr="00AC0B2B">
        <w:t xml:space="preserve">, fixe et </w:t>
      </w:r>
      <w:proofErr w:type="spellStart"/>
      <w:r w:rsidRPr="00AC0B2B">
        <w:t>télévision</w:t>
      </w:r>
      <w:proofErr w:type="spellEnd"/>
      <w:r w:rsidRPr="00AC0B2B">
        <w:t xml:space="preserve"> hors </w:t>
      </w:r>
      <w:proofErr w:type="spellStart"/>
      <w:r w:rsidRPr="00AC0B2B">
        <w:t>télévision</w:t>
      </w:r>
      <w:proofErr w:type="spellEnd"/>
      <w:r w:rsidRPr="00AC0B2B">
        <w:t xml:space="preserve"> à </w:t>
      </w:r>
      <w:proofErr w:type="spellStart"/>
      <w:r w:rsidRPr="00AC0B2B">
        <w:t>péage</w:t>
      </w:r>
      <w:proofErr w:type="spellEnd"/>
      <w:r w:rsidRPr="00AC0B2B">
        <w:t xml:space="preserve">) et des </w:t>
      </w:r>
      <w:proofErr w:type="spellStart"/>
      <w:r w:rsidRPr="00AC0B2B">
        <w:t>offres</w:t>
      </w:r>
      <w:proofErr w:type="spellEnd"/>
      <w:r w:rsidRPr="00AC0B2B">
        <w:t xml:space="preserve"> "tout </w:t>
      </w:r>
      <w:proofErr w:type="spellStart"/>
      <w:r w:rsidRPr="00AC0B2B">
        <w:t>compris</w:t>
      </w:r>
      <w:proofErr w:type="spellEnd"/>
      <w:r w:rsidRPr="00AC0B2B">
        <w:t xml:space="preserve">" (large </w:t>
      </w:r>
      <w:proofErr w:type="spellStart"/>
      <w:r w:rsidRPr="00AC0B2B">
        <w:t>bande</w:t>
      </w:r>
      <w:proofErr w:type="spellEnd"/>
      <w:r w:rsidRPr="00AC0B2B">
        <w:t xml:space="preserve">, </w:t>
      </w:r>
      <w:proofErr w:type="spellStart"/>
      <w:r w:rsidRPr="00AC0B2B">
        <w:t>téléphonie</w:t>
      </w:r>
      <w:proofErr w:type="spellEnd"/>
      <w:r w:rsidRPr="00AC0B2B">
        <w:t xml:space="preserve"> fixe, </w:t>
      </w:r>
      <w:proofErr w:type="spellStart"/>
      <w:r w:rsidRPr="00AC0B2B">
        <w:t>téléphonie</w:t>
      </w:r>
      <w:proofErr w:type="spellEnd"/>
      <w:r w:rsidRPr="00AC0B2B">
        <w:t xml:space="preserve"> mobile et </w:t>
      </w:r>
      <w:proofErr w:type="spellStart"/>
      <w:r w:rsidRPr="00AC0B2B">
        <w:t>télévision</w:t>
      </w:r>
      <w:proofErr w:type="spellEnd"/>
      <w:r w:rsidRPr="00AC0B2B">
        <w:t xml:space="preserve"> hors </w:t>
      </w:r>
      <w:proofErr w:type="spellStart"/>
      <w:r w:rsidRPr="00AC0B2B">
        <w:t>télévision</w:t>
      </w:r>
      <w:proofErr w:type="spellEnd"/>
      <w:r w:rsidRPr="00AC0B2B">
        <w:t xml:space="preserve"> à </w:t>
      </w:r>
      <w:proofErr w:type="spellStart"/>
      <w:r w:rsidRPr="00AC0B2B">
        <w:t>péage</w:t>
      </w:r>
      <w:proofErr w:type="spellEnd"/>
      <w:r w:rsidRPr="00AC0B2B">
        <w:t xml:space="preserve">). </w:t>
      </w:r>
    </w:p>
    <w:p w:rsidR="00655B71" w:rsidRPr="003F265B" w:rsidRDefault="00AC0B2B" w:rsidP="00AC0B2B">
      <w:pPr>
        <w:rPr>
          <w:lang w:val="en-GB"/>
        </w:rPr>
      </w:pPr>
      <w:r w:rsidRPr="00AC0B2B">
        <w:t>Selon les données dont dispose l'UIT, à la fin de l'année 2012, on recensait encore 158 régulateurs des télécommunications/technologies de l'information et de la communication (TIC) séparés dans le monde – bien que, dans de nombreux cas, le mandat de ces régulateurs ait été élargi au cours des cinq dernières années et couvre aujourd'hui les technologies de l'information et la radiodiffusion. Les régulateurs du secteur des télécommunications/TIC sont responsables de la réglementation du contenu Internet dans seulement 16% des pays environ (principalement en Afrique, dans les Etats arabes et dans la région Asie-Pacifique)</w:t>
      </w:r>
      <w:r w:rsidRPr="00AC0B2B">
        <w:rPr>
          <w:vertAlign w:val="superscript"/>
        </w:rPr>
        <w:footnoteReference w:id="10"/>
      </w:r>
      <w:r w:rsidRPr="00AC0B2B">
        <w:t>, même si ce taux a doublé depuis 2009. Dans 18 % des pays, la réglementation de la radiodiffusion relève du mandat des régulateurs du secteur des télécommunications/TIC.</w:t>
      </w:r>
    </w:p>
    <w:p w:rsidR="00655B71" w:rsidRPr="003F265B" w:rsidRDefault="00316488" w:rsidP="00184EFD">
      <w:pPr>
        <w:pStyle w:val="Figuretitle"/>
        <w:rPr>
          <w:lang w:val="en-GB"/>
        </w:rPr>
      </w:pPr>
      <w:r w:rsidRPr="004346ED">
        <w:rPr>
          <w:lang w:val="fr-CH"/>
        </w:rPr>
        <w:lastRenderedPageBreak/>
        <w:t xml:space="preserve">Figure 5: </w:t>
      </w:r>
      <w:r w:rsidRPr="00EE3E8D">
        <w:rPr>
          <w:lang w:val="fr-FR"/>
        </w:rPr>
        <w:t>Mandat des régulateurs, monde 2012</w:t>
      </w:r>
    </w:p>
    <w:p w:rsidR="00655B71" w:rsidRPr="003F265B" w:rsidRDefault="002C6A7A" w:rsidP="0033567B">
      <w:pPr>
        <w:pStyle w:val="Figure"/>
        <w:rPr>
          <w:lang w:val="en-GB"/>
        </w:rPr>
      </w:pPr>
      <w:r>
        <w:rPr>
          <w:noProof/>
          <w:lang w:val="en-US" w:eastAsia="zh-CN"/>
        </w:rPr>
        <w:pict>
          <v:shape id="_x0000_s1050" type="#_x0000_t202" style="position:absolute;left:0;text-align:left;margin-left:283.05pt;margin-top:199.65pt;width:74.95pt;height:12pt;z-index:251680256" fillcolor="white [3212]" stroked="f">
            <v:textbox inset=".5mm,.3mm,.5mm,.3mm">
              <w:txbxContent>
                <w:p w:rsidR="00C954D9" w:rsidRPr="00FA4731" w:rsidRDefault="00C954D9" w:rsidP="00975425">
                  <w:pPr>
                    <w:spacing w:before="0"/>
                    <w:jc w:val="left"/>
                    <w:rPr>
                      <w:sz w:val="16"/>
                      <w:lang w:val="en-US"/>
                    </w:rPr>
                  </w:pPr>
                  <w:r>
                    <w:rPr>
                      <w:sz w:val="16"/>
                      <w:lang w:val="en-US"/>
                    </w:rPr>
                    <w:t xml:space="preserve">TIC &amp; </w:t>
                  </w:r>
                  <w:proofErr w:type="spellStart"/>
                  <w:r>
                    <w:rPr>
                      <w:sz w:val="16"/>
                      <w:lang w:val="en-US"/>
                    </w:rPr>
                    <w:t>radiodiffusion</w:t>
                  </w:r>
                  <w:proofErr w:type="spellEnd"/>
                </w:p>
              </w:txbxContent>
            </v:textbox>
          </v:shape>
        </w:pict>
      </w:r>
      <w:r>
        <w:rPr>
          <w:noProof/>
          <w:lang w:val="en-US" w:eastAsia="zh-CN"/>
        </w:rPr>
        <w:pict>
          <v:shape id="_x0000_s1051" type="#_x0000_t202" style="position:absolute;left:0;text-align:left;margin-left:370.55pt;margin-top:199.65pt;width:37.8pt;height:12pt;z-index:251681280" fillcolor="white [3212]" stroked="f">
            <v:textbox inset=".5mm,.3mm,.5mm,.3mm">
              <w:txbxContent>
                <w:p w:rsidR="00C954D9" w:rsidRPr="00FA4731" w:rsidRDefault="00C954D9" w:rsidP="00975425">
                  <w:pPr>
                    <w:spacing w:before="0"/>
                    <w:jc w:val="left"/>
                    <w:rPr>
                      <w:sz w:val="16"/>
                      <w:lang w:val="en-US"/>
                    </w:rPr>
                  </w:pPr>
                  <w:proofErr w:type="spellStart"/>
                  <w:r>
                    <w:rPr>
                      <w:sz w:val="16"/>
                      <w:lang w:val="en-US"/>
                    </w:rPr>
                    <w:t>Autre</w:t>
                  </w:r>
                  <w:proofErr w:type="spellEnd"/>
                </w:p>
              </w:txbxContent>
            </v:textbox>
          </v:shape>
        </w:pict>
      </w:r>
      <w:r>
        <w:rPr>
          <w:noProof/>
          <w:lang w:val="en-US" w:eastAsia="zh-CN"/>
        </w:rPr>
        <w:pict>
          <v:shape id="_x0000_s1049" type="#_x0000_t202" style="position:absolute;left:0;text-align:left;margin-left:216.4pt;margin-top:189.75pt;width:54.2pt;height:21.9pt;z-index:251679232" fillcolor="white [3212]" stroked="f">
            <v:textbox inset=".5mm,.3mm,.5mm,.3mm">
              <w:txbxContent>
                <w:p w:rsidR="00C954D9" w:rsidRPr="00FA4731" w:rsidRDefault="00C954D9" w:rsidP="00334E04">
                  <w:pPr>
                    <w:spacing w:before="0"/>
                    <w:jc w:val="left"/>
                    <w:rPr>
                      <w:sz w:val="16"/>
                      <w:lang w:val="en-US"/>
                    </w:rPr>
                  </w:pPr>
                  <w:r>
                    <w:rPr>
                      <w:sz w:val="16"/>
                      <w:lang w:val="en-US"/>
                    </w:rPr>
                    <w:t xml:space="preserve">TIC &amp; services </w:t>
                  </w:r>
                  <w:proofErr w:type="spellStart"/>
                  <w:r>
                    <w:rPr>
                      <w:sz w:val="16"/>
                      <w:lang w:val="en-US"/>
                    </w:rPr>
                    <w:t>collectifs</w:t>
                  </w:r>
                  <w:proofErr w:type="spellEnd"/>
                </w:p>
              </w:txbxContent>
            </v:textbox>
          </v:shape>
        </w:pict>
      </w:r>
      <w:r>
        <w:rPr>
          <w:noProof/>
          <w:lang w:val="en-US" w:eastAsia="zh-CN"/>
        </w:rPr>
        <w:pict>
          <v:shape id="_x0000_s1048" type="#_x0000_t202" style="position:absolute;left:0;text-align:left;margin-left:157.6pt;margin-top:199.65pt;width:54.2pt;height:9.75pt;z-index:251678208" fillcolor="white [3212]" stroked="f">
            <v:textbox inset=".5mm,.3mm,.5mm,.3mm">
              <w:txbxContent>
                <w:p w:rsidR="00C954D9" w:rsidRPr="00FA4731" w:rsidRDefault="00C954D9" w:rsidP="00334E04">
                  <w:pPr>
                    <w:spacing w:before="0"/>
                    <w:jc w:val="left"/>
                    <w:rPr>
                      <w:sz w:val="16"/>
                      <w:lang w:val="en-US"/>
                    </w:rPr>
                  </w:pPr>
                  <w:r>
                    <w:rPr>
                      <w:sz w:val="16"/>
                      <w:lang w:val="en-US"/>
                    </w:rPr>
                    <w:t xml:space="preserve">TIC &amp; </w:t>
                  </w:r>
                  <w:proofErr w:type="spellStart"/>
                  <w:r>
                    <w:rPr>
                      <w:sz w:val="16"/>
                      <w:lang w:val="en-US"/>
                    </w:rPr>
                    <w:t>poste</w:t>
                  </w:r>
                  <w:proofErr w:type="spellEnd"/>
                </w:p>
              </w:txbxContent>
            </v:textbox>
          </v:shape>
        </w:pict>
      </w:r>
      <w:r>
        <w:rPr>
          <w:noProof/>
          <w:lang w:val="en-US" w:eastAsia="zh-CN"/>
        </w:rPr>
        <w:pict>
          <v:shape id="_x0000_s1047" type="#_x0000_t202" style="position:absolute;left:0;text-align:left;margin-left:82.9pt;margin-top:192.2pt;width:68.4pt;height:19.45pt;z-index:251677184" fillcolor="white [3212]" stroked="f">
            <v:textbox inset=".5mm,.3mm,.5mm,.3mm">
              <w:txbxContent>
                <w:p w:rsidR="00C954D9" w:rsidRPr="00FA4731" w:rsidRDefault="00C954D9" w:rsidP="002906C8">
                  <w:pPr>
                    <w:spacing w:before="0"/>
                    <w:rPr>
                      <w:sz w:val="16"/>
                      <w:lang w:val="en-US"/>
                    </w:rPr>
                  </w:pPr>
                  <w:r>
                    <w:rPr>
                      <w:sz w:val="16"/>
                      <w:lang w:val="en-US"/>
                    </w:rPr>
                    <w:t>TIC/</w:t>
                  </w:r>
                  <w:proofErr w:type="spellStart"/>
                  <w:r>
                    <w:rPr>
                      <w:sz w:val="16"/>
                      <w:lang w:val="en-US"/>
                    </w:rPr>
                    <w:t>télécommuni-cations</w:t>
                  </w:r>
                  <w:proofErr w:type="spellEnd"/>
                  <w:r>
                    <w:rPr>
                      <w:sz w:val="16"/>
                      <w:lang w:val="en-US"/>
                    </w:rPr>
                    <w:t xml:space="preserve"> </w:t>
                  </w:r>
                  <w:proofErr w:type="spellStart"/>
                  <w:r>
                    <w:rPr>
                      <w:sz w:val="16"/>
                      <w:lang w:val="en-US"/>
                    </w:rPr>
                    <w:t>uniquement</w:t>
                  </w:r>
                  <w:proofErr w:type="spellEnd"/>
                </w:p>
              </w:txbxContent>
            </v:textbox>
          </v:shape>
        </w:pict>
      </w:r>
      <w:r>
        <w:rPr>
          <w:noProof/>
          <w:lang w:val="en-US" w:eastAsia="zh-CN"/>
        </w:rPr>
        <w:pict>
          <v:shape id="_x0000_s1045" type="#_x0000_t202" style="position:absolute;left:0;text-align:left;margin-left:297.1pt;margin-top:175.35pt;width:54.35pt;height:11.45pt;z-index:251675136" fillcolor="white [3212]" stroked="f">
            <v:textbox style="mso-fit-shape-to-text:t" inset=".5mm,.3mm,.5mm,.3mm">
              <w:txbxContent>
                <w:p w:rsidR="00C954D9" w:rsidRPr="00FA4731" w:rsidRDefault="00C954D9" w:rsidP="00FA4731">
                  <w:pPr>
                    <w:spacing w:before="0"/>
                    <w:jc w:val="center"/>
                    <w:rPr>
                      <w:sz w:val="16"/>
                      <w:lang w:val="en-US"/>
                    </w:rPr>
                  </w:pPr>
                  <w:r>
                    <w:rPr>
                      <w:sz w:val="16"/>
                      <w:lang w:val="en-US"/>
                    </w:rPr>
                    <w:t>CEI</w:t>
                  </w:r>
                </w:p>
              </w:txbxContent>
            </v:textbox>
          </v:shape>
        </w:pict>
      </w:r>
      <w:r>
        <w:rPr>
          <w:noProof/>
          <w:lang w:val="en-US" w:eastAsia="zh-CN"/>
        </w:rPr>
        <w:pict>
          <v:shape id="_x0000_s1046" type="#_x0000_t202" style="position:absolute;left:0;text-align:left;margin-left:351.45pt;margin-top:175.9pt;width:54.35pt;height:11.45pt;z-index:251676160" fillcolor="white [3212]" stroked="f">
            <v:textbox style="mso-fit-shape-to-text:t" inset=".5mm,.3mm,.5mm,.3mm">
              <w:txbxContent>
                <w:p w:rsidR="00C954D9" w:rsidRPr="00FA4731" w:rsidRDefault="00C954D9" w:rsidP="00FA4731">
                  <w:pPr>
                    <w:spacing w:before="0"/>
                    <w:jc w:val="center"/>
                    <w:rPr>
                      <w:sz w:val="16"/>
                      <w:lang w:val="en-US"/>
                    </w:rPr>
                  </w:pPr>
                  <w:r>
                    <w:rPr>
                      <w:sz w:val="16"/>
                      <w:lang w:val="en-US"/>
                    </w:rPr>
                    <w:t>Europe</w:t>
                  </w:r>
                </w:p>
              </w:txbxContent>
            </v:textbox>
          </v:shape>
        </w:pict>
      </w:r>
      <w:r>
        <w:rPr>
          <w:noProof/>
          <w:lang w:val="en-US" w:eastAsia="zh-CN"/>
        </w:rPr>
        <w:pict>
          <v:shape id="_x0000_s1044" type="#_x0000_t202" style="position:absolute;left:0;text-align:left;margin-left:246.25pt;margin-top:175.7pt;width:54.35pt;height:11.45pt;z-index:251674112" fillcolor="white [3212]" stroked="f">
            <v:textbox style="mso-fit-shape-to-text:t" inset=".5mm,.3mm,.5mm,.3mm">
              <w:txbxContent>
                <w:p w:rsidR="00C954D9" w:rsidRPr="00FA4731" w:rsidRDefault="00C954D9" w:rsidP="00FA4731">
                  <w:pPr>
                    <w:spacing w:before="0"/>
                    <w:jc w:val="center"/>
                    <w:rPr>
                      <w:sz w:val="16"/>
                      <w:lang w:val="en-US"/>
                    </w:rPr>
                  </w:pPr>
                  <w:proofErr w:type="spellStart"/>
                  <w:r>
                    <w:rPr>
                      <w:sz w:val="16"/>
                      <w:lang w:val="en-US"/>
                    </w:rPr>
                    <w:t>Asie-Pacifique</w:t>
                  </w:r>
                  <w:proofErr w:type="spellEnd"/>
                </w:p>
              </w:txbxContent>
            </v:textbox>
          </v:shape>
        </w:pict>
      </w:r>
      <w:r>
        <w:rPr>
          <w:noProof/>
          <w:lang w:val="en-US" w:eastAsia="zh-CN"/>
        </w:rPr>
        <w:pict>
          <v:shape id="_x0000_s1043" type="#_x0000_t202" style="position:absolute;left:0;text-align:left;margin-left:193.7pt;margin-top:176.05pt;width:46.3pt;height:11.45pt;z-index:251673088" fillcolor="white [3212]" stroked="f">
            <v:textbox style="mso-fit-shape-to-text:t" inset=".5mm,.3mm,.5mm,.3mm">
              <w:txbxContent>
                <w:p w:rsidR="00C954D9" w:rsidRPr="00FA4731" w:rsidRDefault="00C954D9" w:rsidP="00FA4731">
                  <w:pPr>
                    <w:spacing w:before="0"/>
                    <w:jc w:val="center"/>
                    <w:rPr>
                      <w:sz w:val="16"/>
                      <w:lang w:val="en-US"/>
                    </w:rPr>
                  </w:pPr>
                  <w:proofErr w:type="spellStart"/>
                  <w:r>
                    <w:rPr>
                      <w:sz w:val="16"/>
                      <w:lang w:val="en-US"/>
                    </w:rPr>
                    <w:t>Etats</w:t>
                  </w:r>
                  <w:proofErr w:type="spellEnd"/>
                  <w:r>
                    <w:rPr>
                      <w:sz w:val="16"/>
                      <w:lang w:val="en-US"/>
                    </w:rPr>
                    <w:t xml:space="preserve"> </w:t>
                  </w:r>
                  <w:proofErr w:type="spellStart"/>
                  <w:r>
                    <w:rPr>
                      <w:sz w:val="16"/>
                      <w:lang w:val="en-US"/>
                    </w:rPr>
                    <w:t>arabes</w:t>
                  </w:r>
                  <w:proofErr w:type="spellEnd"/>
                </w:p>
              </w:txbxContent>
            </v:textbox>
          </v:shape>
        </w:pict>
      </w:r>
      <w:r>
        <w:rPr>
          <w:noProof/>
          <w:lang w:val="en-US" w:eastAsia="zh-CN"/>
        </w:rPr>
        <w:pict>
          <v:shape id="_x0000_s1042" type="#_x0000_t202" style="position:absolute;left:0;text-align:left;margin-left:141.6pt;margin-top:175.5pt;width:43.25pt;height:11.45pt;z-index:251672064" fillcolor="white [3212]" stroked="f">
            <v:textbox style="mso-fit-shape-to-text:t" inset=".5mm,.3mm,.5mm,.3mm">
              <w:txbxContent>
                <w:p w:rsidR="00C954D9" w:rsidRPr="00FA4731" w:rsidRDefault="00C954D9" w:rsidP="00FA4731">
                  <w:pPr>
                    <w:spacing w:before="0"/>
                    <w:jc w:val="center"/>
                    <w:rPr>
                      <w:sz w:val="16"/>
                      <w:lang w:val="en-US"/>
                    </w:rPr>
                  </w:pPr>
                  <w:proofErr w:type="spellStart"/>
                  <w:r>
                    <w:rPr>
                      <w:sz w:val="16"/>
                      <w:lang w:val="en-US"/>
                    </w:rPr>
                    <w:t>Amériques</w:t>
                  </w:r>
                  <w:proofErr w:type="spellEnd"/>
                </w:p>
              </w:txbxContent>
            </v:textbox>
          </v:shape>
        </w:pict>
      </w:r>
      <w:r>
        <w:rPr>
          <w:noProof/>
          <w:lang w:val="en-US" w:eastAsia="zh-CN"/>
        </w:rPr>
        <w:pict>
          <v:shape id="_x0000_s1041" type="#_x0000_t202" style="position:absolute;left:0;text-align:left;margin-left:86.35pt;margin-top:174.95pt;width:43.25pt;height:11.45pt;z-index:251671040" fillcolor="white [3212]" stroked="f">
            <v:textbox style="mso-fit-shape-to-text:t" inset=".5mm,.3mm,.5mm,.3mm">
              <w:txbxContent>
                <w:p w:rsidR="00C954D9" w:rsidRPr="00FA4731" w:rsidRDefault="00C954D9" w:rsidP="00FA4731">
                  <w:pPr>
                    <w:spacing w:before="0"/>
                    <w:jc w:val="center"/>
                    <w:rPr>
                      <w:sz w:val="16"/>
                      <w:lang w:val="en-US"/>
                    </w:rPr>
                  </w:pPr>
                  <w:proofErr w:type="spellStart"/>
                  <w:r>
                    <w:rPr>
                      <w:sz w:val="16"/>
                      <w:lang w:val="en-US"/>
                    </w:rPr>
                    <w:t>Afrique</w:t>
                  </w:r>
                  <w:proofErr w:type="spellEnd"/>
                </w:p>
              </w:txbxContent>
            </v:textbox>
          </v:shape>
        </w:pict>
      </w:r>
      <w:r w:rsidR="00655B71" w:rsidRPr="003F265B">
        <w:rPr>
          <w:noProof/>
          <w:lang w:val="en-US" w:eastAsia="zh-CN"/>
        </w:rPr>
        <w:drawing>
          <wp:inline distT="0" distB="0" distL="0" distR="0">
            <wp:extent cx="4610100" cy="2533650"/>
            <wp:effectExtent l="19050" t="0" r="0" b="0"/>
            <wp:docPr id="6" name="Picture 1"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
                    <pic:cNvPicPr>
                      <a:picLocks noChangeAspect="1" noChangeArrowheads="1"/>
                    </pic:cNvPicPr>
                  </pic:nvPicPr>
                  <pic:blipFill>
                    <a:blip r:embed="rId27" cstate="print"/>
                    <a:srcRect/>
                    <a:stretch>
                      <a:fillRect/>
                    </a:stretch>
                  </pic:blipFill>
                  <pic:spPr bwMode="auto">
                    <a:xfrm>
                      <a:off x="0" y="0"/>
                      <a:ext cx="4613294" cy="2535405"/>
                    </a:xfrm>
                    <a:prstGeom prst="rect">
                      <a:avLst/>
                    </a:prstGeom>
                    <a:noFill/>
                    <a:ln w="9525">
                      <a:noFill/>
                      <a:miter lim="800000"/>
                      <a:headEnd/>
                      <a:tailEnd/>
                    </a:ln>
                  </pic:spPr>
                </pic:pic>
              </a:graphicData>
            </a:graphic>
          </wp:inline>
        </w:drawing>
      </w:r>
    </w:p>
    <w:p w:rsidR="00655B71" w:rsidRPr="003F265B" w:rsidRDefault="00316488" w:rsidP="00316488">
      <w:pPr>
        <w:pStyle w:val="figuresource"/>
        <w:rPr>
          <w:lang w:val="en-GB"/>
        </w:rPr>
      </w:pPr>
      <w:r w:rsidRPr="004346ED">
        <w:rPr>
          <w:lang w:val="fr-FR"/>
        </w:rPr>
        <w:t xml:space="preserve">Source: Rapport "Tendances </w:t>
      </w:r>
      <w:r w:rsidRPr="00316488">
        <w:t>des</w:t>
      </w:r>
      <w:r w:rsidRPr="004346ED">
        <w:rPr>
          <w:lang w:val="fr-FR"/>
        </w:rPr>
        <w:t xml:space="preserve"> réformes dans les télécommunications 2010/2011"</w:t>
      </w:r>
      <w:r w:rsidRPr="008D28BF">
        <w:rPr>
          <w:vertAlign w:val="superscript"/>
          <w:lang w:val="es-ES"/>
        </w:rPr>
        <w:footnoteReference w:id="11"/>
      </w:r>
    </w:p>
    <w:p w:rsidR="00655B71" w:rsidRPr="003F265B" w:rsidRDefault="00655B71" w:rsidP="00655B71">
      <w:pPr>
        <w:rPr>
          <w:lang w:val="en-GB"/>
        </w:rPr>
      </w:pPr>
    </w:p>
    <w:p w:rsidR="00AD0CFD" w:rsidRPr="00AD0CFD" w:rsidRDefault="00AD0CFD" w:rsidP="00AD0CFD">
      <w:r w:rsidRPr="00AD0CFD">
        <w:t>Quelques Etats Membres commencent à s'orienter vers un cadre réglementaire convergent en regroupant les autorités de régulation des télécommunications et de la radiodiffusion en une seule et même autorité convergente pour les TIC</w:t>
      </w:r>
      <w:r w:rsidRPr="00AD0CFD">
        <w:rPr>
          <w:vertAlign w:val="superscript"/>
        </w:rPr>
        <w:footnoteReference w:id="12"/>
      </w:r>
      <w:r w:rsidRPr="00AD0CFD">
        <w:t>. Les responsabilités des régulateurs à l'ère de la convergence sont notamment les suivantes: protection des consommateurs, supervision de la concurrence et réglementation propre au secteur. Certaines de ces autorités sont en outre spécifiquement chargées de garantir un certain niveau de protection et d'éducation pour les consommateurs, d'encourager des conditions équitables sur le marché et de veiller à la qualité des services.</w:t>
      </w:r>
    </w:p>
    <w:p w:rsidR="00655B71" w:rsidRPr="003F265B" w:rsidRDefault="00AD0CFD" w:rsidP="00AD0CFD">
      <w:pPr>
        <w:rPr>
          <w:lang w:val="en-GB"/>
        </w:rPr>
      </w:pPr>
      <w:r w:rsidRPr="00AD0CFD">
        <w:t>Dans l'ensemble, l'enquête fait apparaître une insuffisance générale en ce qui concerne les ressources, les stratégies et les outils disponibles pour protéger les consommateurs dans un environnement soumis à un phénomène de convergence rapide.</w:t>
      </w:r>
    </w:p>
    <w:p w:rsidR="00B876C4" w:rsidRPr="00AD0CFD" w:rsidRDefault="00AD0CFD" w:rsidP="00AD0CFD">
      <w:pPr>
        <w:pStyle w:val="Heading1"/>
      </w:pPr>
      <w:bookmarkStart w:id="37" w:name="_Toc352684415"/>
      <w:bookmarkStart w:id="38" w:name="_Toc354053100"/>
      <w:bookmarkStart w:id="39" w:name="_Toc367349744"/>
      <w:r w:rsidRPr="004346ED">
        <w:t xml:space="preserve">Section 2: </w:t>
      </w:r>
      <w:proofErr w:type="spellStart"/>
      <w:r w:rsidRPr="004346ED">
        <w:t>Définir</w:t>
      </w:r>
      <w:proofErr w:type="spellEnd"/>
      <w:r w:rsidRPr="004346ED">
        <w:t xml:space="preserve"> le </w:t>
      </w:r>
      <w:proofErr w:type="spellStart"/>
      <w:r w:rsidRPr="004346ED">
        <w:t>problème</w:t>
      </w:r>
      <w:proofErr w:type="spellEnd"/>
      <w:r w:rsidRPr="004346ED">
        <w:t xml:space="preserve"> – </w:t>
      </w:r>
      <w:proofErr w:type="spellStart"/>
      <w:r w:rsidRPr="004346ED">
        <w:t>Quelle</w:t>
      </w:r>
      <w:proofErr w:type="spellEnd"/>
      <w:r w:rsidRPr="004346ED">
        <w:t xml:space="preserve"> </w:t>
      </w:r>
      <w:proofErr w:type="spellStart"/>
      <w:proofErr w:type="gramStart"/>
      <w:r w:rsidRPr="004346ED">
        <w:t>est</w:t>
      </w:r>
      <w:proofErr w:type="spellEnd"/>
      <w:proofErr w:type="gramEnd"/>
      <w:r w:rsidRPr="004346ED">
        <w:t xml:space="preserve"> </w:t>
      </w:r>
      <w:proofErr w:type="spellStart"/>
      <w:r w:rsidRPr="004346ED">
        <w:t>l'incidence</w:t>
      </w:r>
      <w:proofErr w:type="spellEnd"/>
      <w:r w:rsidRPr="004346ED">
        <w:t xml:space="preserve"> de la convergence pour la </w:t>
      </w:r>
      <w:proofErr w:type="spellStart"/>
      <w:r w:rsidRPr="004346ED">
        <w:t>réglementation</w:t>
      </w:r>
      <w:proofErr w:type="spellEnd"/>
      <w:r w:rsidRPr="004346ED">
        <w:t xml:space="preserve"> et les </w:t>
      </w:r>
      <w:proofErr w:type="spellStart"/>
      <w:r w:rsidRPr="004346ED">
        <w:t>consommateurs</w:t>
      </w:r>
      <w:proofErr w:type="spellEnd"/>
      <w:r w:rsidRPr="004346ED">
        <w:t>?</w:t>
      </w:r>
      <w:bookmarkEnd w:id="37"/>
      <w:bookmarkEnd w:id="38"/>
      <w:bookmarkEnd w:id="39"/>
    </w:p>
    <w:p w:rsidR="00B876C4" w:rsidRPr="003F265B" w:rsidRDefault="00FE4A19" w:rsidP="00FE4A19">
      <w:pPr>
        <w:rPr>
          <w:lang w:val="en-GB"/>
        </w:rPr>
      </w:pPr>
      <w:r w:rsidRPr="00FE4A19">
        <w:t>Comme nous l'avons vu dans l'introduction, l'essor des technologies numériques et de l'Internet, en particulier du Web 2.0, a modifié en profondeur les modalités de fourniture des services de communication électronique et d'accès à ces services, d'où les nouveaux défis suivants pour les régulateurs:</w:t>
      </w:r>
    </w:p>
    <w:p w:rsidR="00FE4A19" w:rsidRPr="00FE4A19" w:rsidRDefault="00FE4A19" w:rsidP="00FE4A19">
      <w:pPr>
        <w:pStyle w:val="Enumlevel1"/>
      </w:pPr>
      <w:r w:rsidRPr="00FE4A19">
        <w:rPr>
          <w:color w:val="E36C0A"/>
        </w:rPr>
        <w:t>•</w:t>
      </w:r>
      <w:r w:rsidRPr="00FE4A19">
        <w:tab/>
        <w:t xml:space="preserve">Encourager </w:t>
      </w:r>
      <w:proofErr w:type="spellStart"/>
      <w:r w:rsidRPr="00FE4A19">
        <w:t>l'investissement</w:t>
      </w:r>
      <w:proofErr w:type="spellEnd"/>
      <w:r w:rsidRPr="00FE4A19">
        <w:t xml:space="preserve"> </w:t>
      </w:r>
      <w:proofErr w:type="spellStart"/>
      <w:r w:rsidRPr="00FE4A19">
        <w:t>dans</w:t>
      </w:r>
      <w:proofErr w:type="spellEnd"/>
      <w:r w:rsidRPr="00FE4A19">
        <w:t xml:space="preserve"> les </w:t>
      </w:r>
      <w:proofErr w:type="spellStart"/>
      <w:r w:rsidRPr="00FE4A19">
        <w:t>réseaux</w:t>
      </w:r>
      <w:proofErr w:type="spellEnd"/>
      <w:r w:rsidRPr="00FE4A19">
        <w:t xml:space="preserve"> haut </w:t>
      </w:r>
      <w:proofErr w:type="spellStart"/>
      <w:r w:rsidRPr="00FE4A19">
        <w:t>débit</w:t>
      </w:r>
      <w:proofErr w:type="spellEnd"/>
      <w:r w:rsidRPr="00FE4A19">
        <w:t xml:space="preserve"> </w:t>
      </w:r>
      <w:proofErr w:type="gramStart"/>
      <w:r w:rsidRPr="00FE4A19">
        <w:t>et</w:t>
      </w:r>
      <w:proofErr w:type="gramEnd"/>
      <w:r w:rsidRPr="00FE4A19">
        <w:t xml:space="preserve"> les solutions </w:t>
      </w:r>
      <w:proofErr w:type="spellStart"/>
      <w:r w:rsidRPr="00FE4A19">
        <w:t>technologiques</w:t>
      </w:r>
      <w:proofErr w:type="spellEnd"/>
      <w:r w:rsidRPr="00FE4A19">
        <w:t xml:space="preserve"> </w:t>
      </w:r>
      <w:proofErr w:type="spellStart"/>
      <w:r w:rsidRPr="00FE4A19">
        <w:t>évoluées</w:t>
      </w:r>
      <w:proofErr w:type="spellEnd"/>
      <w:r w:rsidRPr="00FE4A19">
        <w:t xml:space="preserve"> </w:t>
      </w:r>
      <w:proofErr w:type="spellStart"/>
      <w:r w:rsidRPr="00FE4A19">
        <w:t>disponibles</w:t>
      </w:r>
      <w:proofErr w:type="spellEnd"/>
      <w:r w:rsidRPr="00FE4A19">
        <w:t xml:space="preserve"> et </w:t>
      </w:r>
      <w:proofErr w:type="spellStart"/>
      <w:r w:rsidRPr="00FE4A19">
        <w:t>accessibles</w:t>
      </w:r>
      <w:proofErr w:type="spellEnd"/>
      <w:r w:rsidRPr="00FE4A19">
        <w:t xml:space="preserve"> à </w:t>
      </w:r>
      <w:proofErr w:type="spellStart"/>
      <w:r w:rsidRPr="00FE4A19">
        <w:t>tous</w:t>
      </w:r>
      <w:proofErr w:type="spellEnd"/>
      <w:r w:rsidRPr="00FE4A19">
        <w:t>.</w:t>
      </w:r>
    </w:p>
    <w:p w:rsidR="00FE4A19" w:rsidRPr="00FE4A19" w:rsidRDefault="00FE4A19" w:rsidP="00FE4A19">
      <w:pPr>
        <w:pStyle w:val="Enumlevel1"/>
      </w:pPr>
      <w:r w:rsidRPr="00FE4A19">
        <w:rPr>
          <w:color w:val="E36C0A"/>
        </w:rPr>
        <w:lastRenderedPageBreak/>
        <w:t>•</w:t>
      </w:r>
      <w:r w:rsidRPr="00FE4A19">
        <w:tab/>
      </w:r>
      <w:proofErr w:type="spellStart"/>
      <w:r w:rsidRPr="00FE4A19">
        <w:t>Protéger</w:t>
      </w:r>
      <w:proofErr w:type="spellEnd"/>
      <w:r w:rsidRPr="00FE4A19">
        <w:t xml:space="preserve"> les </w:t>
      </w:r>
      <w:proofErr w:type="spellStart"/>
      <w:r w:rsidRPr="00FE4A19">
        <w:t>innovateurs</w:t>
      </w:r>
      <w:proofErr w:type="spellEnd"/>
      <w:r w:rsidRPr="00FE4A19">
        <w:t xml:space="preserve">, les </w:t>
      </w:r>
      <w:proofErr w:type="spellStart"/>
      <w:r w:rsidRPr="00FE4A19">
        <w:t>créateurs</w:t>
      </w:r>
      <w:proofErr w:type="spellEnd"/>
      <w:r w:rsidRPr="00FE4A19">
        <w:t xml:space="preserve"> </w:t>
      </w:r>
      <w:proofErr w:type="gramStart"/>
      <w:r w:rsidRPr="00FE4A19">
        <w:t>et</w:t>
      </w:r>
      <w:proofErr w:type="gramEnd"/>
      <w:r w:rsidRPr="00FE4A19">
        <w:t xml:space="preserve"> les </w:t>
      </w:r>
      <w:proofErr w:type="spellStart"/>
      <w:r w:rsidRPr="00FE4A19">
        <w:t>consommateurs</w:t>
      </w:r>
      <w:proofErr w:type="spellEnd"/>
      <w:r w:rsidRPr="00FE4A19">
        <w:t xml:space="preserve"> </w:t>
      </w:r>
      <w:proofErr w:type="spellStart"/>
      <w:r w:rsidRPr="00FE4A19">
        <w:t>contre</w:t>
      </w:r>
      <w:proofErr w:type="spellEnd"/>
      <w:r w:rsidRPr="00FE4A19">
        <w:t xml:space="preserve"> la </w:t>
      </w:r>
      <w:proofErr w:type="spellStart"/>
      <w:r w:rsidRPr="00FE4A19">
        <w:t>contrefaçon</w:t>
      </w:r>
      <w:proofErr w:type="spellEnd"/>
      <w:r w:rsidRPr="00FE4A19">
        <w:t xml:space="preserve"> et le </w:t>
      </w:r>
      <w:proofErr w:type="spellStart"/>
      <w:r w:rsidRPr="00FE4A19">
        <w:t>piratage</w:t>
      </w:r>
      <w:proofErr w:type="spellEnd"/>
      <w:r w:rsidRPr="00FE4A19">
        <w:t xml:space="preserve"> </w:t>
      </w:r>
      <w:proofErr w:type="spellStart"/>
      <w:r w:rsidRPr="00FE4A19">
        <w:t>découlant</w:t>
      </w:r>
      <w:proofErr w:type="spellEnd"/>
      <w:r w:rsidRPr="00FE4A19">
        <w:t xml:space="preserve"> de la </w:t>
      </w:r>
      <w:proofErr w:type="spellStart"/>
      <w:r w:rsidRPr="00FE4A19">
        <w:t>fourniture</w:t>
      </w:r>
      <w:proofErr w:type="spellEnd"/>
      <w:r w:rsidRPr="00FE4A19">
        <w:t xml:space="preserve"> en </w:t>
      </w:r>
      <w:proofErr w:type="spellStart"/>
      <w:r w:rsidRPr="00FE4A19">
        <w:t>ligne</w:t>
      </w:r>
      <w:proofErr w:type="spellEnd"/>
      <w:r w:rsidRPr="00FE4A19">
        <w:t xml:space="preserve"> (de plus en plus </w:t>
      </w:r>
      <w:proofErr w:type="spellStart"/>
      <w:r w:rsidRPr="00FE4A19">
        <w:t>souvent</w:t>
      </w:r>
      <w:proofErr w:type="spellEnd"/>
      <w:r w:rsidRPr="00FE4A19">
        <w:t xml:space="preserve"> </w:t>
      </w:r>
      <w:proofErr w:type="spellStart"/>
      <w:r w:rsidRPr="00FE4A19">
        <w:t>transfrontière</w:t>
      </w:r>
      <w:proofErr w:type="spellEnd"/>
      <w:r w:rsidRPr="00FE4A19">
        <w:t xml:space="preserve">) de </w:t>
      </w:r>
      <w:proofErr w:type="spellStart"/>
      <w:r w:rsidRPr="00FE4A19">
        <w:t>biens</w:t>
      </w:r>
      <w:proofErr w:type="spellEnd"/>
      <w:r w:rsidRPr="00FE4A19">
        <w:t xml:space="preserve"> et de services.</w:t>
      </w:r>
    </w:p>
    <w:p w:rsidR="00FE4A19" w:rsidRPr="00FE4A19" w:rsidRDefault="00FE4A19" w:rsidP="00FE4A19">
      <w:pPr>
        <w:pStyle w:val="Enumlevel1"/>
      </w:pPr>
      <w:r w:rsidRPr="00FE4A19">
        <w:rPr>
          <w:color w:val="E36C0A"/>
        </w:rPr>
        <w:t>•</w:t>
      </w:r>
      <w:r w:rsidRPr="00FE4A19">
        <w:tab/>
        <w:t xml:space="preserve">Encourager </w:t>
      </w:r>
      <w:proofErr w:type="gramStart"/>
      <w:r w:rsidRPr="00FE4A19">
        <w:t>et</w:t>
      </w:r>
      <w:proofErr w:type="gramEnd"/>
      <w:r w:rsidRPr="00FE4A19">
        <w:t xml:space="preserve"> </w:t>
      </w:r>
      <w:proofErr w:type="spellStart"/>
      <w:r w:rsidRPr="00FE4A19">
        <w:t>sauvegarder</w:t>
      </w:r>
      <w:proofErr w:type="spellEnd"/>
      <w:r w:rsidRPr="00FE4A19">
        <w:t xml:space="preserve"> le commerce </w:t>
      </w:r>
      <w:proofErr w:type="spellStart"/>
      <w:r w:rsidRPr="00FE4A19">
        <w:t>électronique</w:t>
      </w:r>
      <w:proofErr w:type="spellEnd"/>
      <w:r w:rsidRPr="00FE4A19">
        <w:t xml:space="preserve">: en </w:t>
      </w:r>
      <w:proofErr w:type="spellStart"/>
      <w:r w:rsidRPr="00FE4A19">
        <w:t>instaurant</w:t>
      </w:r>
      <w:proofErr w:type="spellEnd"/>
      <w:r w:rsidRPr="00FE4A19">
        <w:t xml:space="preserve"> un cadre </w:t>
      </w:r>
      <w:proofErr w:type="spellStart"/>
      <w:r w:rsidRPr="00FE4A19">
        <w:t>propice</w:t>
      </w:r>
      <w:proofErr w:type="spellEnd"/>
      <w:r w:rsidRPr="00FE4A19">
        <w:t xml:space="preserve"> à la </w:t>
      </w:r>
      <w:proofErr w:type="spellStart"/>
      <w:r w:rsidRPr="00FE4A19">
        <w:t>mise</w:t>
      </w:r>
      <w:proofErr w:type="spellEnd"/>
      <w:r w:rsidRPr="00FE4A19">
        <w:t xml:space="preserve"> en place de </w:t>
      </w:r>
      <w:proofErr w:type="spellStart"/>
      <w:r w:rsidRPr="00FE4A19">
        <w:t>mécanismes</w:t>
      </w:r>
      <w:proofErr w:type="spellEnd"/>
      <w:r w:rsidRPr="00FE4A19">
        <w:t xml:space="preserve"> de </w:t>
      </w:r>
      <w:proofErr w:type="spellStart"/>
      <w:r w:rsidRPr="00FE4A19">
        <w:t>paiement</w:t>
      </w:r>
      <w:proofErr w:type="spellEnd"/>
      <w:r w:rsidRPr="00FE4A19">
        <w:t xml:space="preserve"> </w:t>
      </w:r>
      <w:proofErr w:type="spellStart"/>
      <w:r w:rsidRPr="00FE4A19">
        <w:t>électronique</w:t>
      </w:r>
      <w:proofErr w:type="spellEnd"/>
      <w:r w:rsidRPr="00FE4A19">
        <w:t xml:space="preserve"> (par carte, par Internet et </w:t>
      </w:r>
      <w:proofErr w:type="spellStart"/>
      <w:r w:rsidRPr="00FE4A19">
        <w:t>sur</w:t>
      </w:r>
      <w:proofErr w:type="spellEnd"/>
      <w:r w:rsidRPr="00FE4A19">
        <w:t xml:space="preserve"> mobile) </w:t>
      </w:r>
      <w:proofErr w:type="spellStart"/>
      <w:r w:rsidRPr="00FE4A19">
        <w:t>fiables</w:t>
      </w:r>
      <w:proofErr w:type="spellEnd"/>
      <w:r w:rsidRPr="00FE4A19">
        <w:t xml:space="preserve"> et </w:t>
      </w:r>
      <w:proofErr w:type="spellStart"/>
      <w:r w:rsidRPr="00FE4A19">
        <w:t>efficaces</w:t>
      </w:r>
      <w:proofErr w:type="spellEnd"/>
      <w:r w:rsidRPr="00FE4A19">
        <w:t xml:space="preserve"> (par </w:t>
      </w:r>
      <w:proofErr w:type="spellStart"/>
      <w:r w:rsidRPr="00FE4A19">
        <w:t>exemple</w:t>
      </w:r>
      <w:proofErr w:type="spellEnd"/>
      <w:r w:rsidRPr="00FE4A19">
        <w:t xml:space="preserve">, services </w:t>
      </w:r>
      <w:proofErr w:type="spellStart"/>
      <w:r w:rsidRPr="00FE4A19">
        <w:t>d'identification</w:t>
      </w:r>
      <w:proofErr w:type="spellEnd"/>
      <w:r w:rsidRPr="00FE4A19">
        <w:t xml:space="preserve"> </w:t>
      </w:r>
      <w:proofErr w:type="spellStart"/>
      <w:r w:rsidRPr="00FE4A19">
        <w:t>électronique</w:t>
      </w:r>
      <w:proofErr w:type="spellEnd"/>
      <w:r w:rsidRPr="00FE4A19">
        <w:t xml:space="preserve"> et de </w:t>
      </w:r>
      <w:proofErr w:type="spellStart"/>
      <w:r w:rsidRPr="00FE4A19">
        <w:t>confiance</w:t>
      </w:r>
      <w:proofErr w:type="spellEnd"/>
      <w:r w:rsidRPr="00FE4A19">
        <w:t xml:space="preserve"> pour les transactions </w:t>
      </w:r>
      <w:proofErr w:type="spellStart"/>
      <w:r w:rsidRPr="00FE4A19">
        <w:t>électroniques</w:t>
      </w:r>
      <w:proofErr w:type="spellEnd"/>
      <w:r w:rsidRPr="00FE4A19">
        <w:t>).</w:t>
      </w:r>
    </w:p>
    <w:p w:rsidR="00FE4A19" w:rsidRPr="00FE4A19" w:rsidRDefault="00FE4A19" w:rsidP="00FE4A19">
      <w:pPr>
        <w:pStyle w:val="Enumlevel1"/>
      </w:pPr>
      <w:r w:rsidRPr="00FE4A19">
        <w:rPr>
          <w:color w:val="E36C0A"/>
        </w:rPr>
        <w:t>•</w:t>
      </w:r>
      <w:r w:rsidRPr="00FE4A19">
        <w:tab/>
        <w:t xml:space="preserve">Faire en </w:t>
      </w:r>
      <w:proofErr w:type="spellStart"/>
      <w:r w:rsidRPr="00FE4A19">
        <w:t>sorte</w:t>
      </w:r>
      <w:proofErr w:type="spellEnd"/>
      <w:r w:rsidRPr="00FE4A19">
        <w:t xml:space="preserve"> </w:t>
      </w:r>
      <w:proofErr w:type="spellStart"/>
      <w:r w:rsidRPr="00FE4A19">
        <w:t>que</w:t>
      </w:r>
      <w:proofErr w:type="spellEnd"/>
      <w:r w:rsidRPr="00FE4A19">
        <w:t xml:space="preserve"> </w:t>
      </w:r>
      <w:proofErr w:type="spellStart"/>
      <w:r w:rsidRPr="00FE4A19">
        <w:t>tous</w:t>
      </w:r>
      <w:proofErr w:type="spellEnd"/>
      <w:r w:rsidRPr="00FE4A19">
        <w:t xml:space="preserve"> les </w:t>
      </w:r>
      <w:proofErr w:type="spellStart"/>
      <w:r w:rsidRPr="00FE4A19">
        <w:t>consommateurs</w:t>
      </w:r>
      <w:proofErr w:type="spellEnd"/>
      <w:r w:rsidRPr="00FE4A19">
        <w:t xml:space="preserve"> </w:t>
      </w:r>
      <w:proofErr w:type="spellStart"/>
      <w:r w:rsidRPr="00FE4A19">
        <w:t>disposent</w:t>
      </w:r>
      <w:proofErr w:type="spellEnd"/>
      <w:r w:rsidRPr="00FE4A19">
        <w:t xml:space="preserve"> de </w:t>
      </w:r>
      <w:proofErr w:type="spellStart"/>
      <w:r w:rsidRPr="00FE4A19">
        <w:t>toutes</w:t>
      </w:r>
      <w:proofErr w:type="spellEnd"/>
      <w:r w:rsidRPr="00FE4A19">
        <w:t xml:space="preserve"> les </w:t>
      </w:r>
      <w:proofErr w:type="spellStart"/>
      <w:r w:rsidRPr="00FE4A19">
        <w:t>informations</w:t>
      </w:r>
      <w:proofErr w:type="spellEnd"/>
      <w:r w:rsidRPr="00FE4A19">
        <w:t xml:space="preserve"> </w:t>
      </w:r>
      <w:proofErr w:type="spellStart"/>
      <w:r w:rsidRPr="00FE4A19">
        <w:t>dont</w:t>
      </w:r>
      <w:proofErr w:type="spellEnd"/>
      <w:r w:rsidRPr="00FE4A19">
        <w:t xml:space="preserve"> </w:t>
      </w:r>
      <w:proofErr w:type="spellStart"/>
      <w:r w:rsidRPr="00FE4A19">
        <w:t>ils</w:t>
      </w:r>
      <w:proofErr w:type="spellEnd"/>
      <w:r w:rsidRPr="00FE4A19">
        <w:t xml:space="preserve"> </w:t>
      </w:r>
      <w:proofErr w:type="spellStart"/>
      <w:r w:rsidRPr="00FE4A19">
        <w:t>ont</w:t>
      </w:r>
      <w:proofErr w:type="spellEnd"/>
      <w:r w:rsidRPr="00FE4A19">
        <w:t xml:space="preserve"> </w:t>
      </w:r>
      <w:proofErr w:type="spellStart"/>
      <w:r w:rsidRPr="00FE4A19">
        <w:t>besoin</w:t>
      </w:r>
      <w:proofErr w:type="spellEnd"/>
      <w:r w:rsidRPr="00FE4A19">
        <w:t xml:space="preserve"> pour faire un </w:t>
      </w:r>
      <w:proofErr w:type="spellStart"/>
      <w:r w:rsidRPr="00FE4A19">
        <w:t>choix</w:t>
      </w:r>
      <w:proofErr w:type="spellEnd"/>
      <w:r w:rsidRPr="00FE4A19">
        <w:t xml:space="preserve"> en </w:t>
      </w:r>
      <w:proofErr w:type="spellStart"/>
      <w:r w:rsidRPr="00FE4A19">
        <w:t>connaissance</w:t>
      </w:r>
      <w:proofErr w:type="spellEnd"/>
      <w:r w:rsidRPr="00FE4A19">
        <w:t xml:space="preserve"> de cause et </w:t>
      </w:r>
      <w:proofErr w:type="spellStart"/>
      <w:r w:rsidRPr="00FE4A19">
        <w:t>bénéficient</w:t>
      </w:r>
      <w:proofErr w:type="spellEnd"/>
      <w:r w:rsidRPr="00FE4A19">
        <w:t xml:space="preserve"> de </w:t>
      </w:r>
      <w:proofErr w:type="spellStart"/>
      <w:r w:rsidRPr="00FE4A19">
        <w:t>mécanismes</w:t>
      </w:r>
      <w:proofErr w:type="spellEnd"/>
      <w:r w:rsidRPr="00FE4A19">
        <w:t xml:space="preserve"> de protection et de </w:t>
      </w:r>
      <w:proofErr w:type="spellStart"/>
      <w:r w:rsidRPr="00FE4A19">
        <w:t>réparation</w:t>
      </w:r>
      <w:proofErr w:type="spellEnd"/>
      <w:r w:rsidRPr="00FE4A19">
        <w:t xml:space="preserve"> </w:t>
      </w:r>
      <w:proofErr w:type="spellStart"/>
      <w:r w:rsidRPr="00FE4A19">
        <w:t>adéquats</w:t>
      </w:r>
      <w:proofErr w:type="spellEnd"/>
      <w:r w:rsidRPr="00FE4A19">
        <w:t xml:space="preserve"> en </w:t>
      </w:r>
      <w:proofErr w:type="spellStart"/>
      <w:r w:rsidRPr="00FE4A19">
        <w:t>cas</w:t>
      </w:r>
      <w:proofErr w:type="spellEnd"/>
      <w:r w:rsidRPr="00FE4A19">
        <w:t xml:space="preserve"> de </w:t>
      </w:r>
      <w:proofErr w:type="spellStart"/>
      <w:r w:rsidRPr="00FE4A19">
        <w:t>problème</w:t>
      </w:r>
      <w:proofErr w:type="spellEnd"/>
      <w:r w:rsidRPr="00FE4A19">
        <w:t>.</w:t>
      </w:r>
    </w:p>
    <w:p w:rsidR="00FE4A19" w:rsidRPr="00FE4A19" w:rsidRDefault="00FE4A19" w:rsidP="00FE4A19">
      <w:pPr>
        <w:pStyle w:val="Enumlevel1"/>
      </w:pPr>
      <w:r w:rsidRPr="00FE4A19">
        <w:rPr>
          <w:color w:val="E36C0A"/>
        </w:rPr>
        <w:t>•</w:t>
      </w:r>
      <w:r w:rsidRPr="00FE4A19">
        <w:tab/>
      </w:r>
      <w:proofErr w:type="spellStart"/>
      <w:r w:rsidRPr="00FE4A19">
        <w:t>Préserver</w:t>
      </w:r>
      <w:proofErr w:type="spellEnd"/>
      <w:r w:rsidRPr="00FE4A19">
        <w:t xml:space="preserve"> la </w:t>
      </w:r>
      <w:proofErr w:type="spellStart"/>
      <w:r w:rsidRPr="00FE4A19">
        <w:t>confiance</w:t>
      </w:r>
      <w:proofErr w:type="spellEnd"/>
      <w:r w:rsidRPr="00FE4A19">
        <w:t xml:space="preserve"> </w:t>
      </w:r>
      <w:proofErr w:type="spellStart"/>
      <w:r w:rsidRPr="00FE4A19">
        <w:t>dans</w:t>
      </w:r>
      <w:proofErr w:type="spellEnd"/>
      <w:r w:rsidRPr="00FE4A19">
        <w:t xml:space="preserve"> </w:t>
      </w:r>
      <w:proofErr w:type="spellStart"/>
      <w:r w:rsidRPr="00FE4A19">
        <w:t>l'Internet</w:t>
      </w:r>
      <w:proofErr w:type="spellEnd"/>
      <w:r w:rsidRPr="00FE4A19">
        <w:t xml:space="preserve"> en </w:t>
      </w:r>
      <w:proofErr w:type="spellStart"/>
      <w:r w:rsidRPr="00FE4A19">
        <w:t>définissant</w:t>
      </w:r>
      <w:proofErr w:type="spellEnd"/>
      <w:r w:rsidRPr="00FE4A19">
        <w:t xml:space="preserve"> </w:t>
      </w:r>
      <w:proofErr w:type="spellStart"/>
      <w:r w:rsidRPr="00FE4A19">
        <w:t>une</w:t>
      </w:r>
      <w:proofErr w:type="spellEnd"/>
      <w:r w:rsidRPr="00FE4A19">
        <w:t xml:space="preserve"> </w:t>
      </w:r>
      <w:proofErr w:type="spellStart"/>
      <w:r w:rsidRPr="00FE4A19">
        <w:t>stratégie</w:t>
      </w:r>
      <w:proofErr w:type="spellEnd"/>
      <w:r w:rsidRPr="00FE4A19">
        <w:t xml:space="preserve"> </w:t>
      </w:r>
      <w:proofErr w:type="spellStart"/>
      <w:r w:rsidRPr="00FE4A19">
        <w:t>efficace</w:t>
      </w:r>
      <w:proofErr w:type="spellEnd"/>
      <w:r w:rsidRPr="00FE4A19">
        <w:t xml:space="preserve"> en </w:t>
      </w:r>
      <w:proofErr w:type="spellStart"/>
      <w:r w:rsidRPr="00FE4A19">
        <w:t>matière</w:t>
      </w:r>
      <w:proofErr w:type="spellEnd"/>
      <w:r w:rsidRPr="00FE4A19">
        <w:t xml:space="preserve"> de </w:t>
      </w:r>
      <w:proofErr w:type="spellStart"/>
      <w:r w:rsidRPr="00FE4A19">
        <w:t>lutte</w:t>
      </w:r>
      <w:proofErr w:type="spellEnd"/>
      <w:r w:rsidRPr="00FE4A19">
        <w:t xml:space="preserve"> </w:t>
      </w:r>
      <w:proofErr w:type="spellStart"/>
      <w:r w:rsidRPr="00FE4A19">
        <w:t>contre</w:t>
      </w:r>
      <w:proofErr w:type="spellEnd"/>
      <w:r w:rsidRPr="00FE4A19">
        <w:t xml:space="preserve"> la </w:t>
      </w:r>
      <w:proofErr w:type="spellStart"/>
      <w:r w:rsidRPr="00FE4A19">
        <w:t>cybercriminalité</w:t>
      </w:r>
      <w:proofErr w:type="spellEnd"/>
      <w:r w:rsidRPr="00FE4A19">
        <w:t xml:space="preserve"> </w:t>
      </w:r>
      <w:proofErr w:type="spellStart"/>
      <w:r w:rsidRPr="00FE4A19">
        <w:t>ainsi</w:t>
      </w:r>
      <w:proofErr w:type="spellEnd"/>
      <w:r w:rsidRPr="00FE4A19">
        <w:t xml:space="preserve"> </w:t>
      </w:r>
      <w:proofErr w:type="spellStart"/>
      <w:r w:rsidRPr="00FE4A19">
        <w:t>qu'une</w:t>
      </w:r>
      <w:proofErr w:type="spellEnd"/>
      <w:r w:rsidRPr="00FE4A19">
        <w:t xml:space="preserve"> </w:t>
      </w:r>
      <w:proofErr w:type="spellStart"/>
      <w:r w:rsidRPr="00FE4A19">
        <w:t>stratégie</w:t>
      </w:r>
      <w:proofErr w:type="spellEnd"/>
      <w:r w:rsidRPr="00FE4A19">
        <w:t xml:space="preserve"> en </w:t>
      </w:r>
      <w:proofErr w:type="spellStart"/>
      <w:r w:rsidRPr="00FE4A19">
        <w:t>matière</w:t>
      </w:r>
      <w:proofErr w:type="spellEnd"/>
      <w:r w:rsidRPr="00FE4A19">
        <w:t xml:space="preserve"> de protection </w:t>
      </w:r>
      <w:proofErr w:type="gramStart"/>
      <w:r w:rsidRPr="00FE4A19">
        <w:t>et</w:t>
      </w:r>
      <w:proofErr w:type="gramEnd"/>
      <w:r w:rsidRPr="00FE4A19">
        <w:t xml:space="preserve"> de </w:t>
      </w:r>
      <w:proofErr w:type="spellStart"/>
      <w:r w:rsidRPr="00FE4A19">
        <w:t>confidentialité</w:t>
      </w:r>
      <w:proofErr w:type="spellEnd"/>
      <w:r w:rsidRPr="00FE4A19">
        <w:t xml:space="preserve"> des </w:t>
      </w:r>
      <w:proofErr w:type="spellStart"/>
      <w:r w:rsidRPr="00FE4A19">
        <w:t>données</w:t>
      </w:r>
      <w:proofErr w:type="spellEnd"/>
      <w:r w:rsidRPr="00FE4A19">
        <w:t xml:space="preserve"> qui </w:t>
      </w:r>
      <w:proofErr w:type="spellStart"/>
      <w:r w:rsidRPr="00FE4A19">
        <w:t>puisse</w:t>
      </w:r>
      <w:proofErr w:type="spellEnd"/>
      <w:r w:rsidRPr="00FE4A19">
        <w:t xml:space="preserve"> </w:t>
      </w:r>
      <w:proofErr w:type="spellStart"/>
      <w:r w:rsidRPr="00FE4A19">
        <w:t>évoluer</w:t>
      </w:r>
      <w:proofErr w:type="spellEnd"/>
      <w:r w:rsidRPr="00FE4A19">
        <w:t xml:space="preserve"> en </w:t>
      </w:r>
      <w:proofErr w:type="spellStart"/>
      <w:r w:rsidRPr="00FE4A19">
        <w:t>même</w:t>
      </w:r>
      <w:proofErr w:type="spellEnd"/>
      <w:r w:rsidRPr="00FE4A19">
        <w:t xml:space="preserve"> temps </w:t>
      </w:r>
      <w:proofErr w:type="spellStart"/>
      <w:r w:rsidRPr="00FE4A19">
        <w:t>que</w:t>
      </w:r>
      <w:proofErr w:type="spellEnd"/>
      <w:r w:rsidRPr="00FE4A19">
        <w:t xml:space="preserve"> les </w:t>
      </w:r>
      <w:proofErr w:type="spellStart"/>
      <w:r w:rsidRPr="00FE4A19">
        <w:t>nouvelles</w:t>
      </w:r>
      <w:proofErr w:type="spellEnd"/>
      <w:r w:rsidRPr="00FE4A19">
        <w:t xml:space="preserve"> technologies.</w:t>
      </w:r>
    </w:p>
    <w:p w:rsidR="00B876C4" w:rsidRPr="00FE4A19" w:rsidRDefault="00FE4A19" w:rsidP="00FE4A19">
      <w:pPr>
        <w:pStyle w:val="Enumlevel1"/>
      </w:pPr>
      <w:r w:rsidRPr="00FE4A19">
        <w:rPr>
          <w:color w:val="E36C0A"/>
        </w:rPr>
        <w:t>•</w:t>
      </w:r>
      <w:r w:rsidRPr="00FE4A19">
        <w:tab/>
      </w:r>
      <w:proofErr w:type="spellStart"/>
      <w:r w:rsidRPr="00FE4A19">
        <w:t>Instaurer</w:t>
      </w:r>
      <w:proofErr w:type="spellEnd"/>
      <w:r w:rsidRPr="00FE4A19">
        <w:t xml:space="preserve"> un cadre </w:t>
      </w:r>
      <w:proofErr w:type="spellStart"/>
      <w:r w:rsidRPr="00FE4A19">
        <w:t>réglementaire</w:t>
      </w:r>
      <w:proofErr w:type="spellEnd"/>
      <w:r w:rsidRPr="00FE4A19">
        <w:t xml:space="preserve"> plus simple et plus </w:t>
      </w:r>
      <w:proofErr w:type="spellStart"/>
      <w:r w:rsidRPr="00FE4A19">
        <w:t>clair</w:t>
      </w:r>
      <w:proofErr w:type="spellEnd"/>
      <w:r w:rsidRPr="00FE4A19">
        <w:t xml:space="preserve"> </w:t>
      </w:r>
      <w:proofErr w:type="spellStart"/>
      <w:r w:rsidRPr="00FE4A19">
        <w:t>ainsi</w:t>
      </w:r>
      <w:proofErr w:type="spellEnd"/>
      <w:r w:rsidRPr="00FE4A19">
        <w:t xml:space="preserve"> </w:t>
      </w:r>
      <w:proofErr w:type="spellStart"/>
      <w:r w:rsidRPr="00FE4A19">
        <w:t>que</w:t>
      </w:r>
      <w:proofErr w:type="spellEnd"/>
      <w:r w:rsidRPr="00FE4A19">
        <w:t xml:space="preserve"> des conditions </w:t>
      </w:r>
      <w:proofErr w:type="spellStart"/>
      <w:r w:rsidRPr="00FE4A19">
        <w:t>équitables</w:t>
      </w:r>
      <w:proofErr w:type="spellEnd"/>
      <w:r w:rsidRPr="00FE4A19">
        <w:t xml:space="preserve"> pour les </w:t>
      </w:r>
      <w:proofErr w:type="spellStart"/>
      <w:r w:rsidRPr="00FE4A19">
        <w:t>distributeurs</w:t>
      </w:r>
      <w:proofErr w:type="spellEnd"/>
      <w:r w:rsidRPr="00FE4A19">
        <w:t xml:space="preserve"> de </w:t>
      </w:r>
      <w:proofErr w:type="spellStart"/>
      <w:r w:rsidRPr="00FE4A19">
        <w:t>contenu</w:t>
      </w:r>
      <w:proofErr w:type="spellEnd"/>
      <w:r w:rsidRPr="00FE4A19">
        <w:footnoteReference w:id="13"/>
      </w:r>
      <w:r w:rsidRPr="00FE4A19">
        <w:t xml:space="preserve">, en </w:t>
      </w:r>
      <w:proofErr w:type="spellStart"/>
      <w:r w:rsidRPr="00FE4A19">
        <w:t>évitant</w:t>
      </w:r>
      <w:proofErr w:type="spellEnd"/>
      <w:r w:rsidRPr="00FE4A19">
        <w:t xml:space="preserve"> les </w:t>
      </w:r>
      <w:proofErr w:type="spellStart"/>
      <w:r w:rsidRPr="00FE4A19">
        <w:t>incertitudes</w:t>
      </w:r>
      <w:proofErr w:type="spellEnd"/>
      <w:r w:rsidRPr="00FE4A19">
        <w:t xml:space="preserve"> </w:t>
      </w:r>
      <w:proofErr w:type="spellStart"/>
      <w:r w:rsidRPr="00FE4A19">
        <w:t>juridiques</w:t>
      </w:r>
      <w:proofErr w:type="spellEnd"/>
      <w:r w:rsidRPr="00FE4A19">
        <w:t xml:space="preserve">, les </w:t>
      </w:r>
      <w:proofErr w:type="spellStart"/>
      <w:r w:rsidRPr="00FE4A19">
        <w:t>chevauchements</w:t>
      </w:r>
      <w:proofErr w:type="spellEnd"/>
      <w:r w:rsidRPr="00FE4A19">
        <w:t xml:space="preserve"> et les </w:t>
      </w:r>
      <w:proofErr w:type="spellStart"/>
      <w:r w:rsidRPr="00FE4A19">
        <w:t>doublons</w:t>
      </w:r>
      <w:proofErr w:type="spellEnd"/>
      <w:r w:rsidRPr="00FE4A19">
        <w:t xml:space="preserve"> en </w:t>
      </w:r>
      <w:proofErr w:type="spellStart"/>
      <w:r w:rsidRPr="00FE4A19">
        <w:t>matière</w:t>
      </w:r>
      <w:proofErr w:type="spellEnd"/>
      <w:r w:rsidRPr="00FE4A19">
        <w:t xml:space="preserve"> de </w:t>
      </w:r>
      <w:proofErr w:type="spellStart"/>
      <w:r w:rsidRPr="00FE4A19">
        <w:t>contrôle</w:t>
      </w:r>
      <w:proofErr w:type="spellEnd"/>
      <w:r w:rsidRPr="00FE4A19">
        <w:t xml:space="preserve"> qui </w:t>
      </w:r>
      <w:proofErr w:type="spellStart"/>
      <w:r w:rsidRPr="00FE4A19">
        <w:t>peuvent</w:t>
      </w:r>
      <w:proofErr w:type="spellEnd"/>
      <w:r w:rsidRPr="00FE4A19">
        <w:t xml:space="preserve"> se </w:t>
      </w:r>
      <w:proofErr w:type="spellStart"/>
      <w:r w:rsidRPr="00FE4A19">
        <w:t>produire</w:t>
      </w:r>
      <w:proofErr w:type="spellEnd"/>
      <w:r w:rsidRPr="00FE4A19">
        <w:t xml:space="preserve"> </w:t>
      </w:r>
      <w:proofErr w:type="spellStart"/>
      <w:r w:rsidRPr="00FE4A19">
        <w:t>lorsque</w:t>
      </w:r>
      <w:proofErr w:type="spellEnd"/>
      <w:r w:rsidRPr="00FE4A19">
        <w:t xml:space="preserve"> la </w:t>
      </w:r>
      <w:proofErr w:type="spellStart"/>
      <w:r w:rsidRPr="00FE4A19">
        <w:t>réglementation</w:t>
      </w:r>
      <w:proofErr w:type="spellEnd"/>
      <w:r w:rsidRPr="00FE4A19">
        <w:t xml:space="preserve"> applicable aux </w:t>
      </w:r>
      <w:proofErr w:type="spellStart"/>
      <w:r w:rsidRPr="00FE4A19">
        <w:t>réseaux</w:t>
      </w:r>
      <w:proofErr w:type="spellEnd"/>
      <w:r w:rsidRPr="00FE4A19">
        <w:t xml:space="preserve"> et aux transmissions </w:t>
      </w:r>
      <w:proofErr w:type="spellStart"/>
      <w:r w:rsidRPr="00FE4A19">
        <w:t>est</w:t>
      </w:r>
      <w:proofErr w:type="spellEnd"/>
      <w:r w:rsidRPr="00FE4A19">
        <w:t xml:space="preserve"> </w:t>
      </w:r>
      <w:proofErr w:type="spellStart"/>
      <w:r w:rsidRPr="00FE4A19">
        <w:t>distincte</w:t>
      </w:r>
      <w:proofErr w:type="spellEnd"/>
      <w:r w:rsidRPr="00FE4A19">
        <w:t xml:space="preserve"> de </w:t>
      </w:r>
      <w:proofErr w:type="spellStart"/>
      <w:r w:rsidRPr="00FE4A19">
        <w:t>celle</w:t>
      </w:r>
      <w:proofErr w:type="spellEnd"/>
      <w:r w:rsidRPr="00FE4A19">
        <w:t xml:space="preserve"> applicable au </w:t>
      </w:r>
      <w:proofErr w:type="spellStart"/>
      <w:r w:rsidRPr="00FE4A19">
        <w:t>contenu</w:t>
      </w:r>
      <w:proofErr w:type="spellEnd"/>
      <w:r w:rsidRPr="00FE4A19">
        <w:t>.</w:t>
      </w:r>
      <w:r w:rsidR="00B876C4" w:rsidRPr="00FE4A19">
        <w:t xml:space="preserve"> </w:t>
      </w:r>
    </w:p>
    <w:p w:rsidR="00B876C4" w:rsidRPr="003F265B" w:rsidRDefault="006B2DEC" w:rsidP="00B876C4">
      <w:pPr>
        <w:rPr>
          <w:i/>
          <w:lang w:val="en-GB"/>
        </w:rPr>
      </w:pPr>
      <w:r w:rsidRPr="004346ED">
        <w:rPr>
          <w:i/>
          <w:sz w:val="22"/>
        </w:rPr>
        <w:t>Mettre en place des réseaux haut débit fiables</w:t>
      </w:r>
    </w:p>
    <w:p w:rsidR="00B876C4" w:rsidRPr="003F265B" w:rsidRDefault="006B2DEC" w:rsidP="006B2DEC">
      <w:pPr>
        <w:rPr>
          <w:lang w:val="en-GB"/>
        </w:rPr>
      </w:pPr>
      <w:r w:rsidRPr="004346ED">
        <w:t xml:space="preserve">Il est essentiel de disposer d'une infrastructure fiable offrant une connectivité et un débit améliorés pour parvenir à fournir des services convergents conformes aux attentes des consommateurs. C'est pourquoi les gouvernements des Etats Membres encouragent activement l'utilisation et l'expansion </w:t>
      </w:r>
      <w:proofErr w:type="gramStart"/>
      <w:r w:rsidRPr="004346ED">
        <w:t>du</w:t>
      </w:r>
      <w:proofErr w:type="gramEnd"/>
      <w:r w:rsidRPr="004346ED">
        <w:t xml:space="preserve"> large bande en tant que vecteur de développement et de croissance socio-économiques. Il est ainsi plus facile pour les entreprises et les consommateurs de mener à bien leurs activités, que ce soit au niveau national ou international, en assurant la promotion de produits numériques, de services et de produits physiques. Fin 2011, des services fixes large </w:t>
      </w:r>
      <w:r w:rsidRPr="004346ED">
        <w:rPr>
          <w:rFonts w:cstheme="minorHAnsi"/>
        </w:rPr>
        <w:t>bande étaient disponibles sur le marché dans 206 pays, tandis que des services mobiles large bande (3G et 4G) étaient proposés dans 160 pays</w:t>
      </w:r>
      <w:r w:rsidRPr="004346ED">
        <w:rPr>
          <w:vertAlign w:val="superscript"/>
        </w:rPr>
        <w:footnoteReference w:id="14"/>
      </w:r>
      <w:r w:rsidRPr="004346ED">
        <w:rPr>
          <w:rFonts w:cstheme="minorHAnsi"/>
        </w:rPr>
        <w:t>.</w:t>
      </w:r>
    </w:p>
    <w:p w:rsidR="00B876C4" w:rsidRPr="003F265B" w:rsidRDefault="006B2DEC" w:rsidP="00B876C4">
      <w:pPr>
        <w:rPr>
          <w:i/>
          <w:lang w:val="en-GB"/>
        </w:rPr>
      </w:pPr>
      <w:r w:rsidRPr="004346ED">
        <w:rPr>
          <w:i/>
          <w:sz w:val="22"/>
        </w:rPr>
        <w:t>Lutter contre la contrefaçon et le piratage en ligne</w:t>
      </w:r>
    </w:p>
    <w:p w:rsidR="00B876C4" w:rsidRPr="003F265B" w:rsidRDefault="006B2DEC" w:rsidP="006B2DEC">
      <w:pPr>
        <w:rPr>
          <w:lang w:val="en-GB"/>
        </w:rPr>
      </w:pPr>
      <w:r w:rsidRPr="004346ED">
        <w:t>L'Internet constitue pour les faussaires et les pirates un moyen nouveau et très efficace de vendre leurs produits sur des sites d'enchères ou des sites indépendants de commerce électronique, ou encore par courrier électronique. En outre, la mise au point de nouvelles technologies fait qu'il est plus difficile d'empêcher l'utilisation non autorisée d'</w:t>
      </w:r>
      <w:proofErr w:type="spellStart"/>
      <w:r w:rsidRPr="004346ED">
        <w:t>oeuvres</w:t>
      </w:r>
      <w:proofErr w:type="spellEnd"/>
      <w:r w:rsidRPr="004346ED">
        <w:t xml:space="preserve"> protégées et de faire respecter le principe du droit d'auteur qui permet de rémunérer l'élaboration de contenus créatifs et les investissements dans ce type de contenus.</w:t>
      </w:r>
    </w:p>
    <w:p w:rsidR="00B876C4" w:rsidRPr="003F265B" w:rsidRDefault="006B2DEC" w:rsidP="00B876C4">
      <w:pPr>
        <w:rPr>
          <w:i/>
          <w:lang w:val="en-GB"/>
        </w:rPr>
      </w:pPr>
      <w:r w:rsidRPr="004346ED">
        <w:rPr>
          <w:i/>
          <w:sz w:val="22"/>
        </w:rPr>
        <w:t>Encourager et sauvegarder le commerce électronique</w:t>
      </w:r>
    </w:p>
    <w:p w:rsidR="00B876C4" w:rsidRPr="003F265B" w:rsidRDefault="006B2DEC" w:rsidP="006B2DEC">
      <w:pPr>
        <w:rPr>
          <w:lang w:val="en-GB"/>
        </w:rPr>
      </w:pPr>
      <w:r w:rsidRPr="004346ED">
        <w:t>Les consommateurs veulent pouvoir accéder facilement aux biens et services qu'ils achètent en ligne, y compris sur leurs dispositifs mobiles. Ils veulent aussi être certains que leurs données personnelles sont stockées de façon sécurisée et ne sont pas utilisées de manière irresponsable ou à des fins frauduleuses. Il est essentiel de garantir la confiance pour promouvoir le commerce électronique et les échanges transfrontières en ligne, mais la r</w:t>
      </w:r>
      <w:r>
        <w:t>é</w:t>
      </w:r>
      <w:r w:rsidRPr="004346ED">
        <w:t>glementation doit être adaptée et suffisamment souple pour tenir compte des innovations futures.</w:t>
      </w:r>
    </w:p>
    <w:p w:rsidR="00B876C4" w:rsidRPr="003F265B" w:rsidRDefault="006B2DEC" w:rsidP="006B2DEC">
      <w:pPr>
        <w:keepNext/>
        <w:keepLines/>
        <w:rPr>
          <w:i/>
          <w:lang w:val="en-GB"/>
        </w:rPr>
      </w:pPr>
      <w:r w:rsidRPr="004346ED">
        <w:rPr>
          <w:i/>
          <w:sz w:val="22"/>
        </w:rPr>
        <w:lastRenderedPageBreak/>
        <w:t>Tenir les consommateurs informés et leur proposer des mécanismes de réparation en cas de problème</w:t>
      </w:r>
    </w:p>
    <w:p w:rsidR="00B876C4" w:rsidRPr="003F265B" w:rsidRDefault="006B2DEC" w:rsidP="006B2DEC">
      <w:pPr>
        <w:rPr>
          <w:lang w:val="en-GB"/>
        </w:rPr>
      </w:pPr>
      <w:r w:rsidRPr="004346ED">
        <w:t xml:space="preserve">Les pouvoirs publics, les régulateurs et l'industrie doivent veiller à ce que les consommateurs aient accès à des informations et </w:t>
      </w:r>
      <w:r>
        <w:t xml:space="preserve">à </w:t>
      </w:r>
      <w:r w:rsidRPr="004346ED">
        <w:t xml:space="preserve">une formation </w:t>
      </w:r>
      <w:proofErr w:type="gramStart"/>
      <w:r w:rsidRPr="004346ED">
        <w:t>claires</w:t>
      </w:r>
      <w:proofErr w:type="gramEnd"/>
      <w:r w:rsidRPr="004346ED">
        <w:t xml:space="preserve"> sur les services convergents afin de pouvoir faire des choix en connaissance de cause. Les consommateurs doivent connaître le type de contenu qu'ils consultent et le niveau de r</w:t>
      </w:r>
      <w:r>
        <w:t>é</w:t>
      </w:r>
      <w:r w:rsidRPr="004346ED">
        <w:t>glementation auquel il est soumis. Les régulateurs doivent trouver des moyens pour protéger les consommateurs contre des contenus pernicieux et leur permettre d'obtenir réparation, en particulier dans la mesure où</w:t>
      </w:r>
      <w:r>
        <w:t>,</w:t>
      </w:r>
      <w:r w:rsidRPr="004346ED">
        <w:t xml:space="preserve"> de plus en plus, les services sont fournis depuis l'étranger.</w:t>
      </w:r>
    </w:p>
    <w:p w:rsidR="00B876C4" w:rsidRPr="003F265B" w:rsidRDefault="006B2DEC" w:rsidP="00B876C4">
      <w:pPr>
        <w:rPr>
          <w:i/>
          <w:lang w:val="en-GB"/>
        </w:rPr>
      </w:pPr>
      <w:r w:rsidRPr="004346ED">
        <w:rPr>
          <w:i/>
          <w:sz w:val="22"/>
        </w:rPr>
        <w:t>Préserver la confiance dans l'Internet</w:t>
      </w:r>
    </w:p>
    <w:p w:rsidR="00B876C4" w:rsidRPr="003F265B" w:rsidRDefault="006B2DEC" w:rsidP="006B2DEC">
      <w:pPr>
        <w:rPr>
          <w:lang w:val="en-GB"/>
        </w:rPr>
      </w:pPr>
      <w:r w:rsidRPr="004346ED">
        <w:t>Le trafic Internet double tous les deux à trois ans, et même tous les ans dans le cas du trafic Internet mobile. Selon les prévisions, on recensera 25 milliards de dispositifs sans fil connectés dans le monde d'ici à</w:t>
      </w:r>
      <w:r>
        <w:t> </w:t>
      </w:r>
      <w:r w:rsidRPr="004346ED">
        <w:t xml:space="preserve">2015, chiffre qui aura doublé en 2020 pour atteindre 50 milliards. Entre 2012 et 2018, le trafic sera multiplié par 12 pour les services de données mobiles et par 14 pour les services de données sur </w:t>
      </w:r>
      <w:proofErr w:type="spellStart"/>
      <w:r w:rsidRPr="004346ED">
        <w:t>smartphones</w:t>
      </w:r>
      <w:proofErr w:type="spellEnd"/>
      <w:r w:rsidRPr="004346ED">
        <w:t>. Revers de la médaille, cette augmentation du trafic va de pair avec la hausse de la cybercriminalité et un risque accru pour la sécurité des réseaux. La confiance dans l'Internet peut être mise à mal par une mauvaise utilisation des données personnelles ou par les risques pesant sur la sécurité des données en ligne</w:t>
      </w:r>
      <w:r w:rsidRPr="004346ED">
        <w:rPr>
          <w:vertAlign w:val="superscript"/>
        </w:rPr>
        <w:footnoteReference w:id="15"/>
      </w:r>
      <w:r w:rsidRPr="004346ED">
        <w:t>.</w:t>
      </w:r>
    </w:p>
    <w:p w:rsidR="00B876C4" w:rsidRPr="003F265B" w:rsidRDefault="006B2DEC" w:rsidP="00184EFD">
      <w:pPr>
        <w:pStyle w:val="Figuretitle"/>
        <w:rPr>
          <w:lang w:val="en-GB"/>
        </w:rPr>
      </w:pPr>
      <w:r w:rsidRPr="004346ED">
        <w:rPr>
          <w:lang w:val="fr-CH"/>
        </w:rPr>
        <w:t>Figur</w:t>
      </w:r>
      <w:r>
        <w:rPr>
          <w:lang w:val="fr-CH"/>
        </w:rPr>
        <w:t>e</w:t>
      </w:r>
      <w:r w:rsidRPr="004346ED">
        <w:rPr>
          <w:lang w:val="fr-CH"/>
        </w:rPr>
        <w:t xml:space="preserve"> 6: </w:t>
      </w:r>
      <w:r w:rsidRPr="00EE3E8D">
        <w:rPr>
          <w:lang w:val="fr-FR"/>
        </w:rPr>
        <w:t>Dispositifs utilisés par les personnes pour accéder à l'Internet, 2012</w:t>
      </w:r>
    </w:p>
    <w:p w:rsidR="00AE5CC4" w:rsidRPr="003F265B" w:rsidRDefault="00AE5CC4" w:rsidP="00AE5CC4">
      <w:pPr>
        <w:pStyle w:val="Figure"/>
        <w:rPr>
          <w:lang w:val="en-GB"/>
        </w:rPr>
      </w:pPr>
      <w:r w:rsidRPr="003F265B">
        <w:rPr>
          <w:noProof/>
          <w:lang w:val="en-US" w:eastAsia="zh-CN"/>
        </w:rPr>
        <w:drawing>
          <wp:inline distT="0" distB="0" distL="0" distR="0">
            <wp:extent cx="5257798" cy="1609725"/>
            <wp:effectExtent l="19050" t="0" r="2" b="0"/>
            <wp:docPr id="11" name="Picture 2" descr="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11"/>
                    <pic:cNvPicPr>
                      <a:picLocks noChangeAspect="1" noChangeArrowheads="1"/>
                    </pic:cNvPicPr>
                  </pic:nvPicPr>
                  <pic:blipFill>
                    <a:blip r:embed="rId28" cstate="print"/>
                    <a:srcRect/>
                    <a:stretch>
                      <a:fillRect/>
                    </a:stretch>
                  </pic:blipFill>
                  <pic:spPr bwMode="auto">
                    <a:xfrm>
                      <a:off x="0" y="0"/>
                      <a:ext cx="5257798" cy="1609725"/>
                    </a:xfrm>
                    <a:prstGeom prst="rect">
                      <a:avLst/>
                    </a:prstGeom>
                    <a:noFill/>
                    <a:ln w="9525">
                      <a:noFill/>
                      <a:miter lim="800000"/>
                      <a:headEnd/>
                      <a:tailEnd/>
                    </a:ln>
                  </pic:spPr>
                </pic:pic>
              </a:graphicData>
            </a:graphic>
          </wp:inline>
        </w:drawing>
      </w:r>
    </w:p>
    <w:p w:rsidR="00AE5CC4" w:rsidRPr="006B2DEC" w:rsidRDefault="006B2DEC" w:rsidP="006B2DEC">
      <w:pPr>
        <w:pStyle w:val="figuresource"/>
      </w:pPr>
      <w:r w:rsidRPr="004346ED">
        <w:rPr>
          <w:lang w:val="fr-FR"/>
        </w:rPr>
        <w:t xml:space="preserve">Source: Intel, publié dans “The </w:t>
      </w:r>
      <w:proofErr w:type="spellStart"/>
      <w:r w:rsidRPr="004346ED">
        <w:rPr>
          <w:lang w:val="fr-FR"/>
        </w:rPr>
        <w:t>Device</w:t>
      </w:r>
      <w:proofErr w:type="spellEnd"/>
      <w:r w:rsidRPr="004346ED">
        <w:rPr>
          <w:lang w:val="fr-FR"/>
        </w:rPr>
        <w:t xml:space="preserve"> </w:t>
      </w:r>
      <w:proofErr w:type="spellStart"/>
      <w:r w:rsidRPr="004346ED">
        <w:rPr>
          <w:lang w:val="fr-FR"/>
        </w:rPr>
        <w:t>Wars</w:t>
      </w:r>
      <w:proofErr w:type="spellEnd"/>
      <w:r w:rsidRPr="004346ED">
        <w:rPr>
          <w:lang w:val="fr-FR"/>
        </w:rPr>
        <w:t>”– dans le rapport State of Broadband</w:t>
      </w:r>
    </w:p>
    <w:p w:rsidR="00AE5CC4" w:rsidRPr="003F265B" w:rsidRDefault="00AE5CC4" w:rsidP="00AE5CC4">
      <w:pPr>
        <w:rPr>
          <w:lang w:val="en-GB"/>
        </w:rPr>
      </w:pPr>
    </w:p>
    <w:p w:rsidR="00B876C4" w:rsidRPr="003F265B" w:rsidRDefault="006B2DEC" w:rsidP="00735387">
      <w:pPr>
        <w:spacing w:before="0"/>
        <w:rPr>
          <w:i/>
          <w:lang w:val="en-GB"/>
        </w:rPr>
      </w:pPr>
      <w:r w:rsidRPr="004346ED">
        <w:rPr>
          <w:i/>
          <w:sz w:val="22"/>
        </w:rPr>
        <w:t>Instaurer un cadre réglementaire plus simple et plus clair</w:t>
      </w:r>
    </w:p>
    <w:p w:rsidR="00B876C4" w:rsidRPr="003F265B" w:rsidRDefault="006B2DEC" w:rsidP="006B2DEC">
      <w:pPr>
        <w:rPr>
          <w:lang w:val="en-GB"/>
        </w:rPr>
      </w:pPr>
      <w:r w:rsidRPr="004346ED">
        <w:t>D'une manière générale, les politiques réglementaires et les réglementations destinées à préserver l'intérêt général et à protéger les consommateurs devraient viser à créer un environnement propice au développement de services de communication très performants, pérennes et convergents. Il faut pour ce faire, mettre en place et maintenir un même niveau de protection des consommateurs dans les différents environnements numériques. Il est dans l'intérêt tant des entreprises que des consommateurs d'avoir des marchés en ligne légitimes et prospères. Par conséquent, lorsqu'ils réfléchissent aux politiques de protection des consommateurs, les régulateurs doivent évaluer l'incidence potentielle d'une intervention réglementaire, en mettant en balance les contraintes nouvelles ou supplémentaires pour les entreprises, et les avantages potentiels pour les consommateurs.</w:t>
      </w:r>
    </w:p>
    <w:p w:rsidR="00E9133D" w:rsidRPr="003F265B" w:rsidRDefault="0025636A" w:rsidP="0025636A">
      <w:pPr>
        <w:pStyle w:val="Heading1"/>
        <w:rPr>
          <w:lang w:val="en-GB"/>
        </w:rPr>
      </w:pPr>
      <w:bookmarkStart w:id="40" w:name="_Toc354053101"/>
      <w:bookmarkStart w:id="41" w:name="_Toc367349745"/>
      <w:r w:rsidRPr="0025636A">
        <w:rPr>
          <w:lang w:val="fr-FR"/>
        </w:rPr>
        <w:lastRenderedPageBreak/>
        <w:t>Section 3: Eléments indispensables à l'établissement de politiques ou cadres réglementaires en matière de protection des consommateurs et des utilisateurs à l'ère de la convergence</w:t>
      </w:r>
      <w:bookmarkEnd w:id="40"/>
      <w:bookmarkEnd w:id="41"/>
    </w:p>
    <w:p w:rsidR="00E9133D" w:rsidRPr="003F265B" w:rsidRDefault="0025636A" w:rsidP="0025636A">
      <w:pPr>
        <w:rPr>
          <w:lang w:val="en-GB"/>
        </w:rPr>
      </w:pPr>
      <w:r w:rsidRPr="00B75DB5">
        <w:t>Afin d'assurer la protection des consommateurs, il est nécessaire de modifier les cadres réglementaires, et notamment d'améliorer les mesures relatives à l'application et à la mise en œuvre de la législation, des règles et de la réglementation, pour les raisons suivantes:</w:t>
      </w:r>
    </w:p>
    <w:p w:rsidR="0025636A" w:rsidRPr="0025636A" w:rsidRDefault="0025636A" w:rsidP="0025636A">
      <w:pPr>
        <w:pStyle w:val="Enumlevel1"/>
        <w:rPr>
          <w:lang w:val="fr-FR"/>
        </w:rPr>
      </w:pPr>
      <w:r w:rsidRPr="0025636A">
        <w:rPr>
          <w:color w:val="E36C0A"/>
          <w:lang w:val="fr-FR"/>
        </w:rPr>
        <w:t>•</w:t>
      </w:r>
      <w:r w:rsidRPr="0025636A">
        <w:rPr>
          <w:lang w:val="fr-FR"/>
        </w:rPr>
        <w:tab/>
        <w:t>Les fournisseurs de services qui étaient auparavant positionnés sur des marchés différents sont à présent en concurrence pour desservir les mêmes  clients.</w:t>
      </w:r>
    </w:p>
    <w:p w:rsidR="00E9133D" w:rsidRPr="003F265B" w:rsidRDefault="0025636A" w:rsidP="0025636A">
      <w:pPr>
        <w:pStyle w:val="Enumlevel1"/>
        <w:spacing w:before="80"/>
        <w:ind w:left="850" w:hanging="493"/>
      </w:pPr>
      <w:r w:rsidRPr="0025636A">
        <w:rPr>
          <w:color w:val="E36C0A"/>
          <w:lang w:val="fr-FR"/>
        </w:rPr>
        <w:t>•</w:t>
      </w:r>
      <w:r w:rsidRPr="0025636A">
        <w:rPr>
          <w:lang w:val="fr-FR"/>
        </w:rPr>
        <w:tab/>
        <w:t>Les modalités de fourniture et de vente des services, des applications et des contenus aux consommateurs sont en pleine transformation.</w:t>
      </w:r>
    </w:p>
    <w:p w:rsidR="0025636A" w:rsidRPr="004346ED" w:rsidRDefault="0025636A" w:rsidP="0025636A">
      <w:r w:rsidRPr="004346ED">
        <w:t>Pour tous les régulateurs, la difficulté est de parvenir à comprendre la dynamique sous-jacente de la convergence du point du vue des consommateurs. Pour eux, la convergence n'est pas un concept abstrait lié aux réseaux, aux fournisseurs et aux dispositifs: elle a des incidences sur leur comportement et la nature de leur relation avec leur fournisseur de services. Les consommateurs ont la possibilité d'interagir facilement avec la communauté de leur choix selon des modalités correspondant à leurs préférences personnelles, en termes de dispositif, de temps, de mode</w:t>
      </w:r>
      <w:r w:rsidRPr="004346ED">
        <w:rPr>
          <w:vertAlign w:val="superscript"/>
        </w:rPr>
        <w:footnoteReference w:id="16"/>
      </w:r>
      <w:r w:rsidRPr="004346ED">
        <w:t xml:space="preserve"> et de support</w:t>
      </w:r>
      <w:r w:rsidRPr="004346ED">
        <w:rPr>
          <w:vertAlign w:val="superscript"/>
        </w:rPr>
        <w:footnoteReference w:id="17"/>
      </w:r>
      <w:r w:rsidRPr="004346ED">
        <w:t xml:space="preserve">. Par exemple, dans le cadre du Web 2.0, de nombreux sites offrent aux utilisateurs la possibilité de partager des contenus multimédias, des données, des expériences, des vues et des opinions sur des questions diverses, et même de coopérer en vue de résoudre des problèmes de niveau mondial. En somme, le </w:t>
      </w:r>
      <w:r w:rsidRPr="004346ED">
        <w:rPr>
          <w:rFonts w:cs="Calibri"/>
        </w:rPr>
        <w:t>"</w:t>
      </w:r>
      <w:r w:rsidRPr="004346ED">
        <w:t>consommateur</w:t>
      </w:r>
      <w:r w:rsidRPr="004346ED">
        <w:rPr>
          <w:rFonts w:cs="Calibri"/>
        </w:rPr>
        <w:t>"</w:t>
      </w:r>
      <w:r w:rsidRPr="004346ED">
        <w:t xml:space="preserve"> traditionnel est en train de devenir un </w:t>
      </w:r>
      <w:r w:rsidRPr="004346ED">
        <w:rPr>
          <w:rFonts w:cs="Calibri"/>
        </w:rPr>
        <w:t>"</w:t>
      </w:r>
      <w:proofErr w:type="spellStart"/>
      <w:r w:rsidRPr="004346ED">
        <w:t>prosommateur</w:t>
      </w:r>
      <w:proofErr w:type="spellEnd"/>
      <w:r w:rsidRPr="004346ED">
        <w:rPr>
          <w:rFonts w:cs="Calibri"/>
        </w:rPr>
        <w:t>" (producteur + consommateur)</w:t>
      </w:r>
      <w:r w:rsidRPr="004346ED">
        <w:rPr>
          <w:vertAlign w:val="superscript"/>
        </w:rPr>
        <w:footnoteReference w:id="18"/>
      </w:r>
      <w:r w:rsidRPr="004346ED">
        <w:t>.</w:t>
      </w:r>
    </w:p>
    <w:p w:rsidR="0025636A" w:rsidRPr="004346ED" w:rsidRDefault="0025636A" w:rsidP="0025636A">
      <w:r w:rsidRPr="004346ED">
        <w:t xml:space="preserve">Du point de vue des fournisseurs de services, les </w:t>
      </w:r>
      <w:proofErr w:type="spellStart"/>
      <w:r w:rsidRPr="004346ED">
        <w:t>prosommateurs</w:t>
      </w:r>
      <w:proofErr w:type="spellEnd"/>
      <w:r w:rsidRPr="004346ED">
        <w:t xml:space="preserve"> représentent une précieuse source de données d'utilisateurs, qui permet d'assurer le profilage des utilisateurs, l'analyse de sentiments, la détection des tendances et des crises et la résolution collective des problèmes. Bien que disposés à transmettre et à échanger en ligne de grandes quantités de données personnelles pour répondre à leurs propres besoins, les </w:t>
      </w:r>
      <w:proofErr w:type="spellStart"/>
      <w:r w:rsidRPr="004346ED">
        <w:t>prosommateurs</w:t>
      </w:r>
      <w:proofErr w:type="spellEnd"/>
      <w:r w:rsidRPr="004346ED">
        <w:t xml:space="preserve"> peuvent néanmoins s'estimer en droit d'être protégés contre l'utilisation abusive de ces informations, notamment en étant mieux informés de leurs droits et en ayant davantage de maîtrise sur ces informations. Les </w:t>
      </w:r>
      <w:proofErr w:type="spellStart"/>
      <w:r w:rsidRPr="004346ED">
        <w:t>prosommateurs</w:t>
      </w:r>
      <w:proofErr w:type="spellEnd"/>
      <w:r w:rsidRPr="004346ED">
        <w:t xml:space="preserve"> continuent d'être soumis à un certain nombre de contraintes en termes de tarification, de choix, de complexité technique, d'incompatibilité des dispositifs, de conditions des services, etc.</w:t>
      </w:r>
    </w:p>
    <w:p w:rsidR="0025636A" w:rsidRPr="004346ED" w:rsidRDefault="0025636A" w:rsidP="0025636A">
      <w:r w:rsidRPr="004346ED">
        <w:t>Bien que seul un petit nombre d'Etats Membres aient déjà mis en place des politiques et/ou des réglementations dans le but de s'adapter à la convergence des services, les domaines dans lesquels ils ont choisi d'intervenir incluent la transparence des prix et la neutralité technologique/du réseau. Cette démarche semble se fonder sur les types de plainte les plus couramment cités par l'ensemble des participants à l'enquête, dont les griefs portaient avant tout sur la tarification et la fac</w:t>
      </w:r>
      <w:r>
        <w:t>turation, la qualité de service</w:t>
      </w:r>
      <w:r w:rsidRPr="004346ED">
        <w:t xml:space="preserve"> et les interruptions de service et la couverture médiocre.</w:t>
      </w:r>
    </w:p>
    <w:p w:rsidR="00E9133D" w:rsidRPr="003F265B" w:rsidRDefault="0025636A" w:rsidP="0025636A">
      <w:pPr>
        <w:rPr>
          <w:lang w:val="en-GB"/>
        </w:rPr>
      </w:pPr>
      <w:r w:rsidRPr="004346ED">
        <w:t>Parmi les droits importants des consommateurs, les personnes interrogées ont cité en outre la protection des données personnelles/de la vie privée/de la confidentialité des informations (9/29, 31%) et le droit de porter plainte (8/29, 28%).</w:t>
      </w:r>
    </w:p>
    <w:p w:rsidR="00E9133D" w:rsidRPr="003F265B" w:rsidRDefault="0025636A" w:rsidP="0025636A">
      <w:pPr>
        <w:keepNext/>
        <w:keepLines/>
        <w:rPr>
          <w:i/>
          <w:lang w:val="en-GB"/>
        </w:rPr>
      </w:pPr>
      <w:r w:rsidRPr="004346ED">
        <w:rPr>
          <w:i/>
          <w:iCs/>
          <w:sz w:val="22"/>
        </w:rPr>
        <w:lastRenderedPageBreak/>
        <w:t>Questions relatives à la neutralité du réseau et à la qualité de service</w:t>
      </w:r>
    </w:p>
    <w:p w:rsidR="0025636A" w:rsidRPr="004346ED" w:rsidRDefault="0025636A" w:rsidP="0025636A">
      <w:r w:rsidRPr="004346ED">
        <w:t xml:space="preserve">En général, l'expression </w:t>
      </w:r>
      <w:r w:rsidRPr="004346ED">
        <w:rPr>
          <w:rFonts w:cs="Calibri"/>
        </w:rPr>
        <w:t>"</w:t>
      </w:r>
      <w:r w:rsidRPr="004346ED">
        <w:t>neutralité du réseau</w:t>
      </w:r>
      <w:r w:rsidRPr="004346ED">
        <w:rPr>
          <w:rFonts w:cs="Calibri"/>
        </w:rPr>
        <w:t>"</w:t>
      </w:r>
      <w:r w:rsidRPr="004346ED">
        <w:t xml:space="preserve"> fait référence au débat sur l'opportunité d'établir un principe fondamental de non-discrimination en ce qui concerne les différentes formes de trafic Internet acheminées sur les réseaux.</w:t>
      </w:r>
    </w:p>
    <w:p w:rsidR="0025636A" w:rsidRPr="004346ED" w:rsidRDefault="0025636A" w:rsidP="0025636A">
      <w:r w:rsidRPr="004346ED">
        <w:t>Ceux qui militent en faveur de la neutralité du réseau se placent généralement du point de vue de l'offre (en d'autres termes, faut-il autoriser les opérateurs de réseaux à bloquer une application ou à appliquer une taxe pour rendre prioritaire le trafic du fournisseur d'une application?). La très forte hausse, effective et potentielle, du trafic de données, liée au fait que les consommateurs utilisent davantage de services et d'applications, conduit à une augmentation de la pression sur la capacité des réseaux et rompt les rapports traditionnels entre l'utilisation finale et les coûts liés à la fourniture des services.</w:t>
      </w:r>
    </w:p>
    <w:p w:rsidR="0025636A" w:rsidRPr="004346ED" w:rsidRDefault="0025636A" w:rsidP="0025636A">
      <w:r w:rsidRPr="004346ED">
        <w:t>Si les consommateurs sont prêts à payer davantage pour bénéficier de débits de connexion Internet plus élevés et avoir accès à de nouveaux contenus et de nouvelles applications, à moins qu'ils n'aient la possibilité d'évaluer les différences entre les diverses offres de services, il existe des risques élevés d'insatisfaction, en particulier en cas de baisse de la qualité de service ou de blocage des contenus.</w:t>
      </w:r>
    </w:p>
    <w:p w:rsidR="0025636A" w:rsidRPr="004346ED" w:rsidRDefault="0025636A" w:rsidP="0025636A">
      <w:r w:rsidRPr="004346ED">
        <w:t>Pour les régulateurs, la difficulté consiste, d'une part, à trouver un équilibre entre les exigences des consommateurs, qui souhaitent avoir un accès illimité à des contenus entièrement libres, et la capacité des fournisseurs à exploiter efficacement la largeur de bande disponible, et, d'autre part, à résister à la tentation de bloquer des applications et des contenus Internet pour essayer de contrôler les flux, limiter la concurrence et restreindre le choix des consommateurs.</w:t>
      </w:r>
    </w:p>
    <w:p w:rsidR="0025636A" w:rsidRPr="004346ED" w:rsidRDefault="0025636A" w:rsidP="0025636A">
      <w:r w:rsidRPr="004346ED">
        <w:t>En 2010, l'Autorité de régulation de l'Italie (AGCOM) a entrepris une enquête sur les techniques de gestion du trafic dans le cas des applications mobiles de voix sur IP et d'homologue à homologue (P2P). A l'issue d'une consultation avec les parties prenantes concernées</w:t>
      </w:r>
      <w:r w:rsidRPr="004346ED">
        <w:rPr>
          <w:vertAlign w:val="superscript"/>
        </w:rPr>
        <w:footnoteReference w:id="19"/>
      </w:r>
      <w:r w:rsidRPr="004346ED">
        <w:t xml:space="preserve">, l'AGCOM évalue actuellement si les critères de transparence existants en ce qui concerne la qualité des services d'accès à l'Internet sont suffisants. Parmi les mesures en vigueur, on peut citer le test de débit </w:t>
      </w:r>
      <w:r w:rsidRPr="004346ED">
        <w:rPr>
          <w:rFonts w:cs="Calibri"/>
        </w:rPr>
        <w:t>"</w:t>
      </w:r>
      <w:proofErr w:type="spellStart"/>
      <w:r w:rsidRPr="004346ED">
        <w:t>Misura</w:t>
      </w:r>
      <w:proofErr w:type="spellEnd"/>
      <w:r w:rsidRPr="004346ED">
        <w:t xml:space="preserve"> Internet</w:t>
      </w:r>
      <w:r w:rsidRPr="004346ED">
        <w:rPr>
          <w:rFonts w:cs="Calibri"/>
        </w:rPr>
        <w:t>"</w:t>
      </w:r>
      <w:r w:rsidRPr="004346ED">
        <w:rPr>
          <w:rStyle w:val="FootnoteReference"/>
          <w:sz w:val="16"/>
          <w:szCs w:val="16"/>
        </w:rPr>
        <w:footnoteReference w:id="20"/>
      </w:r>
      <w:r w:rsidRPr="004346ED">
        <w:rPr>
          <w:rFonts w:cs="Calibri"/>
        </w:rPr>
        <w:t>,</w:t>
      </w:r>
      <w:r w:rsidRPr="004346ED">
        <w:t xml:space="preserve"> utilisé par les consommateurs pour vérifier le débit réel des connexions à large bande fixes. Si l'AGCOM conclut à l'insuffisance des critères actuels, elle envisagera l'introduction de nouvelles mesures réglementaires afin de protéger la neutralité du réseau</w:t>
      </w:r>
      <w:r w:rsidRPr="004346ED">
        <w:rPr>
          <w:vertAlign w:val="superscript"/>
        </w:rPr>
        <w:footnoteReference w:id="21"/>
      </w:r>
      <w:r w:rsidRPr="004346ED">
        <w:t>.</w:t>
      </w:r>
    </w:p>
    <w:p w:rsidR="0025636A" w:rsidRPr="004346ED" w:rsidRDefault="0025636A" w:rsidP="0025636A">
      <w:r w:rsidRPr="004346ED">
        <w:t xml:space="preserve">En juin 2011, le Parlement des Pays-Bas a promulgué une loi visant à empêcher le blocage ou la discrimination de certains contenus, services ou applications. Dorénavant, les fournisseurs de services mobiles Internet ont l'obligation d'autoriser leurs clients à utiliser </w:t>
      </w:r>
      <w:proofErr w:type="spellStart"/>
      <w:r w:rsidRPr="004346ED">
        <w:t>Skype</w:t>
      </w:r>
      <w:proofErr w:type="spellEnd"/>
      <w:r w:rsidRPr="004346ED">
        <w:t xml:space="preserve"> et d'autres services concurrents – qui permettent aux utilisateurs de </w:t>
      </w:r>
      <w:proofErr w:type="spellStart"/>
      <w:r w:rsidRPr="004346ED">
        <w:t>smartphones</w:t>
      </w:r>
      <w:proofErr w:type="spellEnd"/>
      <w:r w:rsidRPr="004346ED">
        <w:t xml:space="preserve"> d'envoyer des messages sans payer de supplément – sur leurs réseaux, sans appliquer de frais supplémentaires ou réserver un traitement préférentiel à leurs propres offres</w:t>
      </w:r>
      <w:r w:rsidRPr="004346ED">
        <w:rPr>
          <w:vertAlign w:val="superscript"/>
        </w:rPr>
        <w:footnoteReference w:id="22"/>
      </w:r>
      <w:r w:rsidRPr="004346ED">
        <w:t>.</w:t>
      </w:r>
    </w:p>
    <w:p w:rsidR="00E9133D" w:rsidRPr="003F265B" w:rsidRDefault="0025636A" w:rsidP="0025636A">
      <w:pPr>
        <w:rPr>
          <w:i/>
          <w:lang w:val="en-GB"/>
        </w:rPr>
      </w:pPr>
      <w:r w:rsidRPr="004346ED">
        <w:t>Au Royaume-Uni, on privilégie l'approche qui consiste à encourager en premier lieu l'autoréglementation. Dans le cadre d'un code de pratique ouvert et volontaire sur la gestion du trafic, les fournisseurs de service</w:t>
      </w:r>
      <w:r>
        <w:t>s</w:t>
      </w:r>
      <w:r w:rsidRPr="004346ED">
        <w:t xml:space="preserve"> Internet s'engagent à fournir des produits garantissant un accès total et ouvert à l'Internet et confirment que les pratiques de gestion du trafic ne seront pas utilisées afin de prendre pour cible et de détériorer les services fournis par un concurrent</w:t>
      </w:r>
      <w:r w:rsidRPr="004346ED">
        <w:rPr>
          <w:vertAlign w:val="superscript"/>
        </w:rPr>
        <w:footnoteReference w:id="23"/>
      </w:r>
      <w:r w:rsidRPr="004346ED">
        <w:t xml:space="preserve">. Ce code comporte des indicateurs-clés (Key </w:t>
      </w:r>
      <w:proofErr w:type="spellStart"/>
      <w:r w:rsidRPr="004346ED">
        <w:t>Facts</w:t>
      </w:r>
      <w:proofErr w:type="spellEnd"/>
      <w:r w:rsidRPr="004346ED">
        <w:t xml:space="preserve"> </w:t>
      </w:r>
      <w:proofErr w:type="spellStart"/>
      <w:r w:rsidRPr="004346ED">
        <w:t>Indicators</w:t>
      </w:r>
      <w:proofErr w:type="spellEnd"/>
      <w:r w:rsidRPr="004346ED">
        <w:t xml:space="preserve">, KFI), qui donnent un aperçu des politiques respectives de gestion du trafic des opérateurs, dans un format clair qui se prête aux comparaisons. L'objectif fondamental de cette politique est de permettre aux fournisseurs de services de gérer leurs réseaux de manière à pouvoir innover et élaborer </w:t>
      </w:r>
      <w:r w:rsidRPr="004346ED">
        <w:lastRenderedPageBreak/>
        <w:t>de nouveaux modèles opérationnels, tout en offrant aux consommateurs une bonne qualité de service. L'Autorité nationale de régulation, l'</w:t>
      </w:r>
      <w:proofErr w:type="spellStart"/>
      <w:r w:rsidRPr="004346ED">
        <w:t>Ofcom</w:t>
      </w:r>
      <w:proofErr w:type="spellEnd"/>
      <w:r w:rsidRPr="004346ED">
        <w:t xml:space="preserve">, est habilitée à intervenir afin de garantir la transparence et d'établir des normes minimales en matière de qualité de service, si le marché </w:t>
      </w:r>
      <w:r w:rsidRPr="004346ED">
        <w:rPr>
          <w:rFonts w:cs="Calibri"/>
        </w:rPr>
        <w:t>"</w:t>
      </w:r>
      <w:r w:rsidRPr="004346ED">
        <w:t xml:space="preserve">évoluait de manière </w:t>
      </w:r>
      <w:proofErr w:type="spellStart"/>
      <w:r w:rsidRPr="004346ED">
        <w:t>anti-concurrentielle</w:t>
      </w:r>
      <w:proofErr w:type="spellEnd"/>
      <w:r w:rsidRPr="004346ED">
        <w:t xml:space="preserve"> ou néfaste</w:t>
      </w:r>
      <w:r w:rsidRPr="004346ED">
        <w:rPr>
          <w:rFonts w:cs="Calibri"/>
        </w:rPr>
        <w:t>"</w:t>
      </w:r>
      <w:r w:rsidRPr="004346ED">
        <w:rPr>
          <w:vertAlign w:val="superscript"/>
        </w:rPr>
        <w:footnoteReference w:id="24"/>
      </w:r>
      <w:r w:rsidRPr="004346ED">
        <w:t>.</w:t>
      </w:r>
    </w:p>
    <w:p w:rsidR="00E9133D" w:rsidRPr="003F265B" w:rsidRDefault="0025636A" w:rsidP="00E9133D">
      <w:pPr>
        <w:rPr>
          <w:i/>
          <w:lang w:val="en-GB"/>
        </w:rPr>
      </w:pPr>
      <w:r w:rsidRPr="004346ED">
        <w:rPr>
          <w:i/>
          <w:sz w:val="22"/>
        </w:rPr>
        <w:t>Tarification, facturation et transparence</w:t>
      </w:r>
    </w:p>
    <w:p w:rsidR="0025636A" w:rsidRPr="004346ED" w:rsidRDefault="0025636A" w:rsidP="0025636A">
      <w:r w:rsidRPr="004346ED">
        <w:t xml:space="preserve">La tarification et la facturation étaient les motifs de plainte les plus couramment cités par les participants à l'enquête. Ces griefs interviennent en dépit du fait que les consommateurs bénéficient d'un accès presque universel aux informations relatives à la tarification dans tous les services, y compris les services mobiles, les services d'accès à l'Internet et les services sur </w:t>
      </w:r>
      <w:proofErr w:type="spellStart"/>
      <w:r w:rsidRPr="004346ED">
        <w:t>smartphones</w:t>
      </w:r>
      <w:proofErr w:type="spellEnd"/>
      <w:r w:rsidRPr="004346ED">
        <w:t xml:space="preserve">. Le Brésil, El Salvador, la République </w:t>
      </w:r>
      <w:proofErr w:type="spellStart"/>
      <w:r w:rsidRPr="004346ED">
        <w:t>sudafricaine</w:t>
      </w:r>
      <w:proofErr w:type="spellEnd"/>
      <w:r w:rsidRPr="004346ED">
        <w:t xml:space="preserve"> et l'Uruguay ont mentionné spécifiquement dans leurs réponses la possibilité pour les consommateurs d'accéder à des informations sur les services par abonnement et les services de télévision par abonnement. Cela laisse entendre que la fourniture d'informations n'est peut-être pas en soi une mesure suffisante pour protéger les consommateurs dans un environnement issu de la convergence des services.</w:t>
      </w:r>
    </w:p>
    <w:p w:rsidR="0025636A" w:rsidRPr="004346ED" w:rsidRDefault="0025636A" w:rsidP="0025636A">
      <w:r w:rsidRPr="004346ED">
        <w:t xml:space="preserve">En Turquie, par exemple, la législation relative aux télécommunications a subi en 2010 et en 2011 des modifications qui comportaient des mesures visant à prendre en compte différents aspects des services issus de la convergence, notamment la TVIP, la </w:t>
      </w:r>
      <w:proofErr w:type="spellStart"/>
      <w:r w:rsidRPr="004346ED">
        <w:t>VoIP</w:t>
      </w:r>
      <w:proofErr w:type="spellEnd"/>
      <w:r w:rsidRPr="004346ED">
        <w:t xml:space="preserve"> et les services de paiement sur mobile. L'éventail de mesures incluait la facturation détaillée, le droit de ne pas participer à certaines campagnes, de ne pas se voir appliquer certains tarifs ou de ne pas s'abonner à certains services, et le droit pour les abonnés de fixer une limite supérieure pour leur facture de télécommunication.</w:t>
      </w:r>
    </w:p>
    <w:p w:rsidR="00E9133D" w:rsidRPr="003F265B" w:rsidRDefault="0025636A" w:rsidP="0025636A">
      <w:pPr>
        <w:rPr>
          <w:lang w:val="en-GB"/>
        </w:rPr>
      </w:pPr>
      <w:r w:rsidRPr="004346ED">
        <w:t>Le Türk Telekom Group a fait état de difficultés pratiques en ce qui concerne la mise en œuvre de cette dernière mesure</w:t>
      </w:r>
      <w:r w:rsidRPr="004346ED">
        <w:rPr>
          <w:vertAlign w:val="superscript"/>
        </w:rPr>
        <w:footnoteReference w:id="25"/>
      </w:r>
      <w:r w:rsidRPr="004346ED">
        <w:t>:</w:t>
      </w:r>
      <w:r w:rsidRPr="004346ED">
        <w:rPr>
          <w:vertAlign w:val="superscript"/>
        </w:rPr>
        <w:t xml:space="preserve"> </w:t>
      </w:r>
      <w:r w:rsidR="00E9133D" w:rsidRPr="003F265B">
        <w:rPr>
          <w:lang w:val="en-GB"/>
        </w:rPr>
        <w:t xml:space="preserve"> </w:t>
      </w:r>
    </w:p>
    <w:p w:rsidR="0025636A" w:rsidRPr="0025636A" w:rsidRDefault="0025636A" w:rsidP="0025636A">
      <w:pPr>
        <w:pStyle w:val="Enumlevel1"/>
      </w:pPr>
      <w:r w:rsidRPr="0025636A">
        <w:rPr>
          <w:color w:val="E36C0A"/>
        </w:rPr>
        <w:t>•</w:t>
      </w:r>
      <w:r w:rsidRPr="0025636A">
        <w:tab/>
        <w:t xml:space="preserve">Comment </w:t>
      </w:r>
      <w:proofErr w:type="spellStart"/>
      <w:r w:rsidRPr="0025636A">
        <w:t>déterminer</w:t>
      </w:r>
      <w:proofErr w:type="spellEnd"/>
      <w:r w:rsidRPr="0025636A">
        <w:t xml:space="preserve"> les </w:t>
      </w:r>
      <w:proofErr w:type="spellStart"/>
      <w:r w:rsidRPr="0025636A">
        <w:t>valeurs</w:t>
      </w:r>
      <w:proofErr w:type="spellEnd"/>
      <w:r w:rsidRPr="0025636A">
        <w:t xml:space="preserve"> de la </w:t>
      </w:r>
      <w:proofErr w:type="spellStart"/>
      <w:r w:rsidRPr="0025636A">
        <w:t>limite</w:t>
      </w:r>
      <w:proofErr w:type="spellEnd"/>
      <w:r w:rsidRPr="0025636A">
        <w:t xml:space="preserve"> </w:t>
      </w:r>
      <w:proofErr w:type="spellStart"/>
      <w:r w:rsidRPr="0025636A">
        <w:t>supérieure</w:t>
      </w:r>
      <w:proofErr w:type="spellEnd"/>
      <w:r w:rsidRPr="0025636A">
        <w:t xml:space="preserve">: </w:t>
      </w:r>
      <w:proofErr w:type="spellStart"/>
      <w:r w:rsidRPr="0025636A">
        <w:t>doivent-elles</w:t>
      </w:r>
      <w:proofErr w:type="spellEnd"/>
      <w:r w:rsidRPr="0025636A">
        <w:t xml:space="preserve"> porter </w:t>
      </w:r>
      <w:proofErr w:type="spellStart"/>
      <w:r w:rsidRPr="0025636A">
        <w:t>sur</w:t>
      </w:r>
      <w:proofErr w:type="spellEnd"/>
      <w:r w:rsidRPr="0025636A">
        <w:t xml:space="preserve"> </w:t>
      </w:r>
      <w:proofErr w:type="spellStart"/>
      <w:r w:rsidRPr="0025636A">
        <w:t>l'intégralité</w:t>
      </w:r>
      <w:proofErr w:type="spellEnd"/>
      <w:r w:rsidRPr="0025636A">
        <w:t xml:space="preserve"> de la facture </w:t>
      </w:r>
      <w:proofErr w:type="spellStart"/>
      <w:r w:rsidRPr="0025636A">
        <w:t>ou</w:t>
      </w:r>
      <w:proofErr w:type="spellEnd"/>
      <w:r w:rsidRPr="0025636A">
        <w:t xml:space="preserve"> </w:t>
      </w:r>
      <w:proofErr w:type="spellStart"/>
      <w:r w:rsidRPr="0025636A">
        <w:t>sur</w:t>
      </w:r>
      <w:proofErr w:type="spellEnd"/>
      <w:r w:rsidRPr="0025636A">
        <w:t xml:space="preserve"> un service </w:t>
      </w:r>
      <w:proofErr w:type="spellStart"/>
      <w:r w:rsidRPr="0025636A">
        <w:t>donné</w:t>
      </w:r>
      <w:proofErr w:type="spellEnd"/>
      <w:r w:rsidRPr="0025636A">
        <w:t xml:space="preserve">, </w:t>
      </w:r>
      <w:proofErr w:type="spellStart"/>
      <w:r w:rsidRPr="0025636A">
        <w:t>choisi</w:t>
      </w:r>
      <w:proofErr w:type="spellEnd"/>
      <w:r w:rsidRPr="0025636A">
        <w:t xml:space="preserve"> </w:t>
      </w:r>
      <w:proofErr w:type="spellStart"/>
      <w:r w:rsidRPr="0025636A">
        <w:t>parmi</w:t>
      </w:r>
      <w:proofErr w:type="spellEnd"/>
      <w:r w:rsidRPr="0025636A">
        <w:t xml:space="preserve"> le large </w:t>
      </w:r>
      <w:proofErr w:type="spellStart"/>
      <w:r w:rsidRPr="0025636A">
        <w:t>éventail</w:t>
      </w:r>
      <w:proofErr w:type="spellEnd"/>
      <w:r w:rsidRPr="0025636A">
        <w:t xml:space="preserve"> de services </w:t>
      </w:r>
      <w:proofErr w:type="spellStart"/>
      <w:r w:rsidRPr="0025636A">
        <w:t>groupés</w:t>
      </w:r>
      <w:proofErr w:type="spellEnd"/>
      <w:r w:rsidRPr="0025636A">
        <w:t xml:space="preserve"> </w:t>
      </w:r>
      <w:proofErr w:type="spellStart"/>
      <w:r w:rsidRPr="0025636A">
        <w:t>offerts</w:t>
      </w:r>
      <w:proofErr w:type="spellEnd"/>
      <w:r w:rsidRPr="0025636A">
        <w:t xml:space="preserve"> par le service des </w:t>
      </w:r>
      <w:proofErr w:type="spellStart"/>
      <w:r w:rsidRPr="0025636A">
        <w:t>télécommunications</w:t>
      </w:r>
      <w:proofErr w:type="spellEnd"/>
      <w:r w:rsidRPr="0025636A">
        <w:t xml:space="preserve">, des services de </w:t>
      </w:r>
      <w:proofErr w:type="spellStart"/>
      <w:r w:rsidRPr="0025636A">
        <w:t>sécurité</w:t>
      </w:r>
      <w:proofErr w:type="spellEnd"/>
      <w:r w:rsidRPr="0025636A">
        <w:t xml:space="preserve"> à domicile aux </w:t>
      </w:r>
      <w:proofErr w:type="spellStart"/>
      <w:r w:rsidRPr="0025636A">
        <w:t>logiciels</w:t>
      </w:r>
      <w:proofErr w:type="spellEnd"/>
      <w:r w:rsidRPr="0025636A">
        <w:t xml:space="preserve"> </w:t>
      </w:r>
      <w:proofErr w:type="spellStart"/>
      <w:r w:rsidRPr="0025636A">
        <w:t>informatiques</w:t>
      </w:r>
      <w:proofErr w:type="spellEnd"/>
      <w:r w:rsidRPr="0025636A">
        <w:t>?</w:t>
      </w:r>
    </w:p>
    <w:p w:rsidR="0025636A" w:rsidRPr="0025636A" w:rsidRDefault="0025636A" w:rsidP="0025636A">
      <w:pPr>
        <w:pStyle w:val="Enumlevel1"/>
      </w:pPr>
      <w:r w:rsidRPr="0025636A">
        <w:rPr>
          <w:color w:val="E36C0A"/>
        </w:rPr>
        <w:t>•</w:t>
      </w:r>
      <w:r w:rsidRPr="0025636A">
        <w:tab/>
        <w:t xml:space="preserve">Comment </w:t>
      </w:r>
      <w:proofErr w:type="spellStart"/>
      <w:r w:rsidRPr="0025636A">
        <w:t>est-il</w:t>
      </w:r>
      <w:proofErr w:type="spellEnd"/>
      <w:r w:rsidRPr="0025636A">
        <w:t xml:space="preserve"> </w:t>
      </w:r>
      <w:proofErr w:type="spellStart"/>
      <w:r w:rsidRPr="0025636A">
        <w:t>tenu</w:t>
      </w:r>
      <w:proofErr w:type="spellEnd"/>
      <w:r w:rsidRPr="0025636A">
        <w:t xml:space="preserve"> </w:t>
      </w:r>
      <w:proofErr w:type="spellStart"/>
      <w:r w:rsidRPr="0025636A">
        <w:t>compte</w:t>
      </w:r>
      <w:proofErr w:type="spellEnd"/>
      <w:r w:rsidRPr="0025636A">
        <w:t xml:space="preserve"> des </w:t>
      </w:r>
      <w:proofErr w:type="spellStart"/>
      <w:r w:rsidRPr="0025636A">
        <w:t>campagnes</w:t>
      </w:r>
      <w:proofErr w:type="spellEnd"/>
      <w:r w:rsidRPr="0025636A">
        <w:t xml:space="preserve"> </w:t>
      </w:r>
      <w:proofErr w:type="spellStart"/>
      <w:r w:rsidRPr="0025636A">
        <w:t>ou</w:t>
      </w:r>
      <w:proofErr w:type="spellEnd"/>
      <w:r w:rsidRPr="0025636A">
        <w:t xml:space="preserve"> promotions </w:t>
      </w:r>
      <w:proofErr w:type="spellStart"/>
      <w:r w:rsidRPr="0025636A">
        <w:t>spéciales</w:t>
      </w:r>
      <w:proofErr w:type="spellEnd"/>
      <w:r w:rsidRPr="0025636A">
        <w:t xml:space="preserve"> (qui </w:t>
      </w:r>
      <w:proofErr w:type="spellStart"/>
      <w:r w:rsidRPr="0025636A">
        <w:t>sont</w:t>
      </w:r>
      <w:proofErr w:type="spellEnd"/>
      <w:r w:rsidRPr="0025636A">
        <w:t xml:space="preserve"> </w:t>
      </w:r>
      <w:proofErr w:type="spellStart"/>
      <w:r w:rsidRPr="0025636A">
        <w:t>soumises</w:t>
      </w:r>
      <w:proofErr w:type="spellEnd"/>
      <w:r w:rsidRPr="0025636A">
        <w:t xml:space="preserve"> à des </w:t>
      </w:r>
      <w:proofErr w:type="spellStart"/>
      <w:r w:rsidRPr="0025636A">
        <w:t>durées</w:t>
      </w:r>
      <w:proofErr w:type="spellEnd"/>
      <w:r w:rsidRPr="0025636A">
        <w:t xml:space="preserve"> </w:t>
      </w:r>
      <w:proofErr w:type="spellStart"/>
      <w:r w:rsidRPr="0025636A">
        <w:t>minimales</w:t>
      </w:r>
      <w:proofErr w:type="spellEnd"/>
      <w:r w:rsidRPr="0025636A">
        <w:t xml:space="preserve"> </w:t>
      </w:r>
      <w:proofErr w:type="spellStart"/>
      <w:r w:rsidRPr="0025636A">
        <w:t>d'abonnement</w:t>
      </w:r>
      <w:proofErr w:type="spellEnd"/>
      <w:r w:rsidRPr="0025636A">
        <w:t xml:space="preserve"> et/</w:t>
      </w:r>
      <w:proofErr w:type="spellStart"/>
      <w:r w:rsidRPr="0025636A">
        <w:t>ou</w:t>
      </w:r>
      <w:proofErr w:type="spellEnd"/>
      <w:r w:rsidRPr="0025636A">
        <w:t xml:space="preserve"> des </w:t>
      </w:r>
      <w:proofErr w:type="spellStart"/>
      <w:r w:rsidRPr="0025636A">
        <w:t>paiements</w:t>
      </w:r>
      <w:proofErr w:type="spellEnd"/>
      <w:r w:rsidRPr="0025636A">
        <w:t xml:space="preserve"> </w:t>
      </w:r>
      <w:proofErr w:type="spellStart"/>
      <w:r w:rsidRPr="0025636A">
        <w:t>mensuels</w:t>
      </w:r>
      <w:proofErr w:type="spellEnd"/>
      <w:r w:rsidRPr="0025636A">
        <w:t xml:space="preserve">) </w:t>
      </w:r>
      <w:proofErr w:type="spellStart"/>
      <w:r w:rsidRPr="0025636A">
        <w:t>dans</w:t>
      </w:r>
      <w:proofErr w:type="spellEnd"/>
      <w:r w:rsidRPr="0025636A">
        <w:t xml:space="preserve"> le </w:t>
      </w:r>
      <w:proofErr w:type="spellStart"/>
      <w:r w:rsidRPr="0025636A">
        <w:t>calcul</w:t>
      </w:r>
      <w:proofErr w:type="spellEnd"/>
      <w:r w:rsidRPr="0025636A">
        <w:t xml:space="preserve"> de </w:t>
      </w:r>
      <w:proofErr w:type="spellStart"/>
      <w:r w:rsidRPr="0025636A">
        <w:t>ces</w:t>
      </w:r>
      <w:proofErr w:type="spellEnd"/>
      <w:r w:rsidRPr="0025636A">
        <w:t xml:space="preserve"> </w:t>
      </w:r>
      <w:proofErr w:type="spellStart"/>
      <w:r w:rsidRPr="0025636A">
        <w:t>limites</w:t>
      </w:r>
      <w:proofErr w:type="spellEnd"/>
      <w:r w:rsidRPr="0025636A">
        <w:t>?</w:t>
      </w:r>
    </w:p>
    <w:p w:rsidR="0025636A" w:rsidRPr="0025636A" w:rsidRDefault="0025636A" w:rsidP="0025636A">
      <w:pPr>
        <w:pStyle w:val="Enumlevel1"/>
      </w:pPr>
      <w:r w:rsidRPr="0025636A">
        <w:rPr>
          <w:color w:val="E36C0A"/>
        </w:rPr>
        <w:t>•</w:t>
      </w:r>
      <w:r w:rsidRPr="0025636A">
        <w:tab/>
        <w:t xml:space="preserve">Comment assurer le </w:t>
      </w:r>
      <w:proofErr w:type="spellStart"/>
      <w:r w:rsidRPr="0025636A">
        <w:t>suivi</w:t>
      </w:r>
      <w:proofErr w:type="spellEnd"/>
      <w:r w:rsidRPr="0025636A">
        <w:t xml:space="preserve"> des services à </w:t>
      </w:r>
      <w:proofErr w:type="spellStart"/>
      <w:r w:rsidRPr="0025636A">
        <w:t>valeur</w:t>
      </w:r>
      <w:proofErr w:type="spellEnd"/>
      <w:r w:rsidRPr="0025636A">
        <w:t xml:space="preserve"> </w:t>
      </w:r>
      <w:proofErr w:type="spellStart"/>
      <w:r w:rsidRPr="0025636A">
        <w:t>ajoutée</w:t>
      </w:r>
      <w:proofErr w:type="spellEnd"/>
      <w:r w:rsidRPr="0025636A">
        <w:t xml:space="preserve"> </w:t>
      </w:r>
      <w:proofErr w:type="spellStart"/>
      <w:r w:rsidRPr="0025636A">
        <w:t>inclus</w:t>
      </w:r>
      <w:proofErr w:type="spellEnd"/>
      <w:r w:rsidRPr="0025636A">
        <w:t xml:space="preserve"> </w:t>
      </w:r>
      <w:proofErr w:type="spellStart"/>
      <w:r w:rsidRPr="0025636A">
        <w:t>dans</w:t>
      </w:r>
      <w:proofErr w:type="spellEnd"/>
      <w:r w:rsidRPr="0025636A">
        <w:t xml:space="preserve"> la facture, </w:t>
      </w:r>
      <w:proofErr w:type="spellStart"/>
      <w:r w:rsidRPr="0025636A">
        <w:t>mais</w:t>
      </w:r>
      <w:proofErr w:type="spellEnd"/>
      <w:r w:rsidRPr="0025636A">
        <w:t xml:space="preserve"> qui </w:t>
      </w:r>
      <w:proofErr w:type="spellStart"/>
      <w:r w:rsidRPr="0025636A">
        <w:t>peuvent</w:t>
      </w:r>
      <w:proofErr w:type="spellEnd"/>
      <w:r w:rsidRPr="0025636A">
        <w:t xml:space="preserve"> </w:t>
      </w:r>
      <w:proofErr w:type="spellStart"/>
      <w:r w:rsidRPr="0025636A">
        <w:t>créer</w:t>
      </w:r>
      <w:proofErr w:type="spellEnd"/>
      <w:r w:rsidRPr="0025636A">
        <w:t xml:space="preserve"> des confusions pour le </w:t>
      </w:r>
      <w:proofErr w:type="spellStart"/>
      <w:r w:rsidRPr="0025636A">
        <w:t>consommateur</w:t>
      </w:r>
      <w:proofErr w:type="spellEnd"/>
      <w:r w:rsidRPr="0025636A">
        <w:t xml:space="preserve"> </w:t>
      </w:r>
      <w:proofErr w:type="gramStart"/>
      <w:r w:rsidRPr="0025636A">
        <w:t>et</w:t>
      </w:r>
      <w:proofErr w:type="gramEnd"/>
      <w:r w:rsidRPr="0025636A">
        <w:t xml:space="preserve"> </w:t>
      </w:r>
      <w:proofErr w:type="spellStart"/>
      <w:r w:rsidRPr="0025636A">
        <w:t>l'opérateur</w:t>
      </w:r>
      <w:proofErr w:type="spellEnd"/>
      <w:r w:rsidRPr="0025636A">
        <w:t>?</w:t>
      </w:r>
    </w:p>
    <w:p w:rsidR="0025636A" w:rsidRPr="0025636A" w:rsidRDefault="0025636A" w:rsidP="0025636A">
      <w:pPr>
        <w:pStyle w:val="Enumlevel1"/>
      </w:pPr>
      <w:r w:rsidRPr="0025636A">
        <w:rPr>
          <w:color w:val="E36C0A"/>
        </w:rPr>
        <w:t>•</w:t>
      </w:r>
      <w:r w:rsidRPr="0025636A">
        <w:tab/>
      </w:r>
      <w:proofErr w:type="spellStart"/>
      <w:r w:rsidRPr="0025636A">
        <w:t>Dans</w:t>
      </w:r>
      <w:proofErr w:type="spellEnd"/>
      <w:r w:rsidRPr="0025636A">
        <w:t xml:space="preserve"> les </w:t>
      </w:r>
      <w:proofErr w:type="spellStart"/>
      <w:proofErr w:type="gramStart"/>
      <w:r w:rsidRPr="0025636A">
        <w:t>cas</w:t>
      </w:r>
      <w:proofErr w:type="spellEnd"/>
      <w:proofErr w:type="gramEnd"/>
      <w:r w:rsidRPr="0025636A">
        <w:t xml:space="preserve"> </w:t>
      </w:r>
      <w:proofErr w:type="spellStart"/>
      <w:r w:rsidRPr="0025636A">
        <w:t>où</w:t>
      </w:r>
      <w:proofErr w:type="spellEnd"/>
      <w:r w:rsidRPr="0025636A">
        <w:t xml:space="preserve"> le </w:t>
      </w:r>
      <w:proofErr w:type="spellStart"/>
      <w:r w:rsidRPr="0025636A">
        <w:t>consommateur</w:t>
      </w:r>
      <w:proofErr w:type="spellEnd"/>
      <w:r w:rsidRPr="0025636A">
        <w:t xml:space="preserve"> utilise </w:t>
      </w:r>
      <w:proofErr w:type="spellStart"/>
      <w:r w:rsidRPr="0025636A">
        <w:t>une</w:t>
      </w:r>
      <w:proofErr w:type="spellEnd"/>
      <w:r w:rsidRPr="0025636A">
        <w:t xml:space="preserve"> </w:t>
      </w:r>
      <w:proofErr w:type="spellStart"/>
      <w:r w:rsidRPr="0025636A">
        <w:t>méthode</w:t>
      </w:r>
      <w:proofErr w:type="spellEnd"/>
      <w:r w:rsidRPr="0025636A">
        <w:t xml:space="preserve"> de </w:t>
      </w:r>
      <w:proofErr w:type="spellStart"/>
      <w:r w:rsidRPr="0025636A">
        <w:t>sélection</w:t>
      </w:r>
      <w:proofErr w:type="spellEnd"/>
      <w:r w:rsidRPr="0025636A">
        <w:t xml:space="preserve"> de </w:t>
      </w:r>
      <w:proofErr w:type="spellStart"/>
      <w:r w:rsidRPr="0025636A">
        <w:t>l'opérateur</w:t>
      </w:r>
      <w:proofErr w:type="spellEnd"/>
      <w:r w:rsidRPr="0025636A">
        <w:t xml:space="preserve">, comment faire la distinction entre les </w:t>
      </w:r>
      <w:proofErr w:type="spellStart"/>
      <w:r w:rsidRPr="0025636A">
        <w:t>montants</w:t>
      </w:r>
      <w:proofErr w:type="spellEnd"/>
      <w:r w:rsidRPr="0025636A">
        <w:t xml:space="preserve"> </w:t>
      </w:r>
      <w:proofErr w:type="spellStart"/>
      <w:r w:rsidRPr="0025636A">
        <w:t>liés</w:t>
      </w:r>
      <w:proofErr w:type="spellEnd"/>
      <w:r w:rsidRPr="0025636A">
        <w:t xml:space="preserve"> à </w:t>
      </w:r>
      <w:proofErr w:type="spellStart"/>
      <w:r w:rsidRPr="0025636A">
        <w:t>différents</w:t>
      </w:r>
      <w:proofErr w:type="spellEnd"/>
      <w:r w:rsidRPr="0025636A">
        <w:t xml:space="preserve"> </w:t>
      </w:r>
      <w:proofErr w:type="spellStart"/>
      <w:r w:rsidRPr="0025636A">
        <w:t>opérateurs</w:t>
      </w:r>
      <w:proofErr w:type="spellEnd"/>
      <w:r w:rsidRPr="0025636A">
        <w:t xml:space="preserve">, </w:t>
      </w:r>
      <w:proofErr w:type="spellStart"/>
      <w:r w:rsidRPr="0025636A">
        <w:t>étant</w:t>
      </w:r>
      <w:proofErr w:type="spellEnd"/>
      <w:r w:rsidRPr="0025636A">
        <w:t xml:space="preserve"> </w:t>
      </w:r>
      <w:proofErr w:type="spellStart"/>
      <w:r w:rsidRPr="0025636A">
        <w:t>donné</w:t>
      </w:r>
      <w:proofErr w:type="spellEnd"/>
      <w:r w:rsidRPr="0025636A">
        <w:t xml:space="preserve"> </w:t>
      </w:r>
      <w:proofErr w:type="spellStart"/>
      <w:r w:rsidRPr="0025636A">
        <w:t>qu'un</w:t>
      </w:r>
      <w:proofErr w:type="spellEnd"/>
      <w:r w:rsidRPr="0025636A">
        <w:t xml:space="preserve"> </w:t>
      </w:r>
      <w:proofErr w:type="spellStart"/>
      <w:r w:rsidRPr="0025636A">
        <w:t>opérateur</w:t>
      </w:r>
      <w:proofErr w:type="spellEnd"/>
      <w:r w:rsidRPr="0025636A">
        <w:t xml:space="preserve"> </w:t>
      </w:r>
      <w:proofErr w:type="spellStart"/>
      <w:r w:rsidRPr="0025636A">
        <w:t>quelconque</w:t>
      </w:r>
      <w:proofErr w:type="spellEnd"/>
      <w:r w:rsidRPr="0025636A">
        <w:t xml:space="preserve"> </w:t>
      </w:r>
      <w:proofErr w:type="spellStart"/>
      <w:r w:rsidRPr="0025636A">
        <w:t>n'est</w:t>
      </w:r>
      <w:proofErr w:type="spellEnd"/>
      <w:r w:rsidRPr="0025636A">
        <w:t xml:space="preserve"> pas en </w:t>
      </w:r>
      <w:proofErr w:type="spellStart"/>
      <w:r w:rsidRPr="0025636A">
        <w:t>mesure</w:t>
      </w:r>
      <w:proofErr w:type="spellEnd"/>
      <w:r w:rsidRPr="0025636A">
        <w:t xml:space="preserve"> de </w:t>
      </w:r>
      <w:proofErr w:type="spellStart"/>
      <w:r w:rsidRPr="0025636A">
        <w:t>suivre</w:t>
      </w:r>
      <w:proofErr w:type="spellEnd"/>
      <w:r w:rsidRPr="0025636A">
        <w:t xml:space="preserve"> le </w:t>
      </w:r>
      <w:proofErr w:type="spellStart"/>
      <w:r w:rsidRPr="0025636A">
        <w:t>trafic</w:t>
      </w:r>
      <w:proofErr w:type="spellEnd"/>
      <w:r w:rsidRPr="0025636A">
        <w:t xml:space="preserve"> des </w:t>
      </w:r>
      <w:proofErr w:type="spellStart"/>
      <w:r w:rsidRPr="0025636A">
        <w:t>autres</w:t>
      </w:r>
      <w:proofErr w:type="spellEnd"/>
      <w:r w:rsidRPr="0025636A">
        <w:t xml:space="preserve"> </w:t>
      </w:r>
      <w:proofErr w:type="spellStart"/>
      <w:r w:rsidRPr="0025636A">
        <w:t>opérateurs</w:t>
      </w:r>
      <w:proofErr w:type="spellEnd"/>
      <w:r w:rsidRPr="0025636A">
        <w:t>?</w:t>
      </w:r>
    </w:p>
    <w:p w:rsidR="00E9133D" w:rsidRPr="0025636A" w:rsidRDefault="0025636A" w:rsidP="0025636A">
      <w:pPr>
        <w:pStyle w:val="Enumlevel1"/>
      </w:pPr>
      <w:r w:rsidRPr="0025636A">
        <w:rPr>
          <w:color w:val="E36C0A"/>
        </w:rPr>
        <w:t>•</w:t>
      </w:r>
      <w:r w:rsidRPr="0025636A">
        <w:tab/>
        <w:t xml:space="preserve">Au </w:t>
      </w:r>
      <w:proofErr w:type="spellStart"/>
      <w:r w:rsidRPr="0025636A">
        <w:t>sein</w:t>
      </w:r>
      <w:proofErr w:type="spellEnd"/>
      <w:r w:rsidRPr="0025636A">
        <w:t xml:space="preserve"> d'un </w:t>
      </w:r>
      <w:proofErr w:type="spellStart"/>
      <w:r w:rsidRPr="0025636A">
        <w:t>système</w:t>
      </w:r>
      <w:proofErr w:type="spellEnd"/>
      <w:r w:rsidRPr="0025636A">
        <w:t xml:space="preserve"> de </w:t>
      </w:r>
      <w:proofErr w:type="spellStart"/>
      <w:r w:rsidRPr="0025636A">
        <w:t>réseaux</w:t>
      </w:r>
      <w:proofErr w:type="spellEnd"/>
      <w:r w:rsidRPr="0025636A">
        <w:t xml:space="preserve"> RTPC, comment faire pour </w:t>
      </w:r>
      <w:proofErr w:type="spellStart"/>
      <w:r w:rsidRPr="0025636A">
        <w:t>veiller</w:t>
      </w:r>
      <w:proofErr w:type="spellEnd"/>
      <w:r w:rsidRPr="0025636A">
        <w:t xml:space="preserve"> en temps </w:t>
      </w:r>
      <w:proofErr w:type="spellStart"/>
      <w:r w:rsidRPr="0025636A">
        <w:t>réel</w:t>
      </w:r>
      <w:proofErr w:type="spellEnd"/>
      <w:r w:rsidRPr="0025636A">
        <w:t xml:space="preserve"> à </w:t>
      </w:r>
      <w:proofErr w:type="spellStart"/>
      <w:proofErr w:type="gramStart"/>
      <w:r w:rsidRPr="0025636A">
        <w:t>ce</w:t>
      </w:r>
      <w:proofErr w:type="spellEnd"/>
      <w:proofErr w:type="gramEnd"/>
      <w:r w:rsidRPr="0025636A">
        <w:t xml:space="preserve"> </w:t>
      </w:r>
      <w:proofErr w:type="spellStart"/>
      <w:r w:rsidRPr="0025636A">
        <w:t>que</w:t>
      </w:r>
      <w:proofErr w:type="spellEnd"/>
      <w:r w:rsidRPr="0025636A">
        <w:t xml:space="preserve"> la </w:t>
      </w:r>
      <w:proofErr w:type="spellStart"/>
      <w:r w:rsidRPr="0025636A">
        <w:t>limite</w:t>
      </w:r>
      <w:proofErr w:type="spellEnd"/>
      <w:r w:rsidRPr="0025636A">
        <w:t xml:space="preserve"> </w:t>
      </w:r>
      <w:proofErr w:type="spellStart"/>
      <w:r w:rsidRPr="0025636A">
        <w:t>supérieure</w:t>
      </w:r>
      <w:proofErr w:type="spellEnd"/>
      <w:r w:rsidRPr="0025636A">
        <w:t xml:space="preserve"> ne </w:t>
      </w:r>
      <w:proofErr w:type="spellStart"/>
      <w:r w:rsidRPr="0025636A">
        <w:t>soit</w:t>
      </w:r>
      <w:proofErr w:type="spellEnd"/>
      <w:r w:rsidRPr="0025636A">
        <w:t xml:space="preserve"> pas </w:t>
      </w:r>
      <w:proofErr w:type="spellStart"/>
      <w:r w:rsidRPr="0025636A">
        <w:t>dépassée</w:t>
      </w:r>
      <w:proofErr w:type="spellEnd"/>
      <w:r w:rsidRPr="0025636A">
        <w:t xml:space="preserve">? A </w:t>
      </w:r>
      <w:proofErr w:type="spellStart"/>
      <w:r w:rsidRPr="0025636A">
        <w:t>moins</w:t>
      </w:r>
      <w:proofErr w:type="spellEnd"/>
      <w:r w:rsidRPr="0025636A">
        <w:t xml:space="preserve"> </w:t>
      </w:r>
      <w:proofErr w:type="spellStart"/>
      <w:r w:rsidRPr="0025636A">
        <w:t>qu'un</w:t>
      </w:r>
      <w:proofErr w:type="spellEnd"/>
      <w:r w:rsidRPr="0025636A">
        <w:t xml:space="preserve"> </w:t>
      </w:r>
      <w:proofErr w:type="spellStart"/>
      <w:r w:rsidRPr="0025636A">
        <w:t>fournisseur</w:t>
      </w:r>
      <w:proofErr w:type="spellEnd"/>
      <w:r w:rsidRPr="0025636A">
        <w:t xml:space="preserve"> de services ne </w:t>
      </w:r>
      <w:proofErr w:type="spellStart"/>
      <w:r w:rsidRPr="0025636A">
        <w:t>soit</w:t>
      </w:r>
      <w:proofErr w:type="spellEnd"/>
      <w:r w:rsidRPr="0025636A">
        <w:t xml:space="preserve"> capable </w:t>
      </w:r>
      <w:proofErr w:type="spellStart"/>
      <w:r w:rsidRPr="0025636A">
        <w:t>d'interrompre</w:t>
      </w:r>
      <w:proofErr w:type="spellEnd"/>
      <w:r w:rsidRPr="0025636A">
        <w:t xml:space="preserve"> le service au moment </w:t>
      </w:r>
      <w:proofErr w:type="spellStart"/>
      <w:r w:rsidRPr="0025636A">
        <w:t>même</w:t>
      </w:r>
      <w:proofErr w:type="spellEnd"/>
      <w:r w:rsidRPr="0025636A">
        <w:t xml:space="preserve"> </w:t>
      </w:r>
      <w:proofErr w:type="spellStart"/>
      <w:r w:rsidRPr="0025636A">
        <w:t>où</w:t>
      </w:r>
      <w:proofErr w:type="spellEnd"/>
      <w:r w:rsidRPr="0025636A">
        <w:t xml:space="preserve"> la </w:t>
      </w:r>
      <w:proofErr w:type="spellStart"/>
      <w:r w:rsidRPr="0025636A">
        <w:t>limite</w:t>
      </w:r>
      <w:proofErr w:type="spellEnd"/>
      <w:r w:rsidRPr="0025636A">
        <w:t xml:space="preserve"> </w:t>
      </w:r>
      <w:proofErr w:type="spellStart"/>
      <w:proofErr w:type="gramStart"/>
      <w:r w:rsidRPr="0025636A">
        <w:t>est</w:t>
      </w:r>
      <w:proofErr w:type="spellEnd"/>
      <w:proofErr w:type="gramEnd"/>
      <w:r w:rsidRPr="0025636A">
        <w:t xml:space="preserve"> </w:t>
      </w:r>
      <w:proofErr w:type="spellStart"/>
      <w:r w:rsidRPr="0025636A">
        <w:t>atteinte</w:t>
      </w:r>
      <w:proofErr w:type="spellEnd"/>
      <w:r w:rsidRPr="0025636A">
        <w:t xml:space="preserve">, </w:t>
      </w:r>
      <w:proofErr w:type="spellStart"/>
      <w:r w:rsidRPr="0025636A">
        <w:t>il</w:t>
      </w:r>
      <w:proofErr w:type="spellEnd"/>
      <w:r w:rsidRPr="0025636A">
        <w:t xml:space="preserve"> </w:t>
      </w:r>
      <w:proofErr w:type="spellStart"/>
      <w:r w:rsidRPr="0025636A">
        <w:t>doit</w:t>
      </w:r>
      <w:proofErr w:type="spellEnd"/>
      <w:r w:rsidRPr="0025636A">
        <w:t xml:space="preserve"> assumer </w:t>
      </w:r>
      <w:proofErr w:type="spellStart"/>
      <w:r w:rsidRPr="0025636A">
        <w:t>lui-même</w:t>
      </w:r>
      <w:proofErr w:type="spellEnd"/>
      <w:r w:rsidRPr="0025636A">
        <w:t xml:space="preserve"> les </w:t>
      </w:r>
      <w:proofErr w:type="spellStart"/>
      <w:r w:rsidRPr="0025636A">
        <w:t>coûts</w:t>
      </w:r>
      <w:proofErr w:type="spellEnd"/>
      <w:r w:rsidRPr="0025636A">
        <w:t xml:space="preserve"> </w:t>
      </w:r>
      <w:proofErr w:type="spellStart"/>
      <w:r w:rsidRPr="0025636A">
        <w:t>liés</w:t>
      </w:r>
      <w:proofErr w:type="spellEnd"/>
      <w:r w:rsidRPr="0025636A">
        <w:t xml:space="preserve"> à </w:t>
      </w:r>
      <w:proofErr w:type="spellStart"/>
      <w:r w:rsidRPr="0025636A">
        <w:t>l'utilisation</w:t>
      </w:r>
      <w:proofErr w:type="spellEnd"/>
      <w:r w:rsidRPr="0025636A">
        <w:t xml:space="preserve"> </w:t>
      </w:r>
      <w:proofErr w:type="spellStart"/>
      <w:r w:rsidRPr="0025636A">
        <w:t>excédentaire</w:t>
      </w:r>
      <w:proofErr w:type="spellEnd"/>
      <w:r w:rsidRPr="0025636A">
        <w:t>.</w:t>
      </w:r>
    </w:p>
    <w:p w:rsidR="0025636A" w:rsidRPr="004346ED" w:rsidRDefault="0025636A" w:rsidP="0025636A">
      <w:pPr>
        <w:keepNext/>
        <w:keepLines/>
      </w:pPr>
      <w:r w:rsidRPr="004346ED">
        <w:lastRenderedPageBreak/>
        <w:t xml:space="preserve">Le Türk Telekom Group cite l'exemple du service </w:t>
      </w:r>
      <w:proofErr w:type="spellStart"/>
      <w:r w:rsidRPr="004346ED">
        <w:t>VoIP</w:t>
      </w:r>
      <w:proofErr w:type="spellEnd"/>
      <w:r w:rsidRPr="004346ED">
        <w:t xml:space="preserve"> de Türk Telekom (</w:t>
      </w:r>
      <w:proofErr w:type="spellStart"/>
      <w:r w:rsidRPr="004346ED">
        <w:t>Wirofon</w:t>
      </w:r>
      <w:proofErr w:type="spellEnd"/>
      <w:r w:rsidRPr="004346ED">
        <w:t>), dans lequel les appels vocaux des abonnés sont facturés et enregistrés comme s'ils étaient émis depuis la ligne RTPC normale de l'abonné. La compagnie cite également l'exemple des cartes d'appel, qui fonctionnent comme des cartes prépayées, mais pour lesquelles les frais d'utilisation sont liés à l'abonnement de la ligne fixe. Par conséquent, une fois que les consommateurs ont épuisé le montant inscrit sur la carte, ils n'ont plus la possibilité de l'utiliser, ce qui peut survenir à un moment où ils en ont urgemment besoin.</w:t>
      </w:r>
    </w:p>
    <w:p w:rsidR="0025636A" w:rsidRPr="004346ED" w:rsidRDefault="0025636A" w:rsidP="0025636A">
      <w:r w:rsidRPr="004346ED">
        <w:t xml:space="preserve">Selon certains comptes rendus, Türk Telekom a fait savoir à l'Autorité nationale de régulation de la Turquie, l'ICTA (Information and Communication </w:t>
      </w:r>
      <w:proofErr w:type="spellStart"/>
      <w:r w:rsidRPr="004346ED">
        <w:t>Technology</w:t>
      </w:r>
      <w:proofErr w:type="spellEnd"/>
      <w:r w:rsidRPr="004346ED">
        <w:t xml:space="preserve"> </w:t>
      </w:r>
      <w:proofErr w:type="spellStart"/>
      <w:r w:rsidRPr="004346ED">
        <w:t>Authority</w:t>
      </w:r>
      <w:proofErr w:type="spellEnd"/>
      <w:r w:rsidRPr="004346ED">
        <w:t xml:space="preserve">), qu'il faudrait environ un an à un an et demi pour adapter et modifier les infrastructures IT et RTPC en vue de fournir une comptabilité </w:t>
      </w:r>
      <w:r w:rsidRPr="004346ED">
        <w:rPr>
          <w:rFonts w:cs="Calibri"/>
        </w:rPr>
        <w:t>"</w:t>
      </w:r>
      <w:r w:rsidRPr="004346ED">
        <w:t>en temps presque réel</w:t>
      </w:r>
      <w:r w:rsidRPr="004346ED">
        <w:rPr>
          <w:rFonts w:cs="Calibri"/>
        </w:rPr>
        <w:t>"</w:t>
      </w:r>
      <w:r w:rsidRPr="004346ED">
        <w:t xml:space="preserve"> avant le passage aux réseaux de prochaine génération. Türk Telekom a ajouté qu'il convenait dans un premier temps de limiter ce droit particulier des consommateurs aux services GSM. Les opérateurs GSM ont contesté cette approche, en faisant valoir qu'ils proposaient déjà des abonnements prépayés, et que ceux-ci assuraient la même fonction qu'une valeur limite.</w:t>
      </w:r>
    </w:p>
    <w:p w:rsidR="0025636A" w:rsidRPr="004346ED" w:rsidRDefault="0025636A" w:rsidP="0025636A">
      <w:r w:rsidRPr="004346ED">
        <w:t>En République de Corée, on rapporte que le groupage pose des problèmes aux consommateurs au stade initial de l'abonnement, au cours de l'utilisation et lors de la résiliation du groupage</w:t>
      </w:r>
      <w:r w:rsidRPr="004346ED">
        <w:rPr>
          <w:vertAlign w:val="superscript"/>
        </w:rPr>
        <w:footnoteReference w:id="26"/>
      </w:r>
      <w:r w:rsidRPr="004346ED">
        <w:t>. Les formules de réduction pour les services groupés varient suivant la composition des produits. Les remises interviennent souvent dans le cadre d'engagements à long terme, ce qui rend les modalités et conditions très complexes.</w:t>
      </w:r>
    </w:p>
    <w:p w:rsidR="00E9133D" w:rsidRPr="003F265B" w:rsidRDefault="0025636A" w:rsidP="0025636A">
      <w:pPr>
        <w:rPr>
          <w:lang w:val="en-GB"/>
        </w:rPr>
      </w:pPr>
      <w:r w:rsidRPr="004346ED">
        <w:t>Afin de traiter les sujets de préoccupation précédents et d'autres, également liés aux consommateurs et à la convergence, les pouvoirs publics coréens ont récemment publié une série de lignes directrices à l'intention des fournisseurs de services de communication (voir Encadré 1).</w:t>
      </w:r>
    </w:p>
    <w:p w:rsidR="00431634" w:rsidRPr="003F265B" w:rsidRDefault="0025636A" w:rsidP="007D1EB2">
      <w:pPr>
        <w:pStyle w:val="Figuretitle"/>
        <w:rPr>
          <w:bCs/>
        </w:rPr>
      </w:pPr>
      <w:r w:rsidRPr="00EE3E8D">
        <w:rPr>
          <w:lang w:val="fr-FR"/>
        </w:rPr>
        <w:lastRenderedPageBreak/>
        <w:t xml:space="preserve">Encadré </w:t>
      </w:r>
      <w:r w:rsidRPr="00EE3E8D">
        <w:rPr>
          <w:bCs/>
          <w:lang w:val="fr-FR"/>
        </w:rPr>
        <w:t>1</w:t>
      </w:r>
      <w:r w:rsidRPr="00EE3E8D">
        <w:rPr>
          <w:lang w:val="fr-FR"/>
        </w:rPr>
        <w:t>: Lignes directrices de la République de Corée à l'intention des fournisseurs de services de communication pour la fourniture de services groupés</w:t>
      </w:r>
    </w:p>
    <w:p w:rsidR="001734C4" w:rsidRPr="007D1EB2" w:rsidRDefault="0025636A" w:rsidP="007D1EB2">
      <w:pPr>
        <w:pStyle w:val="Figure"/>
        <w:jc w:val="left"/>
        <w:rPr>
          <w:i/>
          <w:iCs/>
        </w:rPr>
      </w:pPr>
      <w:r w:rsidRPr="00EE3E8D">
        <w:rPr>
          <w:i/>
          <w:iCs/>
        </w:rPr>
        <w:t xml:space="preserve">Pour les services </w:t>
      </w:r>
      <w:proofErr w:type="spellStart"/>
      <w:r w:rsidRPr="00EE3E8D">
        <w:rPr>
          <w:i/>
          <w:iCs/>
        </w:rPr>
        <w:t>groupés</w:t>
      </w:r>
      <w:proofErr w:type="spellEnd"/>
      <w:r w:rsidRPr="00EE3E8D">
        <w:rPr>
          <w:i/>
          <w:iCs/>
        </w:rPr>
        <w:t xml:space="preserve">, les </w:t>
      </w:r>
      <w:proofErr w:type="spellStart"/>
      <w:r w:rsidRPr="00EE3E8D">
        <w:rPr>
          <w:i/>
          <w:iCs/>
        </w:rPr>
        <w:t>fournisseurs</w:t>
      </w:r>
      <w:proofErr w:type="spellEnd"/>
      <w:r w:rsidRPr="00EE3E8D">
        <w:rPr>
          <w:i/>
          <w:iCs/>
        </w:rPr>
        <w:t xml:space="preserve"> de services </w:t>
      </w:r>
      <w:proofErr w:type="spellStart"/>
      <w:r w:rsidRPr="00EE3E8D">
        <w:rPr>
          <w:i/>
          <w:iCs/>
        </w:rPr>
        <w:t>sont</w:t>
      </w:r>
      <w:proofErr w:type="spellEnd"/>
      <w:r w:rsidRPr="00EE3E8D">
        <w:rPr>
          <w:i/>
          <w:iCs/>
        </w:rPr>
        <w:t xml:space="preserve"> </w:t>
      </w:r>
      <w:proofErr w:type="spellStart"/>
      <w:r w:rsidRPr="00EE3E8D">
        <w:rPr>
          <w:i/>
          <w:iCs/>
        </w:rPr>
        <w:t>tenus</w:t>
      </w:r>
      <w:proofErr w:type="spellEnd"/>
      <w:r w:rsidRPr="00EE3E8D">
        <w:rPr>
          <w:i/>
          <w:iCs/>
        </w:rPr>
        <w:t xml:space="preserve"> de:</w:t>
      </w:r>
    </w:p>
    <w:p w:rsidR="0025636A" w:rsidRPr="0025636A" w:rsidRDefault="0025636A" w:rsidP="0025636A">
      <w:pPr>
        <w:pStyle w:val="Figure"/>
        <w:ind w:left="567" w:hanging="567"/>
        <w:jc w:val="left"/>
        <w:rPr>
          <w:i/>
          <w:iCs/>
          <w:lang w:val="fr-FR"/>
        </w:rPr>
      </w:pPr>
      <w:r w:rsidRPr="0025636A">
        <w:rPr>
          <w:i/>
          <w:iCs/>
          <w:color w:val="E36C0A"/>
          <w:lang w:val="fr-FR"/>
        </w:rPr>
        <w:t>•</w:t>
      </w:r>
      <w:r w:rsidRPr="0025636A">
        <w:rPr>
          <w:i/>
          <w:iCs/>
          <w:lang w:val="fr-FR"/>
        </w:rPr>
        <w:tab/>
        <w:t>spécifier clairement les modalités essentielles dans les accords conclus avec les utilisateurs (réductions dans le cadre d'engagements à long terme, réductions dans le cadre d'offres groupées, frais de résiliation, etc.);</w:t>
      </w:r>
    </w:p>
    <w:p w:rsidR="0025636A" w:rsidRPr="0025636A" w:rsidRDefault="0025636A" w:rsidP="0025636A">
      <w:pPr>
        <w:pStyle w:val="Figure"/>
        <w:ind w:left="567" w:hanging="567"/>
        <w:jc w:val="left"/>
        <w:rPr>
          <w:i/>
          <w:iCs/>
          <w:lang w:val="fr-FR"/>
        </w:rPr>
      </w:pPr>
      <w:r w:rsidRPr="0025636A">
        <w:rPr>
          <w:i/>
          <w:iCs/>
          <w:color w:val="E36C0A"/>
          <w:lang w:val="fr-FR"/>
        </w:rPr>
        <w:t>•</w:t>
      </w:r>
      <w:r w:rsidRPr="0025636A">
        <w:rPr>
          <w:i/>
          <w:iCs/>
          <w:lang w:val="fr-FR"/>
        </w:rPr>
        <w:tab/>
        <w:t>indiquer le détail des réductions sur la facture, de façon que les consommateurs puissent voir ce à quoi les réductions ont été appliquées;</w:t>
      </w:r>
    </w:p>
    <w:p w:rsidR="0025636A" w:rsidRPr="0025636A" w:rsidRDefault="0025636A" w:rsidP="0025636A">
      <w:pPr>
        <w:pStyle w:val="Figure"/>
        <w:ind w:left="567" w:hanging="567"/>
        <w:jc w:val="left"/>
        <w:rPr>
          <w:i/>
          <w:iCs/>
          <w:lang w:val="fr-FR"/>
        </w:rPr>
      </w:pPr>
      <w:r w:rsidRPr="0025636A">
        <w:rPr>
          <w:i/>
          <w:iCs/>
          <w:color w:val="E36C0A"/>
          <w:lang w:val="fr-FR"/>
        </w:rPr>
        <w:t>•</w:t>
      </w:r>
      <w:r w:rsidRPr="0025636A">
        <w:rPr>
          <w:i/>
          <w:iCs/>
          <w:lang w:val="fr-FR"/>
        </w:rPr>
        <w:tab/>
        <w:t>fournir des informations sur les services groupés, couvrant la tarification, les réductions, les délais de rétractation, les formules de calcul des frais de résiliation, etc.;</w:t>
      </w:r>
    </w:p>
    <w:p w:rsidR="0025636A" w:rsidRPr="0025636A" w:rsidRDefault="0025636A" w:rsidP="0025636A">
      <w:pPr>
        <w:pStyle w:val="Figure"/>
        <w:ind w:left="567" w:hanging="567"/>
        <w:jc w:val="left"/>
        <w:rPr>
          <w:i/>
          <w:iCs/>
          <w:lang w:val="fr-FR"/>
        </w:rPr>
      </w:pPr>
      <w:r w:rsidRPr="0025636A">
        <w:rPr>
          <w:i/>
          <w:iCs/>
          <w:color w:val="E36C0A"/>
          <w:lang w:val="fr-FR"/>
        </w:rPr>
        <w:t>•</w:t>
      </w:r>
      <w:r w:rsidRPr="0025636A">
        <w:rPr>
          <w:i/>
          <w:iCs/>
          <w:lang w:val="fr-FR"/>
        </w:rPr>
        <w:tab/>
        <w:t>ne pas facturer les frais de résiliation pour l'ensemble des services composant le groupage lorsqu'un consommateur souhaite résilier uniquement certains d'entre eux;</w:t>
      </w:r>
    </w:p>
    <w:p w:rsidR="001734C4" w:rsidRPr="007D1EB2" w:rsidRDefault="0025636A" w:rsidP="0025636A">
      <w:pPr>
        <w:pStyle w:val="Figure"/>
        <w:ind w:left="567" w:hanging="567"/>
        <w:jc w:val="left"/>
        <w:rPr>
          <w:i/>
          <w:iCs/>
        </w:rPr>
      </w:pPr>
      <w:r w:rsidRPr="0025636A">
        <w:rPr>
          <w:i/>
          <w:iCs/>
          <w:color w:val="E36C0A"/>
          <w:lang w:val="fr-FR"/>
        </w:rPr>
        <w:t>•</w:t>
      </w:r>
      <w:r w:rsidRPr="0025636A">
        <w:rPr>
          <w:i/>
          <w:iCs/>
          <w:lang w:val="fr-FR"/>
        </w:rPr>
        <w:tab/>
        <w:t>donner dans l'accord conclu avec l'utilisateur des informations précisant qui est responsable en cas de problème.</w:t>
      </w:r>
    </w:p>
    <w:p w:rsidR="00476350" w:rsidRPr="007D1EB2" w:rsidRDefault="0025636A" w:rsidP="007D1EB2">
      <w:pPr>
        <w:pStyle w:val="Figure"/>
        <w:jc w:val="left"/>
        <w:rPr>
          <w:i/>
          <w:iCs/>
        </w:rPr>
      </w:pPr>
      <w:r w:rsidRPr="00EE3E8D">
        <w:rPr>
          <w:i/>
          <w:iCs/>
        </w:rPr>
        <w:t xml:space="preserve">Pour les </w:t>
      </w:r>
      <w:proofErr w:type="spellStart"/>
      <w:r w:rsidRPr="00EE3E8D">
        <w:rPr>
          <w:i/>
          <w:iCs/>
        </w:rPr>
        <w:t>contrats</w:t>
      </w:r>
      <w:proofErr w:type="spellEnd"/>
      <w:r w:rsidRPr="00EE3E8D">
        <w:rPr>
          <w:i/>
          <w:iCs/>
        </w:rPr>
        <w:t xml:space="preserve"> </w:t>
      </w:r>
      <w:proofErr w:type="spellStart"/>
      <w:r w:rsidRPr="00EE3E8D">
        <w:rPr>
          <w:i/>
          <w:iCs/>
        </w:rPr>
        <w:t>portant</w:t>
      </w:r>
      <w:proofErr w:type="spellEnd"/>
      <w:r w:rsidRPr="00EE3E8D">
        <w:rPr>
          <w:i/>
          <w:iCs/>
        </w:rPr>
        <w:t xml:space="preserve"> </w:t>
      </w:r>
      <w:proofErr w:type="spellStart"/>
      <w:r w:rsidRPr="00EE3E8D">
        <w:rPr>
          <w:i/>
          <w:iCs/>
        </w:rPr>
        <w:t>sur</w:t>
      </w:r>
      <w:proofErr w:type="spellEnd"/>
      <w:r w:rsidRPr="00EE3E8D">
        <w:rPr>
          <w:i/>
          <w:iCs/>
        </w:rPr>
        <w:t xml:space="preserve"> </w:t>
      </w:r>
      <w:proofErr w:type="spellStart"/>
      <w:r w:rsidRPr="00EE3E8D">
        <w:rPr>
          <w:i/>
          <w:iCs/>
        </w:rPr>
        <w:t>l'Internet</w:t>
      </w:r>
      <w:proofErr w:type="spellEnd"/>
      <w:r w:rsidRPr="00EE3E8D">
        <w:rPr>
          <w:i/>
          <w:iCs/>
        </w:rPr>
        <w:t xml:space="preserve"> à large </w:t>
      </w:r>
      <w:proofErr w:type="spellStart"/>
      <w:r w:rsidRPr="00EE3E8D">
        <w:rPr>
          <w:i/>
          <w:iCs/>
        </w:rPr>
        <w:t>bande</w:t>
      </w:r>
      <w:proofErr w:type="spellEnd"/>
      <w:r w:rsidRPr="00EE3E8D">
        <w:rPr>
          <w:i/>
          <w:iCs/>
        </w:rPr>
        <w:t xml:space="preserve">, les </w:t>
      </w:r>
      <w:proofErr w:type="spellStart"/>
      <w:r w:rsidRPr="00EE3E8D">
        <w:rPr>
          <w:i/>
          <w:iCs/>
        </w:rPr>
        <w:t>fournisseurs</w:t>
      </w:r>
      <w:proofErr w:type="spellEnd"/>
      <w:r w:rsidRPr="00EE3E8D">
        <w:rPr>
          <w:i/>
          <w:iCs/>
        </w:rPr>
        <w:t xml:space="preserve"> de services ne </w:t>
      </w:r>
      <w:proofErr w:type="spellStart"/>
      <w:r w:rsidRPr="00EE3E8D">
        <w:rPr>
          <w:i/>
          <w:iCs/>
        </w:rPr>
        <w:t>peuvent</w:t>
      </w:r>
      <w:proofErr w:type="spellEnd"/>
      <w:r w:rsidRPr="00EE3E8D">
        <w:rPr>
          <w:i/>
          <w:iCs/>
        </w:rPr>
        <w:t xml:space="preserve"> pas:</w:t>
      </w:r>
    </w:p>
    <w:p w:rsidR="00F7525D" w:rsidRPr="007D1EB2" w:rsidRDefault="0025636A" w:rsidP="007D1EB2">
      <w:pPr>
        <w:pStyle w:val="Figure"/>
        <w:ind w:left="567" w:hanging="567"/>
        <w:jc w:val="left"/>
        <w:rPr>
          <w:i/>
          <w:iCs/>
        </w:rPr>
      </w:pPr>
      <w:r w:rsidRPr="00EE3E8D">
        <w:rPr>
          <w:i/>
          <w:iCs/>
          <w:color w:val="E36C0A"/>
        </w:rPr>
        <w:t>•</w:t>
      </w:r>
      <w:r w:rsidRPr="00EE3E8D">
        <w:rPr>
          <w:i/>
          <w:iCs/>
        </w:rPr>
        <w:tab/>
      </w:r>
      <w:proofErr w:type="spellStart"/>
      <w:proofErr w:type="gramStart"/>
      <w:r>
        <w:rPr>
          <w:i/>
          <w:iCs/>
        </w:rPr>
        <w:t>f</w:t>
      </w:r>
      <w:r w:rsidRPr="00EE3E8D">
        <w:rPr>
          <w:i/>
          <w:iCs/>
        </w:rPr>
        <w:t>acturer</w:t>
      </w:r>
      <w:proofErr w:type="spellEnd"/>
      <w:proofErr w:type="gramEnd"/>
      <w:r w:rsidRPr="00EE3E8D">
        <w:rPr>
          <w:i/>
          <w:iCs/>
        </w:rPr>
        <w:t xml:space="preserve"> des </w:t>
      </w:r>
      <w:proofErr w:type="spellStart"/>
      <w:r w:rsidRPr="00EE3E8D">
        <w:rPr>
          <w:i/>
          <w:iCs/>
        </w:rPr>
        <w:t>frais</w:t>
      </w:r>
      <w:proofErr w:type="spellEnd"/>
      <w:r w:rsidRPr="00EE3E8D">
        <w:rPr>
          <w:i/>
          <w:iCs/>
        </w:rPr>
        <w:t xml:space="preserve"> </w:t>
      </w:r>
      <w:proofErr w:type="spellStart"/>
      <w:r w:rsidRPr="00EE3E8D">
        <w:rPr>
          <w:i/>
          <w:iCs/>
        </w:rPr>
        <w:t>d'annulation</w:t>
      </w:r>
      <w:proofErr w:type="spellEnd"/>
      <w:r w:rsidRPr="00EE3E8D">
        <w:rPr>
          <w:i/>
          <w:iCs/>
        </w:rPr>
        <w:t xml:space="preserve"> aux </w:t>
      </w:r>
      <w:proofErr w:type="spellStart"/>
      <w:r w:rsidRPr="00EE3E8D">
        <w:rPr>
          <w:i/>
          <w:iCs/>
        </w:rPr>
        <w:t>consommateurs</w:t>
      </w:r>
      <w:proofErr w:type="spellEnd"/>
      <w:r w:rsidRPr="00EE3E8D">
        <w:rPr>
          <w:i/>
          <w:iCs/>
        </w:rPr>
        <w:t xml:space="preserve"> </w:t>
      </w:r>
      <w:proofErr w:type="spellStart"/>
      <w:r w:rsidRPr="00EE3E8D">
        <w:rPr>
          <w:i/>
          <w:iCs/>
        </w:rPr>
        <w:t>ayant</w:t>
      </w:r>
      <w:proofErr w:type="spellEnd"/>
      <w:r w:rsidRPr="00EE3E8D">
        <w:rPr>
          <w:i/>
          <w:iCs/>
        </w:rPr>
        <w:t xml:space="preserve"> </w:t>
      </w:r>
      <w:proofErr w:type="spellStart"/>
      <w:r w:rsidRPr="00EE3E8D">
        <w:rPr>
          <w:i/>
          <w:iCs/>
        </w:rPr>
        <w:t>bénéficié</w:t>
      </w:r>
      <w:proofErr w:type="spellEnd"/>
      <w:r w:rsidRPr="00EE3E8D">
        <w:rPr>
          <w:i/>
          <w:iCs/>
        </w:rPr>
        <w:t xml:space="preserve"> </w:t>
      </w:r>
      <w:proofErr w:type="spellStart"/>
      <w:r w:rsidRPr="00EE3E8D">
        <w:rPr>
          <w:i/>
          <w:iCs/>
        </w:rPr>
        <w:t>d'avantages</w:t>
      </w:r>
      <w:proofErr w:type="spellEnd"/>
      <w:r w:rsidRPr="00EE3E8D">
        <w:rPr>
          <w:i/>
          <w:iCs/>
        </w:rPr>
        <w:t xml:space="preserve"> </w:t>
      </w:r>
      <w:proofErr w:type="spellStart"/>
      <w:r w:rsidRPr="00EE3E8D">
        <w:rPr>
          <w:i/>
          <w:iCs/>
        </w:rPr>
        <w:t>supplémentaires</w:t>
      </w:r>
      <w:proofErr w:type="spellEnd"/>
      <w:r w:rsidRPr="00EE3E8D">
        <w:rPr>
          <w:i/>
          <w:iCs/>
        </w:rPr>
        <w:t xml:space="preserve"> non </w:t>
      </w:r>
      <w:proofErr w:type="spellStart"/>
      <w:r w:rsidRPr="00EE3E8D">
        <w:rPr>
          <w:i/>
          <w:iCs/>
        </w:rPr>
        <w:t>stipulés</w:t>
      </w:r>
      <w:proofErr w:type="spellEnd"/>
      <w:r w:rsidRPr="00EE3E8D">
        <w:rPr>
          <w:i/>
          <w:iCs/>
        </w:rPr>
        <w:t xml:space="preserve"> </w:t>
      </w:r>
      <w:proofErr w:type="spellStart"/>
      <w:r w:rsidRPr="00EE3E8D">
        <w:rPr>
          <w:i/>
          <w:iCs/>
        </w:rPr>
        <w:t>dans</w:t>
      </w:r>
      <w:proofErr w:type="spellEnd"/>
      <w:r w:rsidRPr="00EE3E8D">
        <w:rPr>
          <w:i/>
          <w:iCs/>
        </w:rPr>
        <w:t xml:space="preserve"> le </w:t>
      </w:r>
      <w:proofErr w:type="spellStart"/>
      <w:r w:rsidRPr="00EE3E8D">
        <w:rPr>
          <w:i/>
          <w:iCs/>
        </w:rPr>
        <w:t>contrat</w:t>
      </w:r>
      <w:proofErr w:type="spellEnd"/>
      <w:r w:rsidRPr="00EE3E8D">
        <w:rPr>
          <w:i/>
          <w:iCs/>
        </w:rPr>
        <w:t xml:space="preserve">, qui </w:t>
      </w:r>
      <w:proofErr w:type="spellStart"/>
      <w:r w:rsidRPr="00EE3E8D">
        <w:rPr>
          <w:i/>
          <w:iCs/>
        </w:rPr>
        <w:t>ensuite</w:t>
      </w:r>
      <w:proofErr w:type="spellEnd"/>
      <w:r w:rsidRPr="00EE3E8D">
        <w:rPr>
          <w:i/>
          <w:iCs/>
        </w:rPr>
        <w:t xml:space="preserve"> </w:t>
      </w:r>
      <w:proofErr w:type="spellStart"/>
      <w:r w:rsidRPr="00EE3E8D">
        <w:rPr>
          <w:i/>
          <w:iCs/>
        </w:rPr>
        <w:t>résilient</w:t>
      </w:r>
      <w:proofErr w:type="spellEnd"/>
      <w:r w:rsidRPr="00EE3E8D">
        <w:rPr>
          <w:i/>
          <w:iCs/>
        </w:rPr>
        <w:t xml:space="preserve"> le service </w:t>
      </w:r>
      <w:proofErr w:type="spellStart"/>
      <w:r w:rsidRPr="00EE3E8D">
        <w:rPr>
          <w:i/>
          <w:iCs/>
        </w:rPr>
        <w:t>avant</w:t>
      </w:r>
      <w:proofErr w:type="spellEnd"/>
      <w:r w:rsidRPr="00EE3E8D">
        <w:rPr>
          <w:i/>
          <w:iCs/>
        </w:rPr>
        <w:t xml:space="preserve"> </w:t>
      </w:r>
      <w:proofErr w:type="spellStart"/>
      <w:r w:rsidRPr="00EE3E8D">
        <w:rPr>
          <w:i/>
          <w:iCs/>
        </w:rPr>
        <w:t>l'expiration</w:t>
      </w:r>
      <w:proofErr w:type="spellEnd"/>
      <w:r w:rsidRPr="00EE3E8D">
        <w:rPr>
          <w:i/>
          <w:iCs/>
        </w:rPr>
        <w:t xml:space="preserve"> de la </w:t>
      </w:r>
      <w:proofErr w:type="spellStart"/>
      <w:r w:rsidRPr="00EE3E8D">
        <w:rPr>
          <w:i/>
          <w:iCs/>
        </w:rPr>
        <w:t>durée</w:t>
      </w:r>
      <w:proofErr w:type="spellEnd"/>
      <w:r w:rsidRPr="00EE3E8D">
        <w:rPr>
          <w:i/>
          <w:iCs/>
        </w:rPr>
        <w:t xml:space="preserve"> du </w:t>
      </w:r>
      <w:proofErr w:type="spellStart"/>
      <w:r w:rsidRPr="00EE3E8D">
        <w:rPr>
          <w:i/>
          <w:iCs/>
        </w:rPr>
        <w:t>contrat</w:t>
      </w:r>
      <w:proofErr w:type="spellEnd"/>
      <w:r w:rsidRPr="00EE3E8D">
        <w:rPr>
          <w:i/>
          <w:iCs/>
        </w:rPr>
        <w:t>.</w:t>
      </w:r>
    </w:p>
    <w:p w:rsidR="005270F9" w:rsidRPr="007D1EB2" w:rsidRDefault="0025636A" w:rsidP="007D1EB2">
      <w:pPr>
        <w:pStyle w:val="Figure"/>
        <w:jc w:val="left"/>
        <w:rPr>
          <w:i/>
          <w:iCs/>
        </w:rPr>
      </w:pPr>
      <w:r w:rsidRPr="00EE3E8D">
        <w:rPr>
          <w:i/>
          <w:iCs/>
        </w:rPr>
        <w:t xml:space="preserve">Pour les </w:t>
      </w:r>
      <w:proofErr w:type="spellStart"/>
      <w:r w:rsidRPr="00EE3E8D">
        <w:rPr>
          <w:i/>
          <w:iCs/>
        </w:rPr>
        <w:t>offres</w:t>
      </w:r>
      <w:proofErr w:type="spellEnd"/>
      <w:r w:rsidRPr="00EE3E8D">
        <w:rPr>
          <w:i/>
          <w:iCs/>
        </w:rPr>
        <w:t xml:space="preserve"> </w:t>
      </w:r>
      <w:proofErr w:type="spellStart"/>
      <w:r w:rsidRPr="00EE3E8D">
        <w:rPr>
          <w:i/>
          <w:iCs/>
        </w:rPr>
        <w:t>promotionnelles</w:t>
      </w:r>
      <w:proofErr w:type="spellEnd"/>
      <w:r w:rsidRPr="00EE3E8D">
        <w:rPr>
          <w:i/>
          <w:iCs/>
        </w:rPr>
        <w:t>:</w:t>
      </w:r>
    </w:p>
    <w:p w:rsidR="00A1327B" w:rsidRPr="007D1EB2" w:rsidRDefault="0025636A" w:rsidP="007D1EB2">
      <w:pPr>
        <w:pStyle w:val="Figure"/>
        <w:ind w:left="567" w:hanging="567"/>
        <w:jc w:val="left"/>
        <w:rPr>
          <w:i/>
          <w:iCs/>
        </w:rPr>
      </w:pPr>
      <w:r w:rsidRPr="00EE3E8D">
        <w:rPr>
          <w:color w:val="E36C0A"/>
        </w:rPr>
        <w:t>•</w:t>
      </w:r>
      <w:r w:rsidRPr="00EE3E8D">
        <w:rPr>
          <w:i/>
          <w:iCs/>
        </w:rPr>
        <w:tab/>
      </w:r>
      <w:proofErr w:type="spellStart"/>
      <w:proofErr w:type="gramStart"/>
      <w:r>
        <w:rPr>
          <w:i/>
          <w:iCs/>
        </w:rPr>
        <w:t>l</w:t>
      </w:r>
      <w:r w:rsidRPr="00EE3E8D">
        <w:rPr>
          <w:i/>
          <w:iCs/>
        </w:rPr>
        <w:t>'application</w:t>
      </w:r>
      <w:proofErr w:type="spellEnd"/>
      <w:proofErr w:type="gramEnd"/>
      <w:r w:rsidRPr="00EE3E8D">
        <w:rPr>
          <w:i/>
          <w:iCs/>
        </w:rPr>
        <w:t xml:space="preserve"> de </w:t>
      </w:r>
      <w:proofErr w:type="spellStart"/>
      <w:r w:rsidRPr="00EE3E8D">
        <w:rPr>
          <w:i/>
          <w:iCs/>
        </w:rPr>
        <w:t>pénalités</w:t>
      </w:r>
      <w:proofErr w:type="spellEnd"/>
      <w:r w:rsidRPr="00EE3E8D">
        <w:rPr>
          <w:i/>
          <w:iCs/>
        </w:rPr>
        <w:t xml:space="preserve"> </w:t>
      </w:r>
      <w:proofErr w:type="spellStart"/>
      <w:r w:rsidRPr="00EE3E8D">
        <w:rPr>
          <w:i/>
          <w:iCs/>
        </w:rPr>
        <w:t>n'est</w:t>
      </w:r>
      <w:proofErr w:type="spellEnd"/>
      <w:r w:rsidRPr="00EE3E8D">
        <w:rPr>
          <w:i/>
          <w:iCs/>
        </w:rPr>
        <w:t xml:space="preserve"> pas </w:t>
      </w:r>
      <w:proofErr w:type="spellStart"/>
      <w:r w:rsidRPr="00EE3E8D">
        <w:rPr>
          <w:i/>
          <w:iCs/>
        </w:rPr>
        <w:t>autorisée</w:t>
      </w:r>
      <w:proofErr w:type="spellEnd"/>
      <w:r w:rsidRPr="00EE3E8D">
        <w:rPr>
          <w:i/>
          <w:iCs/>
        </w:rPr>
        <w:t xml:space="preserve">, à </w:t>
      </w:r>
      <w:proofErr w:type="spellStart"/>
      <w:r w:rsidRPr="00EE3E8D">
        <w:rPr>
          <w:i/>
          <w:iCs/>
        </w:rPr>
        <w:t>moins</w:t>
      </w:r>
      <w:proofErr w:type="spellEnd"/>
      <w:r w:rsidRPr="00EE3E8D">
        <w:rPr>
          <w:i/>
          <w:iCs/>
        </w:rPr>
        <w:t xml:space="preserve"> </w:t>
      </w:r>
      <w:proofErr w:type="spellStart"/>
      <w:r w:rsidRPr="00EE3E8D">
        <w:rPr>
          <w:i/>
          <w:iCs/>
        </w:rPr>
        <w:t>que</w:t>
      </w:r>
      <w:proofErr w:type="spellEnd"/>
      <w:r w:rsidRPr="00EE3E8D">
        <w:rPr>
          <w:i/>
          <w:iCs/>
        </w:rPr>
        <w:t xml:space="preserve"> </w:t>
      </w:r>
      <w:proofErr w:type="spellStart"/>
      <w:r w:rsidRPr="00EE3E8D">
        <w:rPr>
          <w:i/>
          <w:iCs/>
        </w:rPr>
        <w:t>celles-ci</w:t>
      </w:r>
      <w:proofErr w:type="spellEnd"/>
      <w:r w:rsidRPr="00EE3E8D">
        <w:rPr>
          <w:i/>
          <w:iCs/>
        </w:rPr>
        <w:t xml:space="preserve"> </w:t>
      </w:r>
      <w:proofErr w:type="spellStart"/>
      <w:r w:rsidRPr="00EE3E8D">
        <w:rPr>
          <w:i/>
          <w:iCs/>
        </w:rPr>
        <w:t>n'aient</w:t>
      </w:r>
      <w:proofErr w:type="spellEnd"/>
      <w:r w:rsidRPr="00EE3E8D">
        <w:rPr>
          <w:i/>
          <w:iCs/>
        </w:rPr>
        <w:t xml:space="preserve"> </w:t>
      </w:r>
      <w:proofErr w:type="spellStart"/>
      <w:r w:rsidRPr="00EE3E8D">
        <w:rPr>
          <w:i/>
          <w:iCs/>
        </w:rPr>
        <w:t>été</w:t>
      </w:r>
      <w:proofErr w:type="spellEnd"/>
      <w:r w:rsidRPr="00EE3E8D">
        <w:rPr>
          <w:i/>
          <w:iCs/>
        </w:rPr>
        <w:t xml:space="preserve"> </w:t>
      </w:r>
      <w:proofErr w:type="spellStart"/>
      <w:r w:rsidRPr="00EE3E8D">
        <w:rPr>
          <w:i/>
          <w:iCs/>
        </w:rPr>
        <w:t>clairement</w:t>
      </w:r>
      <w:proofErr w:type="spellEnd"/>
      <w:r w:rsidRPr="00EE3E8D">
        <w:rPr>
          <w:i/>
          <w:iCs/>
        </w:rPr>
        <w:t xml:space="preserve"> </w:t>
      </w:r>
      <w:proofErr w:type="spellStart"/>
      <w:r w:rsidRPr="00EE3E8D">
        <w:rPr>
          <w:i/>
          <w:iCs/>
        </w:rPr>
        <w:t>notifiées</w:t>
      </w:r>
      <w:proofErr w:type="spellEnd"/>
      <w:r w:rsidRPr="00EE3E8D">
        <w:rPr>
          <w:i/>
          <w:iCs/>
        </w:rPr>
        <w:t xml:space="preserve"> au </w:t>
      </w:r>
      <w:proofErr w:type="spellStart"/>
      <w:r w:rsidRPr="00EE3E8D">
        <w:rPr>
          <w:i/>
          <w:iCs/>
        </w:rPr>
        <w:t>consommateur</w:t>
      </w:r>
      <w:proofErr w:type="spellEnd"/>
      <w:r w:rsidRPr="00EE3E8D">
        <w:rPr>
          <w:i/>
          <w:iCs/>
        </w:rPr>
        <w:t xml:space="preserve">, qui </w:t>
      </w:r>
      <w:proofErr w:type="spellStart"/>
      <w:r w:rsidRPr="00EE3E8D">
        <w:rPr>
          <w:i/>
          <w:iCs/>
        </w:rPr>
        <w:t>doit</w:t>
      </w:r>
      <w:proofErr w:type="spellEnd"/>
      <w:r w:rsidRPr="00EE3E8D">
        <w:rPr>
          <w:i/>
          <w:iCs/>
        </w:rPr>
        <w:t xml:space="preserve"> </w:t>
      </w:r>
      <w:proofErr w:type="spellStart"/>
      <w:r w:rsidRPr="00EE3E8D">
        <w:rPr>
          <w:i/>
          <w:iCs/>
        </w:rPr>
        <w:t>notamment</w:t>
      </w:r>
      <w:proofErr w:type="spellEnd"/>
      <w:r w:rsidRPr="00EE3E8D">
        <w:rPr>
          <w:i/>
          <w:iCs/>
        </w:rPr>
        <w:t xml:space="preserve"> </w:t>
      </w:r>
      <w:proofErr w:type="spellStart"/>
      <w:r w:rsidRPr="00EE3E8D">
        <w:rPr>
          <w:i/>
          <w:iCs/>
        </w:rPr>
        <w:t>avoir</w:t>
      </w:r>
      <w:proofErr w:type="spellEnd"/>
      <w:r w:rsidRPr="00EE3E8D">
        <w:rPr>
          <w:i/>
          <w:iCs/>
        </w:rPr>
        <w:t xml:space="preserve"> </w:t>
      </w:r>
      <w:proofErr w:type="spellStart"/>
      <w:r w:rsidRPr="00EE3E8D">
        <w:rPr>
          <w:i/>
          <w:iCs/>
        </w:rPr>
        <w:t>reçu</w:t>
      </w:r>
      <w:proofErr w:type="spellEnd"/>
      <w:r w:rsidRPr="00EE3E8D">
        <w:rPr>
          <w:i/>
          <w:iCs/>
        </w:rPr>
        <w:t xml:space="preserve"> des </w:t>
      </w:r>
      <w:proofErr w:type="spellStart"/>
      <w:r w:rsidRPr="00EE3E8D">
        <w:rPr>
          <w:i/>
          <w:iCs/>
        </w:rPr>
        <w:t>informations</w:t>
      </w:r>
      <w:proofErr w:type="spellEnd"/>
      <w:r w:rsidRPr="00EE3E8D">
        <w:rPr>
          <w:i/>
          <w:iCs/>
        </w:rPr>
        <w:t xml:space="preserve"> quant à </w:t>
      </w:r>
      <w:proofErr w:type="spellStart"/>
      <w:r w:rsidRPr="00EE3E8D">
        <w:rPr>
          <w:i/>
          <w:iCs/>
        </w:rPr>
        <w:t>leur</w:t>
      </w:r>
      <w:proofErr w:type="spellEnd"/>
      <w:r w:rsidRPr="00EE3E8D">
        <w:rPr>
          <w:i/>
          <w:iCs/>
        </w:rPr>
        <w:t xml:space="preserve"> </w:t>
      </w:r>
      <w:proofErr w:type="spellStart"/>
      <w:r w:rsidRPr="00EE3E8D">
        <w:rPr>
          <w:i/>
          <w:iCs/>
        </w:rPr>
        <w:t>montant</w:t>
      </w:r>
      <w:proofErr w:type="spellEnd"/>
      <w:r w:rsidRPr="00EE3E8D">
        <w:rPr>
          <w:i/>
          <w:iCs/>
        </w:rPr>
        <w:t xml:space="preserve"> et à la </w:t>
      </w:r>
      <w:proofErr w:type="spellStart"/>
      <w:r w:rsidRPr="00EE3E8D">
        <w:rPr>
          <w:i/>
          <w:iCs/>
        </w:rPr>
        <w:t>durée</w:t>
      </w:r>
      <w:proofErr w:type="spellEnd"/>
      <w:r w:rsidRPr="00EE3E8D">
        <w:rPr>
          <w:i/>
          <w:iCs/>
        </w:rPr>
        <w:t xml:space="preserve"> du </w:t>
      </w:r>
      <w:proofErr w:type="spellStart"/>
      <w:r w:rsidRPr="00EE3E8D">
        <w:rPr>
          <w:i/>
          <w:iCs/>
        </w:rPr>
        <w:t>contrat</w:t>
      </w:r>
      <w:proofErr w:type="spellEnd"/>
      <w:r w:rsidRPr="00EE3E8D">
        <w:rPr>
          <w:i/>
          <w:iCs/>
        </w:rPr>
        <w:t>.</w:t>
      </w:r>
    </w:p>
    <w:p w:rsidR="00B13193" w:rsidRPr="003F265B" w:rsidRDefault="00B13193" w:rsidP="00133CDA">
      <w:pPr>
        <w:rPr>
          <w:lang w:val="en-GB"/>
        </w:rPr>
      </w:pPr>
    </w:p>
    <w:p w:rsidR="000C1205" w:rsidRPr="003F265B" w:rsidRDefault="007442C6" w:rsidP="007442C6">
      <w:pPr>
        <w:rPr>
          <w:lang w:val="en-GB"/>
        </w:rPr>
      </w:pPr>
      <w:r w:rsidRPr="00B75DB5">
        <w:t>En outre, les pouvoirs publics coréens demandent aux fournisseurs d'exercer une surveillance étroite de leurs agences commerciales, afin de garantir que celles-ci se conforment aux lignes directrices et aident leurs clients à comprendre entièrement le contrat auquel ils souscrivent. Par exemple, ils recommandent de remettre aux clients des brochures ou des illustrés faciles à comprendre, ainsi que de publier le contrat concerné soit sur la page d'accueil du site web du fournisseur de services, soit à un endroit où il est facile de trouver les informations.</w:t>
      </w:r>
    </w:p>
    <w:p w:rsidR="000C1205" w:rsidRPr="003F265B" w:rsidRDefault="007442C6" w:rsidP="00B83D92">
      <w:pPr>
        <w:keepNext/>
        <w:rPr>
          <w:lang w:val="en-GB"/>
        </w:rPr>
      </w:pPr>
      <w:r w:rsidRPr="00B75DB5">
        <w:rPr>
          <w:i/>
          <w:iCs/>
          <w:sz w:val="22"/>
        </w:rPr>
        <w:t>Interruptions de service/couverture médiocre</w:t>
      </w:r>
    </w:p>
    <w:p w:rsidR="007442C6" w:rsidRPr="00B75DB5" w:rsidRDefault="007442C6" w:rsidP="007442C6">
      <w:r w:rsidRPr="00B75DB5">
        <w:t>Il apparaît que dans les Etats Membres ayant participé à l'enquête, les droits des consommateurs relatifs aux interruptions de service sont moins évolués. Seuls 5 des 29 participants à l'enquête ont fait état du droit des consommateurs à des dédommagements en cas de perte de service, et seuls 3 sur 29 ont cité le droit d'accès aux services d'urgence.</w:t>
      </w:r>
    </w:p>
    <w:p w:rsidR="007442C6" w:rsidRPr="00B75DB5" w:rsidRDefault="007442C6" w:rsidP="007442C6">
      <w:r w:rsidRPr="00B75DB5">
        <w:t xml:space="preserve">A Oman, tous les consommateurs ont le droit de bénéficier de la même classe et des mêmes modalités de service. Les opérateurs sont tenus de fournir le meilleur service possible et de remplir les critères de qualité de service spécifiés dans les conditions des licences. Si le service fourni à un consommateur est interrompu pendant plus de 24 heures pour des raisons techniques ou de maintenance, alors il est interdit au fournisseur de services de facturer la mensualité en cours de l'abonnement. Si le dispositif </w:t>
      </w:r>
      <w:r w:rsidRPr="00B75DB5">
        <w:lastRenderedPageBreak/>
        <w:t>fourni par l'opérateur devient défectueux au cours de la période de garantie, alors l'opérateur est tenu de le remplacer ou de le réparer</w:t>
      </w:r>
      <w:r w:rsidRPr="00B75DB5">
        <w:rPr>
          <w:vertAlign w:val="superscript"/>
        </w:rPr>
        <w:footnoteReference w:id="27"/>
      </w:r>
      <w:r w:rsidRPr="00B75DB5">
        <w:t>.</w:t>
      </w:r>
    </w:p>
    <w:p w:rsidR="007442C6" w:rsidRPr="00B75DB5" w:rsidRDefault="007442C6" w:rsidP="007442C6">
      <w:r w:rsidRPr="00B75DB5">
        <w:t xml:space="preserve">L'Autorité nationale de régulation de la République </w:t>
      </w:r>
      <w:proofErr w:type="spellStart"/>
      <w:r w:rsidRPr="00B75DB5">
        <w:t>sudafricaine</w:t>
      </w:r>
      <w:proofErr w:type="spellEnd"/>
      <w:r w:rsidRPr="00B75DB5">
        <w:t xml:space="preserve">, l'ICASA (Independent Communications </w:t>
      </w:r>
      <w:proofErr w:type="spellStart"/>
      <w:r w:rsidRPr="00B75DB5">
        <w:t>Authority</w:t>
      </w:r>
      <w:proofErr w:type="spellEnd"/>
      <w:r w:rsidRPr="00B75DB5">
        <w:t xml:space="preserve"> of South </w:t>
      </w:r>
      <w:proofErr w:type="spellStart"/>
      <w:r w:rsidRPr="00B75DB5">
        <w:t>Africa</w:t>
      </w:r>
      <w:proofErr w:type="spellEnd"/>
      <w:r w:rsidRPr="00B75DB5">
        <w:t>), a créé un cadre d'évaluation de l'indice de satisfaction des consommateurs (ISC) vis</w:t>
      </w:r>
      <w:r>
        <w:t>-</w:t>
      </w:r>
      <w:r w:rsidRPr="00B75DB5">
        <w:t>à</w:t>
      </w:r>
      <w:r>
        <w:t>-</w:t>
      </w:r>
      <w:r w:rsidRPr="00B75DB5">
        <w:t>vis des services TIC, dont le but est d'identifier et de définir les paramètres de qualité de service (</w:t>
      </w:r>
      <w:proofErr w:type="spellStart"/>
      <w:r w:rsidRPr="00B75DB5">
        <w:t>QoS</w:t>
      </w:r>
      <w:proofErr w:type="spellEnd"/>
      <w:r w:rsidRPr="00B75DB5">
        <w:t>) en cohérence avec ceux utilisés par d'autres régulateurs, qui permettront à l'ICASA de suivre le niveau de satisfaction des consommateurs ainsi que d'évaluer la qualité des services offerts par les opérateurs.</w:t>
      </w:r>
    </w:p>
    <w:p w:rsidR="007442C6" w:rsidRPr="00B75DB5" w:rsidRDefault="007442C6" w:rsidP="007442C6">
      <w:r w:rsidRPr="00B75DB5">
        <w:t xml:space="preserve">Du fait de l'importance croissante des services filaires et hertziens, il est possible que l'on ne dispose pas, dans certaines zones, d'informations suffisantes en ce qui concerne les occurrences des interruptions de service ou de l'impossibilité d'accéder aux services, ou que ces informations soient difficiles à comparer pour les consommateurs. Par exemple, lors des inondations et coupures de courant de grande ampleur qui ont frappé </w:t>
      </w:r>
      <w:proofErr w:type="spellStart"/>
      <w:r w:rsidRPr="00B75DB5">
        <w:t>Lower</w:t>
      </w:r>
      <w:proofErr w:type="spellEnd"/>
      <w:r w:rsidRPr="00B75DB5">
        <w:t xml:space="preserve"> Manhattan (New York) et l'ensemble des Etats-Unis à la fin de 2012, le réseau a subi de sérieuses perturbations, les clients se retrouvant privés de la télévision par fibres optiques (</w:t>
      </w:r>
      <w:proofErr w:type="spellStart"/>
      <w:r w:rsidRPr="00B75DB5">
        <w:t>FiOS</w:t>
      </w:r>
      <w:proofErr w:type="spellEnd"/>
      <w:r w:rsidRPr="00B75DB5">
        <w:t>), de l'Internet et de connexion téléphonique.</w:t>
      </w:r>
    </w:p>
    <w:p w:rsidR="000C1205" w:rsidRPr="003F265B" w:rsidRDefault="007442C6" w:rsidP="007442C6">
      <w:pPr>
        <w:rPr>
          <w:lang w:val="en-GB"/>
        </w:rPr>
      </w:pPr>
      <w:r w:rsidRPr="00B75DB5">
        <w:t xml:space="preserve">La </w:t>
      </w:r>
      <w:proofErr w:type="spellStart"/>
      <w:r w:rsidRPr="00B75DB5">
        <w:t>Federal</w:t>
      </w:r>
      <w:proofErr w:type="spellEnd"/>
      <w:r w:rsidRPr="00B75DB5">
        <w:t xml:space="preserve"> Communications Commission (FCC) des Etats-Unis a prévu de tenir, à partir de début 2013, une série d'auditions sur le terrain, afin d'examiner les problèmes causés aux réseaux de communication du pays lors des catastrophes naturelles et autres situations de crise</w:t>
      </w:r>
      <w:r w:rsidRPr="00B75DB5">
        <w:rPr>
          <w:vertAlign w:val="superscript"/>
        </w:rPr>
        <w:footnoteReference w:id="28"/>
      </w:r>
      <w:r w:rsidRPr="00B75DB5">
        <w:t>. L'objectif est de renforcer les exigences de service en cas de situation d'urgence de grande ampleur, aussi bien pour les réseaux filaires que pour les réseaux hertziens, notamment en ce qui concerne la fiabilité des réseaux d'urgence 9-1-1. L'enquête visera également à déterminer si les consommateurs ont accès à suffisamment d'informations à propos de leurs services de communication dans les situations d'urgence et/ou s'il serait utile de leur fournir des informations supplémentaires. On peut se demander, par exemple, s'il serait utile pour les consommateurs de pouvoir comparer leur opérateur et ses concurrents sur le plan de la qualité et de la fiabilité du service ou des installations lors des précédentes situations d'urgences.</w:t>
      </w:r>
    </w:p>
    <w:p w:rsidR="000C1205" w:rsidRPr="003F265B" w:rsidRDefault="007442C6" w:rsidP="000C1205">
      <w:pPr>
        <w:rPr>
          <w:i/>
          <w:lang w:val="en-GB"/>
        </w:rPr>
      </w:pPr>
      <w:r w:rsidRPr="00B75DB5">
        <w:rPr>
          <w:i/>
          <w:sz w:val="22"/>
        </w:rPr>
        <w:t>Protection des données à caractère personnel et de la confidentialité</w:t>
      </w:r>
    </w:p>
    <w:p w:rsidR="007442C6" w:rsidRPr="00B75DB5" w:rsidRDefault="007442C6" w:rsidP="007442C6">
      <w:r w:rsidRPr="00B75DB5">
        <w:t>Protéger la confidentialité des données des consommateurs et faire en sorte que ces données soient utilisées aux fins auxquelles elles sont destinées sont des garanties essentielles dans un environnement placé sous le signe de la convergence. Pourtant, seuls 3 des 17 participants ont fait état de mises à jour de la législation relative à la sécurité et/ou au caractère privé des données au cours des deux dernières années.</w:t>
      </w:r>
    </w:p>
    <w:p w:rsidR="007442C6" w:rsidRPr="00B75DB5" w:rsidRDefault="007442C6" w:rsidP="007442C6">
      <w:r w:rsidRPr="00B75DB5">
        <w:t>Dans de nombreux Etats Membres, la protection des données relève d'une autorité distincte. En Italie, par exemple, l'Autorité de protection des données</w:t>
      </w:r>
      <w:r w:rsidRPr="00B75DB5">
        <w:rPr>
          <w:vertAlign w:val="superscript"/>
        </w:rPr>
        <w:footnoteReference w:id="29"/>
      </w:r>
      <w:r w:rsidRPr="00B75DB5">
        <w:t xml:space="preserve"> est responsable de l'application du Code de protection des données personnelles, et veille à ce que toutes les garanties pertinentes soient en place</w:t>
      </w:r>
      <w:r w:rsidRPr="00B75DB5">
        <w:rPr>
          <w:vertAlign w:val="superscript"/>
        </w:rPr>
        <w:footnoteReference w:id="30"/>
      </w:r>
      <w:r w:rsidRPr="00B75DB5">
        <w:t>. Ce principe est valable pour tous les aspects du Code, y compris le traitement des données à caractère personnel dans le cadre des communications électroniques et la conservation des données relatives au trafic. En Lituanie, la protection des données à caractère personnel relève de la responsabilité de l'Inspectorat d'Etat à la protection des données.</w:t>
      </w:r>
    </w:p>
    <w:p w:rsidR="007442C6" w:rsidRPr="00F26CC3" w:rsidRDefault="007442C6" w:rsidP="007442C6">
      <w:r w:rsidRPr="00F26CC3">
        <w:lastRenderedPageBreak/>
        <w:t>A Oman, en revanche, la responsabilité de la réglementation de la protection de la confidentialité et du caractère privé des données des bénéficiaires</w:t>
      </w:r>
      <w:r w:rsidRPr="00F26CC3">
        <w:rPr>
          <w:rStyle w:val="FootnoteReference"/>
          <w:iCs/>
          <w:sz w:val="16"/>
          <w:szCs w:val="16"/>
        </w:rPr>
        <w:footnoteReference w:id="31"/>
      </w:r>
      <w:r w:rsidRPr="00F26CC3">
        <w:t xml:space="preserve"> relève de l'Autorité de régulation des télécommunications d'Oman (même si la législation relative au commerce électronique et à la cybercriminalité relève de la responsabilité de l'Autorité des technologies de l'information et de la communication). La réglementation permet aux exploitants de demander des données personnelles à un consommateur uniquement si cela est nécessaire à l'activation du service et à condition que le consommateur soit tenu informé des raisons pour lesquelles ces données sont recueillies, traitées et conservées. Les exploitants ont des obligations précises en ce qui concerne la protection du caractère privé et de la confidentialité de ces données. Ils sont tenus, notamment, de faire en sorte que les systèmes et les réseaux soient suffisamment sûrs pour empêcher les accès non autorisés. Les exploitants ne sont pas autorisés à échanger les informations avec des filiales sans l'accord préalable du consommateur.</w:t>
      </w:r>
    </w:p>
    <w:p w:rsidR="007442C6" w:rsidRPr="00F26CC3" w:rsidRDefault="007442C6" w:rsidP="007442C6">
      <w:r w:rsidRPr="00F26CC3">
        <w:t>En septembre 2012, l'Autorité de régulation des télécommunications d'Oman a lancé une consultation publique sur la réglementation des services sur le web</w:t>
      </w:r>
      <w:r w:rsidRPr="00F26CC3">
        <w:rPr>
          <w:vertAlign w:val="superscript"/>
        </w:rPr>
        <w:footnoteReference w:id="32"/>
      </w:r>
      <w:r w:rsidRPr="00F26CC3">
        <w:t>. Il est proposé d'adopter des dispositions afin que les consommateurs puissent filtrer les contenus, bloquer les contenus indésirables et limiter l'utilisation des résultats de recherche, et de renforcer les obligations en matière de confidentialité et de sécurité. Ces dispositions, si elles sont adoptées, permettront au régulateur de bloquer l'accès aux sites à caractère offensant.</w:t>
      </w:r>
    </w:p>
    <w:p w:rsidR="007442C6" w:rsidRPr="00F26CC3" w:rsidRDefault="007442C6" w:rsidP="007442C6">
      <w:r w:rsidRPr="00F26CC3">
        <w:t xml:space="preserve">Il s'agit d'un domaine difficile pour les régulateurs des communications. Si la réglementation est trop stricte, elle peut être perçue comme un obstacle à l'innovation et à la création de nouveaux services TIC. Google, par exemple, a récemment modifié sa politique de confidentialité, en rassemblant les données des utilisateurs finals recueillies par l'intermédiaire de services tels que le moteur de recherche de Google, </w:t>
      </w:r>
      <w:proofErr w:type="spellStart"/>
      <w:r w:rsidRPr="00F26CC3">
        <w:t>YouTube</w:t>
      </w:r>
      <w:proofErr w:type="spellEnd"/>
      <w:r w:rsidRPr="00F26CC3">
        <w:t xml:space="preserve"> et Google+, qui avaient jusqu'alors été conservées séparément. Google a présenté ces modifications comme avantageuses pour les consommateurs, puisqu'il peut ainsi ajuster de manière plus précise aux besoins des utilisateurs les résultats de recherche de ces derniers et les publicités qui leur sont destinées</w:t>
      </w:r>
      <w:r w:rsidRPr="00F26CC3">
        <w:rPr>
          <w:vertAlign w:val="superscript"/>
        </w:rPr>
        <w:footnoteReference w:id="33"/>
      </w:r>
      <w:r w:rsidRPr="00F26CC3">
        <w:t>.</w:t>
      </w:r>
    </w:p>
    <w:p w:rsidR="007442C6" w:rsidRPr="00F26CC3" w:rsidRDefault="007442C6" w:rsidP="007442C6">
      <w:r w:rsidRPr="00F26CC3">
        <w:t>On trouve une illustration supplémentaire des difficultés rencontrées pour atteindre le juste équilibre dans le succès grandissant des services d'informatique en nuage, qui sont fournis aux utilisateurs au moyen de PC ou de dispositifs portatifs. Alors que les utilisateurs finals achètent habituellement une licence pour installer et faire fonctionner les logiciels depuis leur propre machine, dans le cas des services d'informatique en nuage, les consommateurs ont accès à un nuage virtuel contenant les logiciels et à partir duquel on y accède. Les services de stockage dans le nuage donnent accès à des architectures de stockage en ligne, auxquelles il est possible d'accéder depuis n'importe quel ordinateur ou dispositif.</w:t>
      </w:r>
    </w:p>
    <w:p w:rsidR="007442C6" w:rsidRPr="00F26CC3" w:rsidRDefault="007442C6" w:rsidP="007442C6">
      <w:r w:rsidRPr="00F26CC3">
        <w:t>Bien que les fournisseurs soient responsables des événements qui surviennent sur leurs services, leurs activités sont susceptibles d'échapper à un cadre réglementaire national particulier. La réglementation applicable est celle de l'endroit où se déroule l'activité d'informatique en nuage, c'est-à dire soit le lieu où est situé le siège de l'entreprise d'informatique en nuage, là où se trouve le centre de stockage et de traitement des données, soit le lieu où les services d'informatique en nuage sont initiés ou accessibles aux utilisateurs.</w:t>
      </w:r>
    </w:p>
    <w:p w:rsidR="007442C6" w:rsidRPr="00F26CC3" w:rsidRDefault="007442C6" w:rsidP="007442C6">
      <w:pPr>
        <w:keepNext/>
        <w:keepLines/>
      </w:pPr>
      <w:r w:rsidRPr="00F26CC3">
        <w:lastRenderedPageBreak/>
        <w:t>L'Union européenne (UE) a élaboré une stratégie d'informatique en nuage</w:t>
      </w:r>
      <w:r w:rsidRPr="00F26CC3">
        <w:rPr>
          <w:vertAlign w:val="superscript"/>
        </w:rPr>
        <w:footnoteReference w:id="34"/>
      </w:r>
      <w:r w:rsidRPr="00F26CC3">
        <w:t xml:space="preserve">, située au cœur de l'objectif visant à </w:t>
      </w:r>
      <w:r w:rsidRPr="00F26CC3">
        <w:rPr>
          <w:rFonts w:cs="Calibri"/>
        </w:rPr>
        <w:t>"</w:t>
      </w:r>
      <w:r w:rsidRPr="00F26CC3">
        <w:t>instaurer la confiance numérique</w:t>
      </w:r>
      <w:r w:rsidRPr="00F26CC3">
        <w:rPr>
          <w:rFonts w:cs="Calibri"/>
        </w:rPr>
        <w:t>"</w:t>
      </w:r>
      <w:r w:rsidRPr="00F26CC3">
        <w:t>. Compte tenu de la portée mondiale des services d'informatique en nuage, il s'agit de trouver un moyen de réglementer les transferts internationaux de données, en se concentrant en premier lieu sur la fraude et la criminalité informatique.</w:t>
      </w:r>
    </w:p>
    <w:p w:rsidR="000C1205" w:rsidRPr="003F265B" w:rsidRDefault="007442C6" w:rsidP="007442C6">
      <w:pPr>
        <w:rPr>
          <w:lang w:val="en-GB"/>
        </w:rPr>
      </w:pPr>
      <w:r w:rsidRPr="00F26CC3">
        <w:t xml:space="preserve">Par ailleurs, dans un rapport soumis au Parlement européen, l'accent est mis sur les aspects liés à la confidentialité, et il est affirmé que </w:t>
      </w:r>
      <w:r w:rsidRPr="00F26CC3">
        <w:rPr>
          <w:rFonts w:cs="Calibri"/>
        </w:rPr>
        <w:t>"</w:t>
      </w:r>
      <w:r w:rsidRPr="00F26CC3">
        <w:t>le problème de la confidentialité dans le contexte de l'informatique en nuage est sous-estimé, voire ignoré</w:t>
      </w:r>
      <w:r w:rsidRPr="00F26CC3">
        <w:rPr>
          <w:rFonts w:cs="Calibri"/>
        </w:rPr>
        <w:t>"</w:t>
      </w:r>
      <w:r w:rsidRPr="00F26CC3">
        <w:rPr>
          <w:vertAlign w:val="superscript"/>
        </w:rPr>
        <w:footnoteReference w:id="35"/>
      </w:r>
      <w:r w:rsidRPr="00F26CC3">
        <w:rPr>
          <w:rFonts w:cs="Calibri"/>
        </w:rPr>
        <w:t>. Le rapport fait état des préoccupations de l'Agence européenne chargée de la sécurité des réseaux et de l'information (ENISA) au sujet des "risques encourus par les clients en cas d'utilisation et/ou de gestion inappropriées, par le fournisseur de services d'informatique en nuage, des données" contenues dans ses centres de données. Ce risque viendrait en partie du fait que la quasi-totalité de l'infrastructure est détenue par des sociétés privées et qu'elle représente une partie considérable et de plus en plus grande de l'Internet, ce qui entraîne "des conflits entre les intérêts économiques et commerciaux des fournisseurs de services et les besoins des consommateurs"</w:t>
      </w:r>
      <w:r w:rsidRPr="00F26CC3">
        <w:rPr>
          <w:vertAlign w:val="superscript"/>
        </w:rPr>
        <w:footnoteReference w:id="36"/>
      </w:r>
      <w:r w:rsidRPr="00F26CC3">
        <w:rPr>
          <w:rFonts w:cs="Calibri"/>
        </w:rPr>
        <w:t>.</w:t>
      </w:r>
      <w:r w:rsidR="004E7F9B" w:rsidRPr="003F265B">
        <w:rPr>
          <w:lang w:val="en-GB"/>
        </w:rPr>
        <w:t xml:space="preserve"> </w:t>
      </w:r>
    </w:p>
    <w:p w:rsidR="000C1205" w:rsidRPr="003F265B" w:rsidRDefault="007442C6" w:rsidP="000C1205">
      <w:pPr>
        <w:rPr>
          <w:i/>
          <w:lang w:val="en-GB"/>
        </w:rPr>
      </w:pPr>
      <w:r w:rsidRPr="00F26CC3">
        <w:rPr>
          <w:i/>
          <w:sz w:val="22"/>
        </w:rPr>
        <w:t>Services de divertissement et mécanismes de paiement sur mobile</w:t>
      </w:r>
    </w:p>
    <w:p w:rsidR="007442C6" w:rsidRPr="00F26CC3" w:rsidRDefault="007442C6" w:rsidP="007442C6">
      <w:r w:rsidRPr="00F26CC3">
        <w:t xml:space="preserve">L'augmentation rapide de l'utilisation des </w:t>
      </w:r>
      <w:proofErr w:type="spellStart"/>
      <w:r w:rsidRPr="00F26CC3">
        <w:t>smartphones</w:t>
      </w:r>
      <w:proofErr w:type="spellEnd"/>
      <w:r w:rsidRPr="00F26CC3">
        <w:t xml:space="preserve"> pour accéder aux services de divertissement sur mobile et/ou effectuer des paiements en ligne a clairement des incidences sur les cadres réglementaires. C'est en Extrême-Orient, en particulier au Japon</w:t>
      </w:r>
      <w:r w:rsidRPr="00F26CC3">
        <w:rPr>
          <w:vertAlign w:val="superscript"/>
        </w:rPr>
        <w:footnoteReference w:id="37"/>
      </w:r>
      <w:r w:rsidRPr="00F26CC3">
        <w:t xml:space="preserve"> et en République de Corée, que l'adoption de ces services est la plus forte. Vient ensuite l'Europe, où se détachent les pays scandinaves, le Royaume-Uni et l'Italie.</w:t>
      </w:r>
    </w:p>
    <w:p w:rsidR="007442C6" w:rsidRPr="00F26CC3" w:rsidRDefault="007442C6" w:rsidP="007442C6">
      <w:r w:rsidRPr="00F26CC3">
        <w:t xml:space="preserve">Aujourd'hui, de nombreux consommateurs utilisent les téléphones mobiles pour effectuer des micro-paiements, afin de participer à des services de télévision interactifs (voter à l'occasion de concours, par exemple), offrir des cadeaux virtuels et payer des applications. La plupart des nouveaux </w:t>
      </w:r>
      <w:proofErr w:type="spellStart"/>
      <w:r w:rsidRPr="00F26CC3">
        <w:t>smartphones</w:t>
      </w:r>
      <w:proofErr w:type="spellEnd"/>
      <w:r w:rsidRPr="00F26CC3">
        <w:t xml:space="preserve"> sont munis d'un dispositif de télécommunication en champ proche (NFC), qui permet le transfert de données sur des distances très courtes, généralement comprises entre 3 mm et 18 mm, mais pouvant aller jusqu'à 10 cm. Les télécommunications en champ proche s'utilisent pour le transfert rapide de fichiers, les transactions de paiement et d'autres services. Les téléphones mobiles s'utilisent également comme cartes de paiement sans contact intégrées (système </w:t>
      </w:r>
      <w:r w:rsidRPr="00F26CC3">
        <w:rPr>
          <w:rFonts w:cs="Calibri"/>
        </w:rPr>
        <w:t>"</w:t>
      </w:r>
      <w:proofErr w:type="spellStart"/>
      <w:r w:rsidRPr="00F26CC3">
        <w:t>wave</w:t>
      </w:r>
      <w:proofErr w:type="spellEnd"/>
      <w:r w:rsidRPr="00F26CC3">
        <w:t xml:space="preserve"> and </w:t>
      </w:r>
      <w:proofErr w:type="spellStart"/>
      <w:r w:rsidRPr="00F26CC3">
        <w:t>pay</w:t>
      </w:r>
      <w:proofErr w:type="spellEnd"/>
      <w:r w:rsidRPr="00F26CC3">
        <w:rPr>
          <w:rFonts w:cs="Calibri"/>
        </w:rPr>
        <w:t>"</w:t>
      </w:r>
      <w:r w:rsidRPr="00F26CC3">
        <w:t>) pour les achats au détail, et offrent ainsi un mode de paiement souple pouvant se substituer aux espèces et aux cartes bancaires.</w:t>
      </w:r>
    </w:p>
    <w:p w:rsidR="007442C6" w:rsidRPr="00F26CC3" w:rsidRDefault="007442C6" w:rsidP="007442C6">
      <w:r w:rsidRPr="00F26CC3">
        <w:t>Dans tous les cas, il est clair que le fait de disposer de modes de paiement plus pratiques et plus souples présente des avantages tant pour les entreprises que les consommateurs, à condition toutefois que les consommateurs soient suffisamment protégés et qu'ils aient confiance en la sécurité des systèmes utilisés.</w:t>
      </w:r>
    </w:p>
    <w:p w:rsidR="007442C6" w:rsidRPr="00F26CC3" w:rsidRDefault="007442C6" w:rsidP="007442C6">
      <w:r w:rsidRPr="00F26CC3">
        <w:t>L'environnement réglementaire qui régit les paiements en ligne et les paiements sur mobile évolue en permanence. Certains pays possèdent une législation spécifique applicable aux paiements en ligne et/ou sur mobile, tandis que dans les autres pays, c'est la réglementation générale relative à la protection des consommateurs, aux télécommunications ou aux activités financières qui s'applique.</w:t>
      </w:r>
    </w:p>
    <w:p w:rsidR="007442C6" w:rsidRPr="00F26CC3" w:rsidRDefault="007442C6" w:rsidP="007442C6">
      <w:pPr>
        <w:keepNext/>
        <w:keepLines/>
      </w:pPr>
      <w:r w:rsidRPr="00F26CC3">
        <w:lastRenderedPageBreak/>
        <w:t xml:space="preserve">Des structures de régulation existent déjà dans une certaine mesure. Au Royaume-Uni, les compétences de l'Autorité nationale de régulation en ce qui concerne la réglementation des contenus et la facturation des services kiosques (PRS, Premium Rate Services) couvrent les services de paiement sur mobile associés à une facture téléphonique ou à un compte prépayé, y compris certains systèmes de télécommunication en champ proche </w:t>
      </w:r>
      <w:r w:rsidRPr="00F26CC3">
        <w:rPr>
          <w:rFonts w:cs="Calibri"/>
        </w:rPr>
        <w:t>"</w:t>
      </w:r>
      <w:proofErr w:type="spellStart"/>
      <w:r w:rsidRPr="00F26CC3">
        <w:t>wave</w:t>
      </w:r>
      <w:proofErr w:type="spellEnd"/>
      <w:r w:rsidRPr="00F26CC3">
        <w:t xml:space="preserve"> and </w:t>
      </w:r>
      <w:proofErr w:type="spellStart"/>
      <w:r w:rsidRPr="00F26CC3">
        <w:t>pay</w:t>
      </w:r>
      <w:proofErr w:type="spellEnd"/>
      <w:r w:rsidRPr="00F26CC3">
        <w:rPr>
          <w:rFonts w:cs="Calibri"/>
        </w:rPr>
        <w:t>"</w:t>
      </w:r>
      <w:r w:rsidRPr="00F26CC3">
        <w:t>. En revanche, si les paiements ont lieu au moyen d'un portefeuille électronique associé à une carte de débit, la réglementation relève des compétences du régulateur des services financiers. Cette situation est source de confusion pour les consommateurs en cas d'incident. Tout ce système présuppose que les transactions elles-mêmes soient légales et qu'elles fassent l'objet d'un contrôle au niveau national, ce qui n'est pas nécessairement le cas des transactions internationales.</w:t>
      </w:r>
    </w:p>
    <w:p w:rsidR="00B13193" w:rsidRPr="003F265B" w:rsidRDefault="007442C6" w:rsidP="007442C6">
      <w:pPr>
        <w:rPr>
          <w:lang w:val="en-GB"/>
        </w:rPr>
      </w:pPr>
      <w:r w:rsidRPr="00F26CC3">
        <w:t>La République de Corée s'est dotée d'une réglementation spécifique en matière de protection des consommateurs dans le cadre du commerce électronique</w:t>
      </w:r>
      <w:r w:rsidRPr="00F26CC3">
        <w:rPr>
          <w:vertAlign w:val="superscript"/>
        </w:rPr>
        <w:footnoteReference w:id="38"/>
      </w:r>
      <w:r w:rsidRPr="00F26CC3">
        <w:t>, en vertu de laquelle les fournisseurs de services de paiement sont tenus d'observer un certain nombre d'obligations, et notamment les suivantes:</w:t>
      </w:r>
    </w:p>
    <w:p w:rsidR="007442C6" w:rsidRPr="007442C6" w:rsidRDefault="007442C6" w:rsidP="007442C6">
      <w:pPr>
        <w:pStyle w:val="Enumlevel1"/>
      </w:pPr>
      <w:r w:rsidRPr="00F26CC3">
        <w:rPr>
          <w:color w:val="E36C0A"/>
          <w:lang w:val="fr-FR"/>
        </w:rPr>
        <w:t>•</w:t>
      </w:r>
      <w:r w:rsidRPr="00F26CC3">
        <w:rPr>
          <w:color w:val="E36C0A"/>
          <w:lang w:val="fr-FR"/>
        </w:rPr>
        <w:tab/>
      </w:r>
      <w:proofErr w:type="spellStart"/>
      <w:r w:rsidRPr="007442C6">
        <w:t>utiliser</w:t>
      </w:r>
      <w:proofErr w:type="spellEnd"/>
      <w:r w:rsidRPr="007442C6">
        <w:t xml:space="preserve"> des </w:t>
      </w:r>
      <w:proofErr w:type="spellStart"/>
      <w:r w:rsidRPr="007442C6">
        <w:t>formulaires</w:t>
      </w:r>
      <w:proofErr w:type="spellEnd"/>
      <w:r w:rsidRPr="007442C6">
        <w:t xml:space="preserve"> de </w:t>
      </w:r>
      <w:proofErr w:type="spellStart"/>
      <w:r w:rsidRPr="007442C6">
        <w:t>paiement</w:t>
      </w:r>
      <w:proofErr w:type="spellEnd"/>
      <w:r w:rsidRPr="007442C6">
        <w:t xml:space="preserve"> qui </w:t>
      </w:r>
      <w:proofErr w:type="spellStart"/>
      <w:r w:rsidRPr="007442C6">
        <w:t>permettent</w:t>
      </w:r>
      <w:proofErr w:type="spellEnd"/>
      <w:r w:rsidRPr="007442C6">
        <w:t xml:space="preserve"> aux </w:t>
      </w:r>
      <w:proofErr w:type="spellStart"/>
      <w:r w:rsidRPr="007442C6">
        <w:t>consommateurs</w:t>
      </w:r>
      <w:proofErr w:type="spellEnd"/>
      <w:r w:rsidRPr="007442C6">
        <w:t xml:space="preserve"> de modifier </w:t>
      </w:r>
      <w:proofErr w:type="spellStart"/>
      <w:r w:rsidRPr="007442C6">
        <w:t>ou</w:t>
      </w:r>
      <w:proofErr w:type="spellEnd"/>
      <w:r w:rsidRPr="007442C6">
        <w:t xml:space="preserve"> de confirmer </w:t>
      </w:r>
      <w:proofErr w:type="spellStart"/>
      <w:r w:rsidRPr="007442C6">
        <w:t>leur</w:t>
      </w:r>
      <w:proofErr w:type="spellEnd"/>
      <w:r w:rsidRPr="007442C6">
        <w:t xml:space="preserve"> </w:t>
      </w:r>
      <w:proofErr w:type="spellStart"/>
      <w:r w:rsidRPr="007442C6">
        <w:t>paiement</w:t>
      </w:r>
      <w:proofErr w:type="spellEnd"/>
      <w:r w:rsidRPr="007442C6">
        <w:t xml:space="preserve"> </w:t>
      </w:r>
      <w:proofErr w:type="spellStart"/>
      <w:r w:rsidRPr="007442C6">
        <w:t>avant</w:t>
      </w:r>
      <w:proofErr w:type="spellEnd"/>
      <w:r w:rsidRPr="007442C6">
        <w:t xml:space="preserve"> </w:t>
      </w:r>
      <w:proofErr w:type="spellStart"/>
      <w:r w:rsidRPr="007442C6">
        <w:t>sa</w:t>
      </w:r>
      <w:proofErr w:type="spellEnd"/>
      <w:r w:rsidRPr="007442C6">
        <w:t xml:space="preserve"> validation;</w:t>
      </w:r>
    </w:p>
    <w:p w:rsidR="007442C6" w:rsidRPr="007442C6" w:rsidRDefault="007442C6" w:rsidP="007442C6">
      <w:pPr>
        <w:pStyle w:val="Enumlevel1"/>
      </w:pPr>
      <w:r w:rsidRPr="007442C6">
        <w:rPr>
          <w:color w:val="E36C0A"/>
        </w:rPr>
        <w:t>•</w:t>
      </w:r>
      <w:r w:rsidRPr="007442C6">
        <w:tab/>
      </w:r>
      <w:proofErr w:type="spellStart"/>
      <w:proofErr w:type="gramStart"/>
      <w:r w:rsidRPr="007442C6">
        <w:t>fournir</w:t>
      </w:r>
      <w:proofErr w:type="spellEnd"/>
      <w:proofErr w:type="gramEnd"/>
      <w:r w:rsidRPr="007442C6">
        <w:t xml:space="preserve"> aux </w:t>
      </w:r>
      <w:proofErr w:type="spellStart"/>
      <w:r w:rsidRPr="007442C6">
        <w:t>consommateurs</w:t>
      </w:r>
      <w:proofErr w:type="spellEnd"/>
      <w:r w:rsidRPr="007442C6">
        <w:t xml:space="preserve"> des </w:t>
      </w:r>
      <w:proofErr w:type="spellStart"/>
      <w:r w:rsidRPr="007442C6">
        <w:t>informations</w:t>
      </w:r>
      <w:proofErr w:type="spellEnd"/>
      <w:r w:rsidRPr="007442C6">
        <w:t xml:space="preserve"> </w:t>
      </w:r>
      <w:proofErr w:type="spellStart"/>
      <w:r w:rsidRPr="007442C6">
        <w:t>sur</w:t>
      </w:r>
      <w:proofErr w:type="spellEnd"/>
      <w:r w:rsidRPr="007442C6">
        <w:t xml:space="preserve"> le </w:t>
      </w:r>
      <w:proofErr w:type="spellStart"/>
      <w:r w:rsidRPr="007442C6">
        <w:t>vendeur</w:t>
      </w:r>
      <w:proofErr w:type="spellEnd"/>
      <w:r w:rsidRPr="007442C6">
        <w:t xml:space="preserve"> (qui </w:t>
      </w:r>
      <w:proofErr w:type="spellStart"/>
      <w:r w:rsidRPr="007442C6">
        <w:t>doivent</w:t>
      </w:r>
      <w:proofErr w:type="spellEnd"/>
      <w:r w:rsidRPr="007442C6">
        <w:t xml:space="preserve"> </w:t>
      </w:r>
      <w:proofErr w:type="spellStart"/>
      <w:r w:rsidRPr="007442C6">
        <w:t>également</w:t>
      </w:r>
      <w:proofErr w:type="spellEnd"/>
      <w:r w:rsidRPr="007442C6">
        <w:t xml:space="preserve"> </w:t>
      </w:r>
      <w:proofErr w:type="spellStart"/>
      <w:r w:rsidRPr="007442C6">
        <w:t>être</w:t>
      </w:r>
      <w:proofErr w:type="spellEnd"/>
      <w:r w:rsidRPr="007442C6">
        <w:t xml:space="preserve"> </w:t>
      </w:r>
      <w:proofErr w:type="spellStart"/>
      <w:r w:rsidRPr="007442C6">
        <w:t>accessibles</w:t>
      </w:r>
      <w:proofErr w:type="spellEnd"/>
      <w:r w:rsidRPr="007442C6">
        <w:t xml:space="preserve"> </w:t>
      </w:r>
      <w:proofErr w:type="spellStart"/>
      <w:r w:rsidRPr="007442C6">
        <w:t>sur</w:t>
      </w:r>
      <w:proofErr w:type="spellEnd"/>
      <w:r w:rsidRPr="007442C6">
        <w:t xml:space="preserve"> le site web du </w:t>
      </w:r>
      <w:proofErr w:type="spellStart"/>
      <w:r w:rsidRPr="007442C6">
        <w:t>vendeur</w:t>
      </w:r>
      <w:proofErr w:type="spellEnd"/>
      <w:r w:rsidRPr="007442C6">
        <w:t xml:space="preserve">) et </w:t>
      </w:r>
      <w:proofErr w:type="spellStart"/>
      <w:r w:rsidRPr="007442C6">
        <w:t>sur</w:t>
      </w:r>
      <w:proofErr w:type="spellEnd"/>
      <w:r w:rsidRPr="007442C6">
        <w:t xml:space="preserve"> les </w:t>
      </w:r>
      <w:proofErr w:type="spellStart"/>
      <w:r w:rsidRPr="007442C6">
        <w:t>mécanismes</w:t>
      </w:r>
      <w:proofErr w:type="spellEnd"/>
      <w:r w:rsidRPr="007442C6">
        <w:t xml:space="preserve"> de </w:t>
      </w:r>
      <w:proofErr w:type="spellStart"/>
      <w:r w:rsidRPr="007442C6">
        <w:t>règlement</w:t>
      </w:r>
      <w:proofErr w:type="spellEnd"/>
      <w:r w:rsidRPr="007442C6">
        <w:t xml:space="preserve"> des </w:t>
      </w:r>
      <w:proofErr w:type="spellStart"/>
      <w:r w:rsidRPr="007442C6">
        <w:t>différends</w:t>
      </w:r>
      <w:proofErr w:type="spellEnd"/>
      <w:r w:rsidRPr="007442C6">
        <w:t xml:space="preserve"> </w:t>
      </w:r>
      <w:proofErr w:type="spellStart"/>
      <w:r w:rsidRPr="007442C6">
        <w:t>applicables</w:t>
      </w:r>
      <w:proofErr w:type="spellEnd"/>
      <w:r w:rsidRPr="007442C6">
        <w:t>;</w:t>
      </w:r>
    </w:p>
    <w:p w:rsidR="007442C6" w:rsidRPr="00F26CC3" w:rsidRDefault="007442C6" w:rsidP="007442C6">
      <w:pPr>
        <w:pStyle w:val="Enumlevel1"/>
        <w:rPr>
          <w:lang w:val="fr-FR"/>
        </w:rPr>
      </w:pPr>
      <w:r w:rsidRPr="007442C6">
        <w:rPr>
          <w:color w:val="E36C0A"/>
        </w:rPr>
        <w:t>•</w:t>
      </w:r>
      <w:r w:rsidRPr="007442C6">
        <w:tab/>
      </w:r>
      <w:proofErr w:type="spellStart"/>
      <w:proofErr w:type="gramStart"/>
      <w:r w:rsidRPr="007442C6">
        <w:t>protéger</w:t>
      </w:r>
      <w:proofErr w:type="spellEnd"/>
      <w:proofErr w:type="gramEnd"/>
      <w:r w:rsidRPr="00F26CC3">
        <w:rPr>
          <w:lang w:val="fr-FR"/>
        </w:rPr>
        <w:t xml:space="preserve"> les données à caractère personnel du consommateur divulguées par celui-ci dans le cadre du processus de paiement</w:t>
      </w:r>
      <w:r w:rsidRPr="00F26CC3">
        <w:rPr>
          <w:vertAlign w:val="superscript"/>
          <w:lang w:val="fr-FR"/>
        </w:rPr>
        <w:footnoteReference w:id="39"/>
      </w:r>
      <w:r w:rsidRPr="00F26CC3">
        <w:rPr>
          <w:lang w:val="fr-FR"/>
        </w:rPr>
        <w:t>.</w:t>
      </w:r>
    </w:p>
    <w:p w:rsidR="009234FC" w:rsidRPr="003F265B" w:rsidRDefault="007442C6" w:rsidP="0006704D">
      <w:pPr>
        <w:keepNext/>
        <w:keepLines/>
        <w:rPr>
          <w:i/>
          <w:lang w:val="en-GB"/>
        </w:rPr>
      </w:pPr>
      <w:r w:rsidRPr="00F26CC3">
        <w:rPr>
          <w:i/>
          <w:sz w:val="22"/>
        </w:rPr>
        <w:t>Droit de porter plainte</w:t>
      </w:r>
    </w:p>
    <w:p w:rsidR="007442C6" w:rsidRPr="00F26CC3" w:rsidRDefault="007442C6" w:rsidP="007442C6">
      <w:r w:rsidRPr="00F26CC3">
        <w:t>Pour garantir l'efficacité du cadre de protection des consommateurs, il est essentiel que ceux-ci aient accès à un processus de réclamation transparent et équitable. La plupart des cadres réglementaires des TIC prévoient l'obligation pour les opérateurs d'instaurer et de publier des procédures de traitement des plaintes. La majorité des participants à l'enquête ont joué un rôle dans le traitement des réclamations et/ou le règlement des différends, ou avaient la possibilité de soumettre ces litiges à un autre organisme de protection des consommateurs.</w:t>
      </w:r>
    </w:p>
    <w:p w:rsidR="007442C6" w:rsidRPr="00F26CC3" w:rsidRDefault="007442C6" w:rsidP="007442C6">
      <w:r w:rsidRPr="00F26CC3">
        <w:t xml:space="preserve">La Commission </w:t>
      </w:r>
      <w:proofErr w:type="spellStart"/>
      <w:r w:rsidRPr="00F26CC3">
        <w:t>malaisienne</w:t>
      </w:r>
      <w:proofErr w:type="spellEnd"/>
      <w:r w:rsidRPr="00F26CC3">
        <w:t xml:space="preserve"> des communications et des services multimédias (MCMC), par exemple, bien qu'elle n'intervienne pas directement dans le traitement, est chargée de veiller à ce que les réclamations des consommateurs soient prises en charge de manière équitable et efficace. Les réclamations concernent tous les aspects des services de communication et multimédias: télécommunications, radiodiffusion, services Internet, services postaux et de messagerie, et certification numérique. La MCMC est également chargée de suivre le niveau des réclamations reçues de la part des consommateurs.</w:t>
      </w:r>
    </w:p>
    <w:p w:rsidR="009234FC" w:rsidRPr="003F265B" w:rsidRDefault="007442C6" w:rsidP="007442C6">
      <w:pPr>
        <w:rPr>
          <w:lang w:val="en-GB"/>
        </w:rPr>
      </w:pPr>
      <w:r w:rsidRPr="00F26CC3">
        <w:t>Dans un premier temps, les consommateurs sont encouragés à traiter eux-mêmes avec le fournisseur de services en vue de résoudre leur réclamation, mais peuvent la soumettre au Forum pour les consommateurs, entité indépendante et auto-réglementée sous l'égide de la MCMC, si le fournisseur ne l'a pas résolue au bout de sept semaines. Ce Forum est doté d'un portail en ligne dédié aux réclamations, qui vise à aider les consommateurs à résoudre les réclamations avec les fournisseurs sans qu'il soit nécessaire de faire appel à une intervention extérieure. Ce portail a été élaboré conformément au Code de pratique général relatif aux consommateurs (GCC) du Forum des consommateurs, qui se base sur les procédures usuelles en matière de traitement des réclamations et des différends concernant les consommateurs.</w:t>
      </w:r>
      <w:r w:rsidR="009234FC" w:rsidRPr="003F265B">
        <w:rPr>
          <w:lang w:val="en-GB"/>
        </w:rPr>
        <w:t xml:space="preserve"> </w:t>
      </w:r>
    </w:p>
    <w:p w:rsidR="002A0E0E" w:rsidRPr="003F265B" w:rsidRDefault="00514D18" w:rsidP="00184EFD">
      <w:pPr>
        <w:pStyle w:val="Figuretitle"/>
        <w:rPr>
          <w:lang w:val="en-GB"/>
        </w:rPr>
      </w:pPr>
      <w:r w:rsidRPr="00F26CC3">
        <w:rPr>
          <w:lang w:val="fr-CH"/>
        </w:rPr>
        <w:lastRenderedPageBreak/>
        <w:t>Figur</w:t>
      </w:r>
      <w:r>
        <w:rPr>
          <w:lang w:val="fr-CH"/>
        </w:rPr>
        <w:t>e</w:t>
      </w:r>
      <w:r w:rsidRPr="00F26CC3">
        <w:rPr>
          <w:lang w:val="fr-CH"/>
        </w:rPr>
        <w:t xml:space="preserve"> 7: </w:t>
      </w:r>
      <w:r w:rsidRPr="00EE3E8D">
        <w:rPr>
          <w:lang w:val="fr-FR"/>
        </w:rPr>
        <w:t>Bureau des réclamations de consommateurs de la Malaisie: Processus de traitement des réclamations</w:t>
      </w:r>
    </w:p>
    <w:p w:rsidR="002A0E0E" w:rsidRPr="003F265B" w:rsidRDefault="002C6A7A" w:rsidP="002A0E0E">
      <w:pPr>
        <w:pStyle w:val="Figure"/>
        <w:rPr>
          <w:lang w:val="en-GB"/>
        </w:rPr>
      </w:pPr>
      <w:r>
        <w:rPr>
          <w:noProof/>
          <w:lang w:val="en-US" w:eastAsia="zh-CN"/>
        </w:rPr>
        <w:pict>
          <v:oval id="_x0000_s1064" style="position:absolute;left:0;text-align:left;margin-left:189.65pt;margin-top:167.2pt;width:67.75pt;height:23.4pt;z-index:251692544" fillcolor="white [3212]" stroked="f">
            <v:textbox style="mso-next-textbox:#_x0000_s1064" inset="0,0,0,0">
              <w:txbxContent>
                <w:p w:rsidR="00CF297F" w:rsidRPr="00CF297F" w:rsidRDefault="00CF297F" w:rsidP="00CF297F">
                  <w:pPr>
                    <w:spacing w:before="0"/>
                    <w:jc w:val="center"/>
                    <w:rPr>
                      <w:color w:val="A6A6A6" w:themeColor="background1" w:themeShade="A6"/>
                      <w:sz w:val="15"/>
                      <w:lang w:val="en-US"/>
                    </w:rPr>
                  </w:pPr>
                  <w:proofErr w:type="spellStart"/>
                  <w:r w:rsidRPr="00CF297F">
                    <w:rPr>
                      <w:color w:val="A6A6A6" w:themeColor="background1" w:themeShade="A6"/>
                      <w:sz w:val="15"/>
                      <w:lang w:val="en-US"/>
                    </w:rPr>
                    <w:t>Processus</w:t>
                  </w:r>
                  <w:proofErr w:type="spellEnd"/>
                  <w:r w:rsidRPr="00CF297F">
                    <w:rPr>
                      <w:color w:val="A6A6A6" w:themeColor="background1" w:themeShade="A6"/>
                      <w:sz w:val="15"/>
                      <w:lang w:val="en-US"/>
                    </w:rPr>
                    <w:t xml:space="preserve"> de</w:t>
                  </w:r>
                  <w:r>
                    <w:rPr>
                      <w:color w:val="A6A6A6" w:themeColor="background1" w:themeShade="A6"/>
                      <w:sz w:val="15"/>
                      <w:lang w:val="en-US"/>
                    </w:rPr>
                    <w:br/>
                  </w:r>
                  <w:proofErr w:type="spellStart"/>
                  <w:r w:rsidRPr="00CF297F">
                    <w:rPr>
                      <w:color w:val="A6A6A6" w:themeColor="background1" w:themeShade="A6"/>
                      <w:sz w:val="15"/>
                      <w:lang w:val="en-US"/>
                    </w:rPr>
                    <w:t>réclamation</w:t>
                  </w:r>
                  <w:proofErr w:type="spellEnd"/>
                </w:p>
              </w:txbxContent>
            </v:textbox>
          </v:oval>
        </w:pict>
      </w:r>
      <w:r>
        <w:rPr>
          <w:noProof/>
          <w:lang w:val="en-US" w:eastAsia="zh-CN"/>
        </w:rPr>
        <w:pict>
          <v:shape id="_x0000_s1063" type="#_x0000_t202" style="position:absolute;left:0;text-align:left;margin-left:36.2pt;margin-top:190.6pt;width:77.7pt;height:13.9pt;z-index:251691520" fillcolor="white [3212]" stroked="f">
            <v:textbox style="mso-next-textbox:#_x0000_s1063" inset=".5mm,.3mm,.5mm,.3mm">
              <w:txbxContent>
                <w:p w:rsidR="00541D74" w:rsidRPr="00506DA3" w:rsidRDefault="00706513" w:rsidP="00541D74">
                  <w:pPr>
                    <w:spacing w:before="0"/>
                    <w:jc w:val="right"/>
                    <w:rPr>
                      <w:color w:val="FF0000"/>
                      <w:sz w:val="15"/>
                      <w:lang w:val="en-US"/>
                    </w:rPr>
                  </w:pPr>
                  <w:r>
                    <w:rPr>
                      <w:color w:val="FF0000"/>
                      <w:sz w:val="15"/>
                      <w:lang w:val="en-US"/>
                    </w:rPr>
                    <w:t>Non satisfaction</w:t>
                  </w:r>
                </w:p>
              </w:txbxContent>
            </v:textbox>
          </v:shape>
        </w:pict>
      </w:r>
      <w:r>
        <w:rPr>
          <w:noProof/>
          <w:lang w:val="en-US" w:eastAsia="zh-CN"/>
        </w:rPr>
        <w:pict>
          <v:shape id="_x0000_s1062" type="#_x0000_t202" style="position:absolute;left:0;text-align:left;margin-left:113.05pt;margin-top:279.5pt;width:100pt;height:37.8pt;z-index:251690496" fillcolor="white [3212]" stroked="f">
            <v:textbox style="mso-next-textbox:#_x0000_s1062" inset=".5mm,.3mm,.5mm,.3mm">
              <w:txbxContent>
                <w:p w:rsidR="00124BE7" w:rsidRPr="00124BE7" w:rsidRDefault="00124BE7" w:rsidP="00124BE7">
                  <w:pPr>
                    <w:spacing w:before="0"/>
                    <w:jc w:val="left"/>
                    <w:rPr>
                      <w:color w:val="548DD4" w:themeColor="text2" w:themeTint="99"/>
                      <w:sz w:val="15"/>
                      <w:lang w:val="en-US"/>
                    </w:rPr>
                  </w:pPr>
                  <w:r>
                    <w:rPr>
                      <w:color w:val="548DD4" w:themeColor="text2" w:themeTint="99"/>
                      <w:sz w:val="15"/>
                      <w:lang w:val="en-US"/>
                    </w:rPr>
                    <w:t xml:space="preserve">Forum </w:t>
                  </w:r>
                  <w:proofErr w:type="spellStart"/>
                  <w:r>
                    <w:rPr>
                      <w:color w:val="548DD4" w:themeColor="text2" w:themeTint="99"/>
                      <w:sz w:val="15"/>
                      <w:lang w:val="en-US"/>
                    </w:rPr>
                    <w:t>malaisien</w:t>
                  </w:r>
                  <w:proofErr w:type="spellEnd"/>
                  <w:r>
                    <w:rPr>
                      <w:color w:val="548DD4" w:themeColor="text2" w:themeTint="99"/>
                      <w:sz w:val="15"/>
                      <w:lang w:val="en-US"/>
                    </w:rPr>
                    <w:t xml:space="preserve"> pour les </w:t>
                  </w:r>
                  <w:proofErr w:type="spellStart"/>
                  <w:r>
                    <w:rPr>
                      <w:color w:val="548DD4" w:themeColor="text2" w:themeTint="99"/>
                      <w:sz w:val="15"/>
                      <w:lang w:val="en-US"/>
                    </w:rPr>
                    <w:t>contenus</w:t>
                  </w:r>
                  <w:proofErr w:type="spellEnd"/>
                  <w:r>
                    <w:rPr>
                      <w:color w:val="548DD4" w:themeColor="text2" w:themeTint="99"/>
                      <w:sz w:val="15"/>
                      <w:lang w:val="en-US"/>
                    </w:rPr>
                    <w:t xml:space="preserve"> en </w:t>
                  </w:r>
                  <w:proofErr w:type="spellStart"/>
                  <w:r>
                    <w:rPr>
                      <w:color w:val="548DD4" w:themeColor="text2" w:themeTint="99"/>
                      <w:sz w:val="15"/>
                      <w:lang w:val="en-US"/>
                    </w:rPr>
                    <w:t>matière</w:t>
                  </w:r>
                  <w:proofErr w:type="spellEnd"/>
                  <w:r>
                    <w:rPr>
                      <w:color w:val="548DD4" w:themeColor="text2" w:themeTint="99"/>
                      <w:sz w:val="15"/>
                      <w:lang w:val="en-US"/>
                    </w:rPr>
                    <w:t xml:space="preserve"> de communications </w:t>
                  </w:r>
                  <w:proofErr w:type="gramStart"/>
                  <w:r>
                    <w:rPr>
                      <w:color w:val="548DD4" w:themeColor="text2" w:themeTint="99"/>
                      <w:sz w:val="15"/>
                      <w:lang w:val="en-US"/>
                    </w:rPr>
                    <w:t>et</w:t>
                  </w:r>
                  <w:proofErr w:type="gramEnd"/>
                  <w:r>
                    <w:rPr>
                      <w:color w:val="548DD4" w:themeColor="text2" w:themeTint="99"/>
                      <w:sz w:val="15"/>
                      <w:lang w:val="en-US"/>
                    </w:rPr>
                    <w:t xml:space="preserve"> de </w:t>
                  </w:r>
                  <w:proofErr w:type="spellStart"/>
                  <w:r>
                    <w:rPr>
                      <w:color w:val="548DD4" w:themeColor="text2" w:themeTint="99"/>
                      <w:sz w:val="15"/>
                      <w:lang w:val="en-US"/>
                    </w:rPr>
                    <w:t>multimédias</w:t>
                  </w:r>
                  <w:proofErr w:type="spellEnd"/>
                  <w:r>
                    <w:rPr>
                      <w:color w:val="548DD4" w:themeColor="text2" w:themeTint="99"/>
                      <w:sz w:val="15"/>
                      <w:lang w:val="en-US"/>
                    </w:rPr>
                    <w:t xml:space="preserve"> (CMCF)</w:t>
                  </w:r>
                </w:p>
              </w:txbxContent>
            </v:textbox>
          </v:shape>
        </w:pict>
      </w:r>
      <w:r>
        <w:rPr>
          <w:noProof/>
          <w:lang w:val="en-US" w:eastAsia="zh-CN"/>
        </w:rPr>
        <w:pict>
          <v:shape id="_x0000_s1061" type="#_x0000_t202" style="position:absolute;left:0;text-align:left;margin-left:303.95pt;margin-top:278.75pt;width:100pt;height:37.8pt;z-index:251689472" fillcolor="white [3212]" stroked="f">
            <v:textbox style="mso-next-textbox:#_x0000_s1061" inset=".5mm,.3mm,.5mm,.3mm">
              <w:txbxContent>
                <w:p w:rsidR="00124BE7" w:rsidRPr="003B304F" w:rsidRDefault="00124BE7" w:rsidP="00124BE7">
                  <w:pPr>
                    <w:spacing w:before="0"/>
                    <w:jc w:val="left"/>
                    <w:rPr>
                      <w:color w:val="548DD4" w:themeColor="text2" w:themeTint="99"/>
                      <w:sz w:val="15"/>
                      <w:lang w:val="en-US"/>
                    </w:rPr>
                  </w:pPr>
                  <w:r w:rsidRPr="003B304F">
                    <w:rPr>
                      <w:color w:val="548DD4" w:themeColor="text2" w:themeTint="99"/>
                      <w:sz w:val="15"/>
                      <w:lang w:val="en-US"/>
                    </w:rPr>
                    <w:t xml:space="preserve">Forum </w:t>
                  </w:r>
                  <w:proofErr w:type="spellStart"/>
                  <w:r w:rsidRPr="003B304F">
                    <w:rPr>
                      <w:color w:val="548DD4" w:themeColor="text2" w:themeTint="99"/>
                      <w:sz w:val="15"/>
                      <w:lang w:val="en-US"/>
                    </w:rPr>
                    <w:t>malaisien</w:t>
                  </w:r>
                  <w:proofErr w:type="spellEnd"/>
                  <w:r w:rsidRPr="003B304F">
                    <w:rPr>
                      <w:color w:val="548DD4" w:themeColor="text2" w:themeTint="99"/>
                      <w:sz w:val="15"/>
                      <w:lang w:val="en-US"/>
                    </w:rPr>
                    <w:t xml:space="preserve"> pour les </w:t>
                  </w:r>
                  <w:proofErr w:type="spellStart"/>
                  <w:r w:rsidRPr="003B304F">
                    <w:rPr>
                      <w:color w:val="548DD4" w:themeColor="text2" w:themeTint="99"/>
                      <w:sz w:val="15"/>
                      <w:lang w:val="en-US"/>
                    </w:rPr>
                    <w:t>consommateurs</w:t>
                  </w:r>
                  <w:proofErr w:type="spellEnd"/>
                  <w:r w:rsidRPr="003B304F">
                    <w:rPr>
                      <w:color w:val="548DD4" w:themeColor="text2" w:themeTint="99"/>
                      <w:sz w:val="15"/>
                      <w:lang w:val="en-US"/>
                    </w:rPr>
                    <w:t xml:space="preserve"> en </w:t>
                  </w:r>
                  <w:proofErr w:type="spellStart"/>
                  <w:r w:rsidRPr="003B304F">
                    <w:rPr>
                      <w:color w:val="548DD4" w:themeColor="text2" w:themeTint="99"/>
                      <w:sz w:val="15"/>
                      <w:lang w:val="en-US"/>
                    </w:rPr>
                    <w:t>matière</w:t>
                  </w:r>
                  <w:proofErr w:type="spellEnd"/>
                  <w:r w:rsidRPr="003B304F">
                    <w:rPr>
                      <w:color w:val="548DD4" w:themeColor="text2" w:themeTint="99"/>
                      <w:sz w:val="15"/>
                      <w:lang w:val="en-US"/>
                    </w:rPr>
                    <w:t xml:space="preserve"> de communications </w:t>
                  </w:r>
                  <w:proofErr w:type="gramStart"/>
                  <w:r w:rsidRPr="003B304F">
                    <w:rPr>
                      <w:color w:val="548DD4" w:themeColor="text2" w:themeTint="99"/>
                      <w:sz w:val="15"/>
                      <w:lang w:val="en-US"/>
                    </w:rPr>
                    <w:t>et</w:t>
                  </w:r>
                  <w:proofErr w:type="gramEnd"/>
                  <w:r w:rsidRPr="003B304F">
                    <w:rPr>
                      <w:color w:val="548DD4" w:themeColor="text2" w:themeTint="99"/>
                      <w:sz w:val="15"/>
                      <w:lang w:val="en-US"/>
                    </w:rPr>
                    <w:t xml:space="preserve"> de </w:t>
                  </w:r>
                  <w:proofErr w:type="spellStart"/>
                  <w:r w:rsidRPr="003B304F">
                    <w:rPr>
                      <w:color w:val="548DD4" w:themeColor="text2" w:themeTint="99"/>
                      <w:sz w:val="15"/>
                      <w:lang w:val="en-US"/>
                    </w:rPr>
                    <w:t>multimédias</w:t>
                  </w:r>
                  <w:proofErr w:type="spellEnd"/>
                  <w:r w:rsidRPr="003B304F">
                    <w:rPr>
                      <w:color w:val="548DD4" w:themeColor="text2" w:themeTint="99"/>
                      <w:sz w:val="15"/>
                      <w:lang w:val="en-US"/>
                    </w:rPr>
                    <w:t xml:space="preserve"> (CMF)</w:t>
                  </w:r>
                </w:p>
              </w:txbxContent>
            </v:textbox>
          </v:shape>
        </w:pict>
      </w:r>
      <w:r>
        <w:rPr>
          <w:noProof/>
          <w:lang w:val="en-US" w:eastAsia="zh-CN"/>
        </w:rPr>
        <w:pict>
          <v:shape id="_x0000_s1058" type="#_x0000_t202" style="position:absolute;left:0;text-align:left;margin-left:330pt;margin-top:187.9pt;width:77.7pt;height:22.55pt;z-index:251688448" fillcolor="white [3212]" stroked="f">
            <v:textbox style="mso-next-textbox:#_x0000_s1058" inset=".5mm,.3mm,.5mm,.3mm">
              <w:txbxContent>
                <w:p w:rsidR="00C954D9" w:rsidRPr="00506DA3" w:rsidRDefault="00C954D9" w:rsidP="00A72491">
                  <w:pPr>
                    <w:spacing w:before="0"/>
                    <w:jc w:val="left"/>
                    <w:rPr>
                      <w:color w:val="FF0000"/>
                      <w:sz w:val="15"/>
                      <w:lang w:val="en-US"/>
                    </w:rPr>
                  </w:pPr>
                  <w:r>
                    <w:rPr>
                      <w:color w:val="FF0000"/>
                      <w:sz w:val="15"/>
                      <w:lang w:val="en-US"/>
                    </w:rPr>
                    <w:t>Non resolution/Absence de retour</w:t>
                  </w:r>
                </w:p>
              </w:txbxContent>
            </v:textbox>
          </v:shape>
        </w:pict>
      </w:r>
      <w:r>
        <w:rPr>
          <w:noProof/>
          <w:lang w:val="en-US" w:eastAsia="zh-CN"/>
        </w:rPr>
        <w:pict>
          <v:roundrect id="_x0000_s1057" style="position:absolute;left:0;text-align:left;margin-left:199.75pt;margin-top:237.65pt;width:41.7pt;height:14.65pt;z-index:251687424" arcsize="10923f" fillcolor="black [3213]" strokecolor="black [3213]">
            <v:textbox style="mso-next-textbox:#_x0000_s1057" inset=".5mm,.3mm,.5mm,.3mm">
              <w:txbxContent>
                <w:p w:rsidR="00C954D9" w:rsidRPr="00CF4052" w:rsidRDefault="00C954D9" w:rsidP="00CF4052">
                  <w:pPr>
                    <w:shd w:val="clear" w:color="auto" w:fill="000000" w:themeFill="text1"/>
                    <w:spacing w:before="0"/>
                    <w:jc w:val="center"/>
                    <w:rPr>
                      <w:b/>
                      <w:bCs/>
                      <w:color w:val="FFFFFF" w:themeColor="background1"/>
                      <w:sz w:val="15"/>
                      <w:lang w:val="en-US"/>
                    </w:rPr>
                  </w:pPr>
                  <w:proofErr w:type="spellStart"/>
                  <w:r w:rsidRPr="00CF4052">
                    <w:rPr>
                      <w:b/>
                      <w:bCs/>
                      <w:color w:val="FFFFFF" w:themeColor="background1"/>
                      <w:sz w:val="15"/>
                      <w:lang w:val="en-US"/>
                    </w:rPr>
                    <w:t>Etape</w:t>
                  </w:r>
                  <w:proofErr w:type="spellEnd"/>
                  <w:r w:rsidRPr="00CF4052">
                    <w:rPr>
                      <w:b/>
                      <w:bCs/>
                      <w:color w:val="FFFFFF" w:themeColor="background1"/>
                      <w:sz w:val="15"/>
                      <w:lang w:val="en-US"/>
                    </w:rPr>
                    <w:t xml:space="preserve"> </w:t>
                  </w:r>
                  <w:r>
                    <w:rPr>
                      <w:b/>
                      <w:bCs/>
                      <w:color w:val="FFFFFF" w:themeColor="background1"/>
                      <w:sz w:val="15"/>
                      <w:lang w:val="en-US"/>
                    </w:rPr>
                    <w:t>2</w:t>
                  </w:r>
                </w:p>
              </w:txbxContent>
            </v:textbox>
          </v:roundrect>
        </w:pict>
      </w:r>
      <w:r>
        <w:rPr>
          <w:noProof/>
          <w:lang w:val="en-US" w:eastAsia="zh-CN"/>
        </w:rPr>
        <w:pict>
          <v:roundrect id="_x0000_s1056" style="position:absolute;left:0;text-align:left;margin-left:30.95pt;margin-top:79.4pt;width:41.7pt;height:14.65pt;z-index:251686400" arcsize="10923f" fillcolor="black [3213]" strokecolor="black [3213]">
            <v:textbox style="mso-next-textbox:#_x0000_s1056" inset=".5mm,.3mm,.5mm,.3mm">
              <w:txbxContent>
                <w:p w:rsidR="00C954D9" w:rsidRPr="00CF4052" w:rsidRDefault="00C954D9" w:rsidP="00CF4052">
                  <w:pPr>
                    <w:shd w:val="clear" w:color="auto" w:fill="000000" w:themeFill="text1"/>
                    <w:spacing w:before="0"/>
                    <w:jc w:val="center"/>
                    <w:rPr>
                      <w:b/>
                      <w:bCs/>
                      <w:color w:val="FFFFFF" w:themeColor="background1"/>
                      <w:sz w:val="15"/>
                      <w:lang w:val="en-US"/>
                    </w:rPr>
                  </w:pPr>
                  <w:proofErr w:type="spellStart"/>
                  <w:r w:rsidRPr="00CF4052">
                    <w:rPr>
                      <w:b/>
                      <w:bCs/>
                      <w:color w:val="FFFFFF" w:themeColor="background1"/>
                      <w:sz w:val="15"/>
                      <w:lang w:val="en-US"/>
                    </w:rPr>
                    <w:t>Etape</w:t>
                  </w:r>
                  <w:proofErr w:type="spellEnd"/>
                  <w:r w:rsidRPr="00CF4052">
                    <w:rPr>
                      <w:b/>
                      <w:bCs/>
                      <w:color w:val="FFFFFF" w:themeColor="background1"/>
                      <w:sz w:val="15"/>
                      <w:lang w:val="en-US"/>
                    </w:rPr>
                    <w:t xml:space="preserve"> </w:t>
                  </w:r>
                  <w:r>
                    <w:rPr>
                      <w:b/>
                      <w:bCs/>
                      <w:color w:val="FFFFFF" w:themeColor="background1"/>
                      <w:sz w:val="15"/>
                      <w:lang w:val="en-US"/>
                    </w:rPr>
                    <w:t>3</w:t>
                  </w:r>
                </w:p>
              </w:txbxContent>
            </v:textbox>
          </v:roundrect>
        </w:pict>
      </w:r>
      <w:r>
        <w:rPr>
          <w:noProof/>
          <w:lang w:val="en-US" w:eastAsia="zh-CN"/>
        </w:rPr>
        <w:pict>
          <v:roundrect id="_x0000_s1055" style="position:absolute;left:0;text-align:left;margin-left:334.35pt;margin-top:83.1pt;width:41.7pt;height:14.65pt;z-index:251685376" arcsize="10923f" fillcolor="black [3213]" strokecolor="black [3213]">
            <v:textbox style="mso-next-textbox:#_x0000_s1055" inset=".5mm,.3mm,.5mm,.3mm">
              <w:txbxContent>
                <w:p w:rsidR="00C954D9" w:rsidRPr="00CF4052" w:rsidRDefault="00C954D9" w:rsidP="0015228D">
                  <w:pPr>
                    <w:shd w:val="clear" w:color="auto" w:fill="000000" w:themeFill="text1"/>
                    <w:spacing w:before="0"/>
                    <w:jc w:val="center"/>
                    <w:rPr>
                      <w:b/>
                      <w:bCs/>
                      <w:color w:val="FFFFFF" w:themeColor="background1"/>
                      <w:sz w:val="15"/>
                      <w:lang w:val="en-US"/>
                    </w:rPr>
                  </w:pPr>
                  <w:proofErr w:type="spellStart"/>
                  <w:r w:rsidRPr="00CF4052">
                    <w:rPr>
                      <w:b/>
                      <w:bCs/>
                      <w:color w:val="FFFFFF" w:themeColor="background1"/>
                      <w:sz w:val="15"/>
                      <w:lang w:val="en-US"/>
                    </w:rPr>
                    <w:t>Etape</w:t>
                  </w:r>
                  <w:proofErr w:type="spellEnd"/>
                  <w:r w:rsidRPr="00CF4052">
                    <w:rPr>
                      <w:b/>
                      <w:bCs/>
                      <w:color w:val="FFFFFF" w:themeColor="background1"/>
                      <w:sz w:val="15"/>
                      <w:lang w:val="en-US"/>
                    </w:rPr>
                    <w:t xml:space="preserve"> 1</w:t>
                  </w:r>
                </w:p>
              </w:txbxContent>
            </v:textbox>
          </v:roundrect>
        </w:pict>
      </w:r>
      <w:r>
        <w:rPr>
          <w:noProof/>
          <w:lang w:val="en-US" w:eastAsia="zh-CN"/>
        </w:rPr>
        <w:pict>
          <v:shape id="_x0000_s1054" type="#_x0000_t202" style="position:absolute;left:0;text-align:left;margin-left:331.9pt;margin-top:137.9pt;width:102.25pt;height:22.55pt;z-index:251684352" fillcolor="white [3212]" stroked="f">
            <v:textbox style="mso-next-textbox:#_x0000_s1054" inset=".5mm,.3mm,.5mm,.3mm">
              <w:txbxContent>
                <w:p w:rsidR="00C954D9" w:rsidRPr="00506DA3" w:rsidRDefault="00C954D9" w:rsidP="00506DA3">
                  <w:pPr>
                    <w:spacing w:before="0"/>
                    <w:jc w:val="left"/>
                    <w:rPr>
                      <w:color w:val="FF0000"/>
                      <w:sz w:val="15"/>
                      <w:lang w:val="en-US"/>
                    </w:rPr>
                  </w:pPr>
                  <w:proofErr w:type="spellStart"/>
                  <w:r w:rsidRPr="00506DA3">
                    <w:rPr>
                      <w:color w:val="FF0000"/>
                      <w:sz w:val="15"/>
                      <w:lang w:val="en-US"/>
                    </w:rPr>
                    <w:t>Contacter</w:t>
                  </w:r>
                  <w:proofErr w:type="spellEnd"/>
                  <w:r w:rsidRPr="00506DA3">
                    <w:rPr>
                      <w:color w:val="FF0000"/>
                      <w:sz w:val="15"/>
                      <w:lang w:val="en-US"/>
                    </w:rPr>
                    <w:t xml:space="preserve"> le </w:t>
                  </w:r>
                  <w:proofErr w:type="spellStart"/>
                  <w:r w:rsidRPr="00506DA3">
                    <w:rPr>
                      <w:color w:val="FF0000"/>
                      <w:sz w:val="15"/>
                      <w:lang w:val="en-US"/>
                    </w:rPr>
                    <w:t>fournisseur</w:t>
                  </w:r>
                  <w:proofErr w:type="spellEnd"/>
                  <w:r w:rsidRPr="00506DA3">
                    <w:rPr>
                      <w:color w:val="FF0000"/>
                      <w:sz w:val="15"/>
                      <w:lang w:val="en-US"/>
                    </w:rPr>
                    <w:t xml:space="preserve"> de services en </w:t>
                  </w:r>
                  <w:proofErr w:type="spellStart"/>
                  <w:r w:rsidRPr="00506DA3">
                    <w:rPr>
                      <w:color w:val="FF0000"/>
                      <w:sz w:val="15"/>
                      <w:lang w:val="en-US"/>
                    </w:rPr>
                    <w:t>vue</w:t>
                  </w:r>
                  <w:proofErr w:type="spellEnd"/>
                  <w:r w:rsidRPr="00506DA3">
                    <w:rPr>
                      <w:color w:val="FF0000"/>
                      <w:sz w:val="15"/>
                      <w:lang w:val="en-US"/>
                    </w:rPr>
                    <w:t xml:space="preserve"> </w:t>
                  </w:r>
                  <w:proofErr w:type="spellStart"/>
                  <w:r w:rsidRPr="00506DA3">
                    <w:rPr>
                      <w:color w:val="FF0000"/>
                      <w:sz w:val="15"/>
                      <w:lang w:val="en-US"/>
                    </w:rPr>
                    <w:t>d’une</w:t>
                  </w:r>
                  <w:proofErr w:type="spellEnd"/>
                  <w:r w:rsidRPr="00506DA3">
                    <w:rPr>
                      <w:color w:val="FF0000"/>
                      <w:sz w:val="15"/>
                      <w:lang w:val="en-US"/>
                    </w:rPr>
                    <w:t xml:space="preserve"> </w:t>
                  </w:r>
                  <w:proofErr w:type="spellStart"/>
                  <w:r w:rsidRPr="00506DA3">
                    <w:rPr>
                      <w:color w:val="FF0000"/>
                      <w:sz w:val="15"/>
                      <w:lang w:val="en-US"/>
                    </w:rPr>
                    <w:t>résolution</w:t>
                  </w:r>
                  <w:proofErr w:type="spellEnd"/>
                </w:p>
              </w:txbxContent>
            </v:textbox>
          </v:shape>
        </w:pict>
      </w:r>
      <w:r>
        <w:rPr>
          <w:noProof/>
          <w:lang w:val="en-US" w:eastAsia="zh-CN"/>
        </w:rPr>
        <w:pict>
          <v:shape id="_x0000_s1053" type="#_x0000_t202" style="position:absolute;left:0;text-align:left;margin-left:331.9pt;margin-top:99.5pt;width:102.25pt;height:36.35pt;z-index:251683328" fillcolor="white [3212]" stroked="f">
            <v:textbox inset=".5mm,.3mm,.5mm,.3mm">
              <w:txbxContent>
                <w:p w:rsidR="00C954D9" w:rsidRPr="00506DA3" w:rsidRDefault="00C954D9" w:rsidP="00506DA3">
                  <w:pPr>
                    <w:spacing w:before="0"/>
                    <w:jc w:val="left"/>
                    <w:rPr>
                      <w:sz w:val="15"/>
                      <w:lang w:val="en-US"/>
                    </w:rPr>
                  </w:pPr>
                  <w:proofErr w:type="spellStart"/>
                  <w:r w:rsidRPr="00506DA3">
                    <w:rPr>
                      <w:sz w:val="15"/>
                      <w:lang w:val="en-US"/>
                    </w:rPr>
                    <w:t>Problèmes</w:t>
                  </w:r>
                  <w:proofErr w:type="spellEnd"/>
                  <w:r w:rsidRPr="00506DA3">
                    <w:rPr>
                      <w:sz w:val="15"/>
                      <w:lang w:val="en-US"/>
                    </w:rPr>
                    <w:t xml:space="preserve"> </w:t>
                  </w:r>
                  <w:proofErr w:type="spellStart"/>
                  <w:r w:rsidRPr="00506DA3">
                    <w:rPr>
                      <w:color w:val="548DD4" w:themeColor="text2" w:themeTint="99"/>
                      <w:sz w:val="15"/>
                      <w:lang w:val="en-US"/>
                    </w:rPr>
                    <w:t>concernant</w:t>
                  </w:r>
                  <w:proofErr w:type="spellEnd"/>
                  <w:r w:rsidRPr="00506DA3">
                    <w:rPr>
                      <w:color w:val="548DD4" w:themeColor="text2" w:themeTint="99"/>
                      <w:sz w:val="15"/>
                      <w:lang w:val="en-US"/>
                    </w:rPr>
                    <w:t xml:space="preserve"> des services de </w:t>
                  </w:r>
                  <w:proofErr w:type="spellStart"/>
                  <w:r w:rsidRPr="00506DA3">
                    <w:rPr>
                      <w:color w:val="548DD4" w:themeColor="text2" w:themeTint="99"/>
                      <w:sz w:val="15"/>
                      <w:lang w:val="en-US"/>
                    </w:rPr>
                    <w:t>télécommunication</w:t>
                  </w:r>
                  <w:proofErr w:type="spellEnd"/>
                  <w:r w:rsidRPr="00506DA3">
                    <w:rPr>
                      <w:color w:val="548DD4" w:themeColor="text2" w:themeTint="99"/>
                      <w:sz w:val="15"/>
                      <w:lang w:val="en-US"/>
                    </w:rPr>
                    <w:t>/</w:t>
                  </w:r>
                  <w:proofErr w:type="spellStart"/>
                  <w:r w:rsidRPr="00506DA3">
                    <w:rPr>
                      <w:color w:val="548DD4" w:themeColor="text2" w:themeTint="99"/>
                      <w:sz w:val="15"/>
                      <w:lang w:val="en-US"/>
                    </w:rPr>
                    <w:t>postaux</w:t>
                  </w:r>
                  <w:proofErr w:type="spellEnd"/>
                  <w:r w:rsidRPr="00506DA3">
                    <w:rPr>
                      <w:color w:val="548DD4" w:themeColor="text2" w:themeTint="99"/>
                      <w:sz w:val="15"/>
                      <w:lang w:val="en-US"/>
                    </w:rPr>
                    <w:t>/</w:t>
                  </w:r>
                  <w:r>
                    <w:rPr>
                      <w:color w:val="548DD4" w:themeColor="text2" w:themeTint="99"/>
                      <w:sz w:val="15"/>
                      <w:lang w:val="en-US"/>
                    </w:rPr>
                    <w:t xml:space="preserve"> I</w:t>
                  </w:r>
                  <w:r w:rsidRPr="00506DA3">
                    <w:rPr>
                      <w:color w:val="548DD4" w:themeColor="text2" w:themeTint="99"/>
                      <w:sz w:val="15"/>
                      <w:lang w:val="en-US"/>
                    </w:rPr>
                    <w:t xml:space="preserve">nternet/de </w:t>
                  </w:r>
                  <w:proofErr w:type="spellStart"/>
                  <w:r w:rsidRPr="00506DA3">
                    <w:rPr>
                      <w:color w:val="548DD4" w:themeColor="text2" w:themeTint="99"/>
                      <w:sz w:val="15"/>
                      <w:lang w:val="en-US"/>
                    </w:rPr>
                    <w:t>radiodiffusion</w:t>
                  </w:r>
                  <w:proofErr w:type="spellEnd"/>
                  <w:r w:rsidRPr="00506DA3">
                    <w:rPr>
                      <w:color w:val="548DD4" w:themeColor="text2" w:themeTint="99"/>
                      <w:sz w:val="15"/>
                      <w:lang w:val="en-US"/>
                    </w:rPr>
                    <w:t>?</w:t>
                  </w:r>
                </w:p>
              </w:txbxContent>
            </v:textbox>
          </v:shape>
        </w:pict>
      </w:r>
      <w:r>
        <w:rPr>
          <w:noProof/>
          <w:lang w:val="en-US" w:eastAsia="zh-CN"/>
        </w:rPr>
        <w:pict>
          <v:shape id="_x0000_s1052" type="#_x0000_t202" style="position:absolute;left:0;text-align:left;margin-left:185.55pt;margin-top:12.15pt;width:76.3pt;height:29.95pt;z-index:251682304" fillcolor="white [3212]" stroked="f">
            <v:textbox inset=".5mm,.3mm,.5mm,.3mm">
              <w:txbxContent>
                <w:p w:rsidR="00C954D9" w:rsidRPr="00FD22F2" w:rsidRDefault="00C954D9" w:rsidP="00FD22F2">
                  <w:pPr>
                    <w:spacing w:before="0"/>
                    <w:jc w:val="center"/>
                    <w:rPr>
                      <w:sz w:val="16"/>
                      <w:lang w:val="en-US"/>
                    </w:rPr>
                  </w:pPr>
                  <w:proofErr w:type="spellStart"/>
                  <w:r>
                    <w:rPr>
                      <w:sz w:val="16"/>
                      <w:lang w:val="en-US"/>
                    </w:rPr>
                    <w:t>Consommateur</w:t>
                  </w:r>
                  <w:proofErr w:type="spellEnd"/>
                  <w:r>
                    <w:rPr>
                      <w:sz w:val="16"/>
                      <w:lang w:val="en-US"/>
                    </w:rPr>
                    <w:br/>
                  </w:r>
                  <w:proofErr w:type="spellStart"/>
                  <w:r>
                    <w:rPr>
                      <w:sz w:val="16"/>
                      <w:lang w:val="en-US"/>
                    </w:rPr>
                    <w:t>Problème</w:t>
                  </w:r>
                  <w:proofErr w:type="spellEnd"/>
                  <w:r>
                    <w:rPr>
                      <w:sz w:val="16"/>
                      <w:lang w:val="en-US"/>
                    </w:rPr>
                    <w:t>/</w:t>
                  </w:r>
                  <w:proofErr w:type="spellStart"/>
                  <w:r>
                    <w:rPr>
                      <w:sz w:val="16"/>
                      <w:lang w:val="en-US"/>
                    </w:rPr>
                    <w:t>Litige</w:t>
                  </w:r>
                  <w:proofErr w:type="spellEnd"/>
                  <w:r>
                    <w:rPr>
                      <w:sz w:val="16"/>
                      <w:lang w:val="en-US"/>
                    </w:rPr>
                    <w:br/>
                  </w:r>
                  <w:proofErr w:type="spellStart"/>
                  <w:r>
                    <w:rPr>
                      <w:sz w:val="16"/>
                      <w:lang w:val="en-US"/>
                    </w:rPr>
                    <w:t>Réclamation</w:t>
                  </w:r>
                  <w:proofErr w:type="spellEnd"/>
                </w:p>
              </w:txbxContent>
            </v:textbox>
          </v:shape>
        </w:pict>
      </w:r>
      <w:r w:rsidR="003B5731" w:rsidRPr="003F265B">
        <w:rPr>
          <w:noProof/>
          <w:lang w:val="en-US" w:eastAsia="zh-CN"/>
        </w:rPr>
        <w:drawing>
          <wp:inline distT="0" distB="0" distL="0" distR="0">
            <wp:extent cx="5265058" cy="3924795"/>
            <wp:effectExtent l="19050" t="0" r="0" b="0"/>
            <wp:docPr id="17" name="Picture 7"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3"/>
                    <pic:cNvPicPr>
                      <a:picLocks noChangeAspect="1" noChangeArrowheads="1"/>
                    </pic:cNvPicPr>
                  </pic:nvPicPr>
                  <pic:blipFill>
                    <a:blip r:embed="rId29" cstate="print"/>
                    <a:srcRect/>
                    <a:stretch>
                      <a:fillRect/>
                    </a:stretch>
                  </pic:blipFill>
                  <pic:spPr bwMode="auto">
                    <a:xfrm>
                      <a:off x="0" y="0"/>
                      <a:ext cx="5265420" cy="3925065"/>
                    </a:xfrm>
                    <a:prstGeom prst="rect">
                      <a:avLst/>
                    </a:prstGeom>
                    <a:noFill/>
                    <a:ln w="9525">
                      <a:noFill/>
                      <a:miter lim="800000"/>
                      <a:headEnd/>
                      <a:tailEnd/>
                    </a:ln>
                  </pic:spPr>
                </pic:pic>
              </a:graphicData>
            </a:graphic>
          </wp:inline>
        </w:drawing>
      </w:r>
    </w:p>
    <w:p w:rsidR="002A0E0E" w:rsidRPr="00514D18" w:rsidRDefault="00514D18" w:rsidP="00514D18">
      <w:pPr>
        <w:pStyle w:val="figuresource"/>
      </w:pPr>
      <w:r w:rsidRPr="00F26CC3">
        <w:rPr>
          <w:lang w:val="fr-FR"/>
        </w:rPr>
        <w:t xml:space="preserve">Source: Commission </w:t>
      </w:r>
      <w:proofErr w:type="spellStart"/>
      <w:r w:rsidRPr="00F26CC3">
        <w:rPr>
          <w:lang w:val="fr-FR"/>
        </w:rPr>
        <w:t>malaisienne</w:t>
      </w:r>
      <w:proofErr w:type="spellEnd"/>
      <w:r w:rsidRPr="00F26CC3">
        <w:rPr>
          <w:lang w:val="fr-FR"/>
        </w:rPr>
        <w:t xml:space="preserve"> des communications et des multimédias </w:t>
      </w:r>
      <w:r>
        <w:rPr>
          <w:lang w:val="fr-FR"/>
        </w:rPr>
        <w:br/>
      </w:r>
      <w:r w:rsidRPr="00F26CC3">
        <w:rPr>
          <w:lang w:val="fr-FR"/>
        </w:rPr>
        <w:t>(</w:t>
      </w:r>
      <w:r w:rsidRPr="00F26CC3">
        <w:rPr>
          <w:u w:val="single"/>
          <w:lang w:val="fr-FR"/>
        </w:rPr>
        <w:t xml:space="preserve">site web: </w:t>
      </w:r>
      <w:hyperlink r:id="rId30" w:history="1">
        <w:r w:rsidRPr="00514D18">
          <w:rPr>
            <w:rStyle w:val="Hyperlink"/>
            <w:sz w:val="20"/>
            <w:szCs w:val="20"/>
            <w:lang w:val="fr-FR"/>
          </w:rPr>
          <w:t>www1.skmm.gov.my/?lang=en-US</w:t>
        </w:r>
      </w:hyperlink>
      <w:r w:rsidRPr="00514D18">
        <w:rPr>
          <w:u w:val="single"/>
          <w:lang w:val="fr-FR"/>
        </w:rPr>
        <w:t>)</w:t>
      </w:r>
    </w:p>
    <w:p w:rsidR="005017B2" w:rsidRPr="003F265B" w:rsidRDefault="005017B2" w:rsidP="000C1205">
      <w:pPr>
        <w:rPr>
          <w:lang w:val="en-GB"/>
        </w:rPr>
      </w:pPr>
    </w:p>
    <w:p w:rsidR="000A6F6F" w:rsidRPr="003F265B" w:rsidRDefault="00514D18" w:rsidP="00514D18">
      <w:pPr>
        <w:rPr>
          <w:lang w:val="en-GB"/>
        </w:rPr>
      </w:pPr>
      <w:r w:rsidRPr="00134353">
        <w:t>En Arabie saoudite, la Commission des technologies de l'information et de la communication (CITC) impose aux fournisseurs de services d'établir une unité commerciale distincte chargée de traiter les réclamations des consommateurs. Elle joue également un rôle direct dans le processus de traitement des réclamations en examinant les procédures des fournisseurs en la matière, et prévoit un processus de règlement des différends pour le cas où un client et son fournisseur ne sont pas parvenus à résoudre un différend par eux-mêmes.</w:t>
      </w:r>
    </w:p>
    <w:p w:rsidR="000A6F6F" w:rsidRPr="003F265B" w:rsidRDefault="00514D18" w:rsidP="000A6F6F">
      <w:pPr>
        <w:rPr>
          <w:i/>
          <w:lang w:val="en-GB"/>
        </w:rPr>
      </w:pPr>
      <w:r w:rsidRPr="00134353">
        <w:rPr>
          <w:i/>
          <w:sz w:val="22"/>
        </w:rPr>
        <w:t>Amélioration de la situation transfrontière</w:t>
      </w:r>
    </w:p>
    <w:p w:rsidR="00514D18" w:rsidRPr="00134353" w:rsidRDefault="00514D18" w:rsidP="00514D18">
      <w:r w:rsidRPr="00134353">
        <w:t>Bien que des mécanismes de règlement extrajudiciaire des différends (RED) propres au secteur soient couramment utilisés dans l'Union européenne, un certain nombre d'insuffisances nuisent à leur efficacité: lacunes dans le champ d'application, manque de sensibilisation des consommateurs et des entreprises et qualité inégale des procédures. Il est important de remédier à ce type d'insuffisance alors que les consommateurs effectuent des transactions transfrontières dans un environnement numérique.</w:t>
      </w:r>
    </w:p>
    <w:p w:rsidR="00514D18" w:rsidRPr="00134353" w:rsidRDefault="00514D18" w:rsidP="00514D18">
      <w:r w:rsidRPr="00134353">
        <w:t>Dans le cadre de la nouvelle législation proposée, tous les Etats Membres seront tenus de mettre à la disposition des consommateurs et des vendeurs des mécanismes RED de qualité visant à régler les différends portant sur la vente de biens et la fourniture de services, notamment par l'intermédiaire de moyens en ligne. Il est possible d'y parvenir en utilisant les mécanismes RED existants, quitte à en ajuster la portée, ou en créant de nouvelles entités RED. Chaque Etat Membre devra faire en sorte qu'une autorité compétente s'occupe du suivi des mécanismes, et des garanties strictes s'appliqueront en matière de confidentialité et de protection des données.</w:t>
      </w:r>
    </w:p>
    <w:p w:rsidR="000A6F6F" w:rsidRPr="003F265B" w:rsidRDefault="00514D18" w:rsidP="00514D18">
      <w:pPr>
        <w:rPr>
          <w:lang w:val="en-GB"/>
        </w:rPr>
      </w:pPr>
      <w:r w:rsidRPr="00134353">
        <w:lastRenderedPageBreak/>
        <w:t>Les entités responsables des mécanismes seront encouragées à rejoindre des réseaux d'entités RED dans des domaines propres au secteur et à coopérer avec les autorités nationales chargées de faire appliquer la législation relative à la protection des consommateurs</w:t>
      </w:r>
      <w:r w:rsidRPr="00134353">
        <w:rPr>
          <w:vertAlign w:val="superscript"/>
        </w:rPr>
        <w:footnoteReference w:id="40"/>
      </w:r>
      <w:r w:rsidRPr="00134353">
        <w:t>.</w:t>
      </w:r>
      <w:r w:rsidR="000A6F6F" w:rsidRPr="003F265B">
        <w:rPr>
          <w:lang w:val="en-GB"/>
        </w:rPr>
        <w:t xml:space="preserve"> </w:t>
      </w:r>
    </w:p>
    <w:p w:rsidR="000A6F6F" w:rsidRPr="00514D18" w:rsidRDefault="00514D18" w:rsidP="00514D18">
      <w:pPr>
        <w:pStyle w:val="Heading1"/>
      </w:pPr>
      <w:bookmarkStart w:id="42" w:name="_Toc354053102"/>
      <w:bookmarkStart w:id="43" w:name="_Toc367349746"/>
      <w:r w:rsidRPr="00134353">
        <w:t xml:space="preserve">Section 4: </w:t>
      </w:r>
      <w:proofErr w:type="spellStart"/>
      <w:r w:rsidRPr="00134353">
        <w:t>Quelles</w:t>
      </w:r>
      <w:proofErr w:type="spellEnd"/>
      <w:r w:rsidRPr="00134353">
        <w:t xml:space="preserve"> </w:t>
      </w:r>
      <w:proofErr w:type="spellStart"/>
      <w:r w:rsidRPr="00134353">
        <w:t>sont</w:t>
      </w:r>
      <w:proofErr w:type="spellEnd"/>
      <w:r w:rsidRPr="00134353">
        <w:t xml:space="preserve"> les </w:t>
      </w:r>
      <w:proofErr w:type="spellStart"/>
      <w:r w:rsidRPr="00134353">
        <w:t>méthodes</w:t>
      </w:r>
      <w:proofErr w:type="spellEnd"/>
      <w:r w:rsidRPr="00134353">
        <w:t xml:space="preserve"> </w:t>
      </w:r>
      <w:proofErr w:type="spellStart"/>
      <w:r w:rsidRPr="00134353">
        <w:t>organisationnelles</w:t>
      </w:r>
      <w:proofErr w:type="spellEnd"/>
      <w:r w:rsidRPr="00134353">
        <w:t xml:space="preserve"> </w:t>
      </w:r>
      <w:proofErr w:type="gramStart"/>
      <w:r w:rsidRPr="00134353">
        <w:t>et</w:t>
      </w:r>
      <w:proofErr w:type="gramEnd"/>
      <w:r w:rsidRPr="00134353">
        <w:t xml:space="preserve"> les </w:t>
      </w:r>
      <w:proofErr w:type="spellStart"/>
      <w:r w:rsidRPr="00134353">
        <w:t>pratiques</w:t>
      </w:r>
      <w:proofErr w:type="spellEnd"/>
      <w:r w:rsidRPr="00134353">
        <w:t xml:space="preserve"> </w:t>
      </w:r>
      <w:proofErr w:type="spellStart"/>
      <w:r w:rsidRPr="00134353">
        <w:t>efficaces</w:t>
      </w:r>
      <w:proofErr w:type="spellEnd"/>
      <w:r w:rsidRPr="00134353">
        <w:t xml:space="preserve"> </w:t>
      </w:r>
      <w:proofErr w:type="spellStart"/>
      <w:r w:rsidRPr="00134353">
        <w:t>utilisées</w:t>
      </w:r>
      <w:proofErr w:type="spellEnd"/>
      <w:r w:rsidRPr="00134353">
        <w:t xml:space="preserve"> par les </w:t>
      </w:r>
      <w:proofErr w:type="spellStart"/>
      <w:r w:rsidRPr="00134353">
        <w:t>Autorités</w:t>
      </w:r>
      <w:proofErr w:type="spellEnd"/>
      <w:r w:rsidRPr="00134353">
        <w:t xml:space="preserve"> </w:t>
      </w:r>
      <w:proofErr w:type="spellStart"/>
      <w:r w:rsidRPr="00134353">
        <w:t>nationales</w:t>
      </w:r>
      <w:proofErr w:type="spellEnd"/>
      <w:r w:rsidRPr="00134353">
        <w:t xml:space="preserve"> de </w:t>
      </w:r>
      <w:proofErr w:type="spellStart"/>
      <w:r w:rsidRPr="00134353">
        <w:t>régulation</w:t>
      </w:r>
      <w:proofErr w:type="spellEnd"/>
      <w:r w:rsidRPr="00134353">
        <w:t xml:space="preserve"> pour faire </w:t>
      </w:r>
      <w:proofErr w:type="spellStart"/>
      <w:r w:rsidRPr="00134353">
        <w:t>appliquer</w:t>
      </w:r>
      <w:proofErr w:type="spellEnd"/>
      <w:r w:rsidRPr="00134353">
        <w:t xml:space="preserve"> </w:t>
      </w:r>
      <w:proofErr w:type="spellStart"/>
      <w:r w:rsidRPr="00134353">
        <w:t>leurs</w:t>
      </w:r>
      <w:proofErr w:type="spellEnd"/>
      <w:r w:rsidRPr="00134353">
        <w:t xml:space="preserve"> </w:t>
      </w:r>
      <w:proofErr w:type="spellStart"/>
      <w:r w:rsidRPr="00134353">
        <w:t>lois</w:t>
      </w:r>
      <w:proofErr w:type="spellEnd"/>
      <w:r w:rsidRPr="00134353">
        <w:t xml:space="preserve">, </w:t>
      </w:r>
      <w:proofErr w:type="spellStart"/>
      <w:r w:rsidRPr="00134353">
        <w:t>règles</w:t>
      </w:r>
      <w:proofErr w:type="spellEnd"/>
      <w:r w:rsidRPr="00134353">
        <w:t xml:space="preserve"> et </w:t>
      </w:r>
      <w:proofErr w:type="spellStart"/>
      <w:r w:rsidRPr="00134353">
        <w:t>règlements</w:t>
      </w:r>
      <w:proofErr w:type="spellEnd"/>
      <w:r w:rsidRPr="00134353">
        <w:t xml:space="preserve"> </w:t>
      </w:r>
      <w:proofErr w:type="spellStart"/>
      <w:r w:rsidRPr="00134353">
        <w:t>nationaux</w:t>
      </w:r>
      <w:proofErr w:type="spellEnd"/>
      <w:r w:rsidRPr="00134353">
        <w:t xml:space="preserve"> en </w:t>
      </w:r>
      <w:proofErr w:type="spellStart"/>
      <w:r w:rsidRPr="00134353">
        <w:t>matière</w:t>
      </w:r>
      <w:proofErr w:type="spellEnd"/>
      <w:r w:rsidRPr="00134353">
        <w:t xml:space="preserve"> de protection des </w:t>
      </w:r>
      <w:proofErr w:type="spellStart"/>
      <w:r w:rsidRPr="00134353">
        <w:t>consommateurs</w:t>
      </w:r>
      <w:proofErr w:type="spellEnd"/>
      <w:r w:rsidRPr="00134353">
        <w:t xml:space="preserve"> </w:t>
      </w:r>
      <w:proofErr w:type="spellStart"/>
      <w:r w:rsidRPr="00134353">
        <w:t>dans</w:t>
      </w:r>
      <w:proofErr w:type="spellEnd"/>
      <w:r w:rsidRPr="00134353">
        <w:t xml:space="preserve"> un </w:t>
      </w:r>
      <w:proofErr w:type="spellStart"/>
      <w:r w:rsidRPr="00134353">
        <w:t>environnement</w:t>
      </w:r>
      <w:proofErr w:type="spellEnd"/>
      <w:r w:rsidRPr="00134353">
        <w:t xml:space="preserve"> </w:t>
      </w:r>
      <w:proofErr w:type="spellStart"/>
      <w:r w:rsidRPr="00134353">
        <w:t>issu</w:t>
      </w:r>
      <w:proofErr w:type="spellEnd"/>
      <w:r w:rsidRPr="00134353">
        <w:t xml:space="preserve"> de la convergence?</w:t>
      </w:r>
      <w:bookmarkEnd w:id="42"/>
      <w:bookmarkEnd w:id="43"/>
    </w:p>
    <w:p w:rsidR="000A6F6F" w:rsidRPr="003F265B" w:rsidRDefault="00514D18" w:rsidP="00514D18">
      <w:pPr>
        <w:rPr>
          <w:lang w:val="en-GB"/>
        </w:rPr>
      </w:pPr>
      <w:r w:rsidRPr="00134353">
        <w:t xml:space="preserve">L'application effective des politiques et réglementations nationales en matière de protection des consommateurs </w:t>
      </w:r>
      <w:proofErr w:type="gramStart"/>
      <w:r w:rsidRPr="00134353">
        <w:t>joue</w:t>
      </w:r>
      <w:proofErr w:type="gramEnd"/>
      <w:r w:rsidRPr="00134353">
        <w:t xml:space="preserve"> un rôle essentiel dans la sauvegarde de l'intérêt général et la protection des consommateurs. Comme l'indiquent les résultats de l'enquête de la Commission d'études de l'UIT, de nombreuses autorités nationales de régulation rencontrent des difficultés de mise en application dans le contexte de la convergence. Le principal écueil est lié, semble-t-il, à la nécessité d'étoffer ou d'améliorer la législation. En outre, de nombreux participants étaient confrontés à des problèmes structurels au sein des organismes de protection des consommateurs, ainsi qu'à un manque de compétence ou de personnel pour veiller à l'application de la réglementation. Un quart des participants ont évoqué un manque d'éducation des consommateurs, de même qu'un manque de sensibilisation de ces derniers à leurs droits.</w:t>
      </w:r>
    </w:p>
    <w:p w:rsidR="000A6F6F" w:rsidRPr="003F265B" w:rsidRDefault="00514D18" w:rsidP="000A6F6F">
      <w:pPr>
        <w:rPr>
          <w:i/>
          <w:lang w:val="en-GB"/>
        </w:rPr>
      </w:pPr>
      <w:r w:rsidRPr="00134353">
        <w:rPr>
          <w:i/>
          <w:sz w:val="22"/>
        </w:rPr>
        <w:t>Questions structurelles et partage des responsabilités</w:t>
      </w:r>
    </w:p>
    <w:p w:rsidR="00514D18" w:rsidRPr="00134353" w:rsidRDefault="00514D18" w:rsidP="00514D18">
      <w:r w:rsidRPr="00134353">
        <w:t xml:space="preserve">En Turquie, la responsabilité de la protection des consommateurs est répartie entre l'ICTA (Information and Communication Technologies </w:t>
      </w:r>
      <w:proofErr w:type="spellStart"/>
      <w:r w:rsidRPr="00134353">
        <w:t>Authority</w:t>
      </w:r>
      <w:proofErr w:type="spellEnd"/>
      <w:r w:rsidRPr="00134353">
        <w:t xml:space="preserve">, </w:t>
      </w:r>
      <w:hyperlink r:id="rId31" w:history="1">
        <w:r w:rsidRPr="00134353">
          <w:rPr>
            <w:rStyle w:val="Hyperlink"/>
            <w:sz w:val="22"/>
          </w:rPr>
          <w:t>www.btk.gov.tr</w:t>
        </w:r>
      </w:hyperlink>
      <w:r w:rsidRPr="00134353">
        <w:t>), dont une section est dédiée à la protection des consommateurs, et la Direction générale de la Protection des consommateurs et de la concurrence (</w:t>
      </w:r>
      <w:hyperlink r:id="rId32" w:history="1">
        <w:r w:rsidRPr="00134353">
          <w:rPr>
            <w:rStyle w:val="Hyperlink"/>
            <w:sz w:val="22"/>
          </w:rPr>
          <w:t>www.tuketici.gov.tr</w:t>
        </w:r>
      </w:hyperlink>
      <w:r w:rsidRPr="00134353">
        <w:t xml:space="preserve">), qui fait partie du Ministère turque des </w:t>
      </w:r>
      <w:r>
        <w:t>d</w:t>
      </w:r>
      <w:r w:rsidRPr="00134353">
        <w:t xml:space="preserve">ouanes et du </w:t>
      </w:r>
      <w:r>
        <w:t>c</w:t>
      </w:r>
      <w:r w:rsidRPr="00134353">
        <w:t>ommerce. Les responsabilités sont clairement réparties entre les deux organismes, qui ont approuvé formellement les principes régissant la répartition des tâches. Par exemple, si la réclamation d'un consommateur à propos des services de télécommunication est envoyée à la Direction générale de la protection des consommateurs et de la concurrence, cette réclamation est transmise à l'ICTA, si nécessaire.</w:t>
      </w:r>
    </w:p>
    <w:p w:rsidR="00514D18" w:rsidRPr="00134353" w:rsidRDefault="00514D18" w:rsidP="00514D18">
      <w:pPr>
        <w:rPr>
          <w:rFonts w:cs="Calibri"/>
        </w:rPr>
      </w:pPr>
      <w:r w:rsidRPr="00134353">
        <w:t xml:space="preserve">Bien que les deux régulateurs fassent état du bon fonctionnement de ce système, le Türk Telekom Group a rendu compte à la Commission d'études d'un certain nombre de difficultés liées à la réglementation des services issus de la convergence: </w:t>
      </w:r>
      <w:r w:rsidRPr="00134353">
        <w:rPr>
          <w:rFonts w:cs="Calibri"/>
        </w:rPr>
        <w:t>"</w:t>
      </w:r>
      <w:r w:rsidRPr="00134353">
        <w:t>conflit et confusion entre les différentes autorités, incidences de la convergence sur la concurrence, difficultés à analyser les services issus de la convergence dans le cadre des règlements et des règles, et efforts visant à prévenir les incidences négatives de la réglementation sur le développement et l'amélioration des services issus de la convergence</w:t>
      </w:r>
      <w:r w:rsidRPr="00134353">
        <w:rPr>
          <w:rFonts w:cs="Calibri"/>
        </w:rPr>
        <w:t>"</w:t>
      </w:r>
      <w:r w:rsidRPr="00134353">
        <w:t>.</w:t>
      </w:r>
    </w:p>
    <w:p w:rsidR="00514D18" w:rsidRPr="00134353" w:rsidRDefault="00514D18" w:rsidP="00514D18">
      <w:r w:rsidRPr="00134353">
        <w:t xml:space="preserve">En Chine, où le Conseil des affaires de l'Etat a fixé l'objectif de 2013 pour achever la convergence des services médias et de télécommunication, les deux régulateurs concernés, à savoir le Ministère de l'Industrie et des Technologies de l'information (MIIT) et l'Administration d'Etat de la </w:t>
      </w:r>
      <w:r>
        <w:t>r</w:t>
      </w:r>
      <w:r w:rsidRPr="00134353">
        <w:t xml:space="preserve">adiodiffusion, du </w:t>
      </w:r>
      <w:r>
        <w:t>ci</w:t>
      </w:r>
      <w:r w:rsidRPr="00134353">
        <w:t xml:space="preserve">néma et de la </w:t>
      </w:r>
      <w:r>
        <w:t>t</w:t>
      </w:r>
      <w:r w:rsidRPr="00134353">
        <w:t>élévision (SARFT), adoptent des approches différentes en matière de réglementation. La censure des contenus demeure sous le contrôle des radiodiffuseurs et de la SARFT, qui semble avoir causé des difficultés aux fournisseurs de services de télécommunication souhaitant étendre leurs services de TVIP et leurs services mobiles. Jusqu'à présent, l'adoption des services de TVIP et de TV sur mobile a été relativement faible dans le pays, au regard de l'énorme potentiel que représente la base des abonnés aux services fixes à large bande et aux services mobiles 3G.</w:t>
      </w:r>
    </w:p>
    <w:p w:rsidR="000A6F6F" w:rsidRPr="003F265B" w:rsidRDefault="00514D18" w:rsidP="000E2DA8">
      <w:pPr>
        <w:keepNext/>
        <w:keepLines/>
        <w:rPr>
          <w:lang w:val="en-GB"/>
        </w:rPr>
      </w:pPr>
      <w:r w:rsidRPr="00134353">
        <w:lastRenderedPageBreak/>
        <w:t xml:space="preserve">La situation diffère en République de Corée, où le régulateur de la radiodiffusion et le Ministère des </w:t>
      </w:r>
      <w:r>
        <w:t>t</w:t>
      </w:r>
      <w:r w:rsidRPr="00134353">
        <w:t>élécommunications ont convenu en 2006 (après maints débats) d'exercer une autorité conjointe sur les services de TVIP. Depuis cet accord, le nombre d'abonnés à la TVIP a connu une croissance rapide, pour atteindre 1 687 833 en janvier 2013, selon les opérateurs de TVIP, soit une hausse de 34 000 au cours du second semestre de 2012, due principalement à l'augmentation rapide du nombre de consommateurs utilisant les services en temps réel</w:t>
      </w:r>
      <w:r w:rsidRPr="00134353">
        <w:rPr>
          <w:vertAlign w:val="superscript"/>
        </w:rPr>
        <w:footnoteReference w:id="41"/>
      </w:r>
      <w:r w:rsidRPr="00134353">
        <w:t>.</w:t>
      </w:r>
    </w:p>
    <w:p w:rsidR="000A6F6F" w:rsidRPr="003F265B" w:rsidRDefault="001A0EBC" w:rsidP="000A6F6F">
      <w:pPr>
        <w:rPr>
          <w:lang w:val="en-GB"/>
        </w:rPr>
      </w:pPr>
      <w:r w:rsidRPr="00134353">
        <w:rPr>
          <w:i/>
          <w:sz w:val="22"/>
        </w:rPr>
        <w:t>Nécessité de garantir des ressources suffisantes pour l'application de la réglementation et l'éducation et la sensibilisation des consommateurs</w:t>
      </w:r>
    </w:p>
    <w:p w:rsidR="001A0EBC" w:rsidRPr="00134353" w:rsidRDefault="001A0EBC" w:rsidP="001A0EBC">
      <w:r w:rsidRPr="00134353">
        <w:t>En Colombie, la réglementation relative à la protection des consommateurs relève des compétences de la Commission de régulation des communications (</w:t>
      </w:r>
      <w:proofErr w:type="spellStart"/>
      <w:r w:rsidRPr="00134353">
        <w:t>Comisión</w:t>
      </w:r>
      <w:proofErr w:type="spellEnd"/>
      <w:r w:rsidRPr="00134353">
        <w:t xml:space="preserve"> de </w:t>
      </w:r>
      <w:proofErr w:type="spellStart"/>
      <w:r w:rsidRPr="00134353">
        <w:t>Regulación</w:t>
      </w:r>
      <w:proofErr w:type="spellEnd"/>
      <w:r w:rsidRPr="00134353">
        <w:t xml:space="preserve"> de </w:t>
      </w:r>
      <w:proofErr w:type="spellStart"/>
      <w:r w:rsidRPr="00134353">
        <w:t>Comunicaciones</w:t>
      </w:r>
      <w:proofErr w:type="spellEnd"/>
      <w:r w:rsidRPr="00134353">
        <w:t>, CRC). Une mise à jour spécifique de la législation relative à la protection des consommateurs a eu lieu afin que les services issus de la convergence y soient pris en compte</w:t>
      </w:r>
      <w:r w:rsidRPr="00134353">
        <w:rPr>
          <w:vertAlign w:val="superscript"/>
        </w:rPr>
        <w:footnoteReference w:id="42"/>
      </w:r>
      <w:r w:rsidRPr="00134353">
        <w:t>. Dans la Résolution 3066 sont définies des règles spécifiques à la vente de services groupés, ainsi que des bonnes pratiques en matière de communication avec les utilisateurs au moyen de services spécialisés, de lignes de téléassistance, des réseaux sociaux et de l'envoi de SMS. Toutefois, pour réussir à mettre en œuvre ces modifications, la CRC aura besoin de ressources suffisantes, autant pour veiller à l'application de la réglementation, que pour assurer l'éducation des consommateurs et mener des campagnes d'information</w:t>
      </w:r>
      <w:r w:rsidRPr="00134353">
        <w:rPr>
          <w:vertAlign w:val="superscript"/>
        </w:rPr>
        <w:footnoteReference w:id="43"/>
      </w:r>
      <w:r w:rsidRPr="00134353">
        <w:t>.</w:t>
      </w:r>
    </w:p>
    <w:p w:rsidR="001A0EBC" w:rsidRPr="00134353" w:rsidRDefault="001A0EBC" w:rsidP="001A0EBC">
      <w:r w:rsidRPr="00134353">
        <w:t>Au Royaume-Uni, les pouvoirs publics ont proposé des mesures législatives visant à instaurer une nouvelle Déclaration des droits des consommateurs</w:t>
      </w:r>
      <w:r w:rsidRPr="00134353">
        <w:rPr>
          <w:vertAlign w:val="superscript"/>
        </w:rPr>
        <w:footnoteReference w:id="44"/>
      </w:r>
      <w:r w:rsidRPr="00134353">
        <w:t xml:space="preserve">. L'objectif est d'élaborer un nouveau cadre qui permettra de réduire les contraintes réglementaires qui pèsent sur les entreprises (en remplaçant les 12 textes de loi actuels par un cadre unique en matière de droits des consommateurs), tout en étant </w:t>
      </w:r>
      <w:r w:rsidRPr="00134353">
        <w:rPr>
          <w:rFonts w:cs="Calibri"/>
        </w:rPr>
        <w:t>"</w:t>
      </w:r>
      <w:r w:rsidRPr="00134353">
        <w:t>à l'épreuve du futur</w:t>
      </w:r>
      <w:r w:rsidRPr="00134353">
        <w:rPr>
          <w:rFonts w:cs="Calibri"/>
        </w:rPr>
        <w:t>"</w:t>
      </w:r>
      <w:r w:rsidRPr="00134353">
        <w:t>, c'est-à-dire en offrant la possibilité d'intégrer les innovations qui auront lieu dans l'avenir, et en favorisant la confiance des consommateurs par la mise en place de garde-fous appropriés.</w:t>
      </w:r>
    </w:p>
    <w:p w:rsidR="000A6F6F" w:rsidRPr="003F265B" w:rsidRDefault="001A0EBC" w:rsidP="001A0EBC">
      <w:pPr>
        <w:rPr>
          <w:lang w:val="en-GB"/>
        </w:rPr>
      </w:pPr>
      <w:r w:rsidRPr="00134353">
        <w:t xml:space="preserve">Si elle promulguée, la Déclaration aura pour effet de moderniser des lois relatives à la consommation vieilles de 30 ans, en vue d'instaurer des droits clairs pour les consommateurs de contenus numériques, y compris pour les téléchargements, les contenus sur disque, les contenus en diffusion continue et les contenus accessibles dans le nuage. Aux termes de la Déclaration, ces contenus doivent être conformes à toute description qui en a été faite et à toute version d'essai ou démonstration, et être </w:t>
      </w:r>
      <w:r w:rsidRPr="00134353">
        <w:rPr>
          <w:rFonts w:cs="Calibri"/>
        </w:rPr>
        <w:t>"d'</w:t>
      </w:r>
      <w:r w:rsidRPr="00134353">
        <w:t>une qualité satisfaisante […] [qui réponde] aux attentes d'une personne raisonnable, en tenant compte de toutes les circonstances pertinentes</w:t>
      </w:r>
      <w:r w:rsidRPr="00134353">
        <w:rPr>
          <w:rFonts w:cs="Calibri"/>
        </w:rPr>
        <w:t>". Un vendeur qui fournit des contenus numériques doit être autorisé à le faire et ne doit pas mettre le consommateur dans une situation où il enfreint les droits d'auteur.</w:t>
      </w:r>
      <w:r w:rsidR="000A6F6F" w:rsidRPr="003F265B">
        <w:rPr>
          <w:lang w:val="en-GB"/>
        </w:rPr>
        <w:t xml:space="preserve"> </w:t>
      </w:r>
    </w:p>
    <w:p w:rsidR="000A6F6F" w:rsidRPr="003F265B" w:rsidRDefault="001A0EBC" w:rsidP="000A6F6F">
      <w:pPr>
        <w:rPr>
          <w:i/>
          <w:lang w:val="en-GB"/>
        </w:rPr>
      </w:pPr>
      <w:r w:rsidRPr="00134353">
        <w:rPr>
          <w:i/>
          <w:iCs/>
          <w:sz w:val="22"/>
        </w:rPr>
        <w:t>Réglementation de la qualité de service</w:t>
      </w:r>
    </w:p>
    <w:p w:rsidR="001A0EBC" w:rsidRPr="00134353" w:rsidRDefault="001A0EBC" w:rsidP="001A0EBC">
      <w:r w:rsidRPr="00134353">
        <w:t>Dans ses réponses à l'enquête, le Brésil a fait état de difficultés dans le traitement des services issus de la convergence, en raison d'un manque d'expérience en matière de coordination/coopération entre les organismes concernés, et de l'absence de procédures juridiques permettant de traiter la convergence.</w:t>
      </w:r>
    </w:p>
    <w:p w:rsidR="001A0EBC" w:rsidRPr="00134353" w:rsidRDefault="001A0EBC" w:rsidP="001A0EBC">
      <w:r w:rsidRPr="00134353">
        <w:t xml:space="preserve">Bien que le Ministère des </w:t>
      </w:r>
      <w:r>
        <w:t>c</w:t>
      </w:r>
      <w:r w:rsidRPr="00134353">
        <w:t xml:space="preserve">ommunications dispose de compétences très larges pour ce qui est de formuler les politiques nationales relatives à l'inclusion numérique, à la radiodiffusion et à la télévision, et </w:t>
      </w:r>
      <w:r w:rsidRPr="00134353">
        <w:lastRenderedPageBreak/>
        <w:t>aux services postaux et de télécommunication</w:t>
      </w:r>
      <w:bookmarkStart w:id="44" w:name="_GoBack"/>
      <w:bookmarkEnd w:id="44"/>
      <w:r w:rsidRPr="00134353">
        <w:t>, l'Agence nationale des télécommunications (</w:t>
      </w:r>
      <w:proofErr w:type="spellStart"/>
      <w:r w:rsidRPr="00134353">
        <w:t>Anatel</w:t>
      </w:r>
      <w:proofErr w:type="spellEnd"/>
      <w:r w:rsidRPr="00134353">
        <w:t>)</w:t>
      </w:r>
      <w:r w:rsidRPr="00735087">
        <w:rPr>
          <w:rStyle w:val="FootnoteReference"/>
          <w:sz w:val="16"/>
          <w:szCs w:val="16"/>
        </w:rPr>
        <w:footnoteReference w:id="45"/>
      </w:r>
      <w:r w:rsidRPr="00134353">
        <w:t xml:space="preserve"> est chargée spécifiquement de promouvoir le développement du secteur des télécommunications du Brésil. Ses compétences incluent l'octroi de licences, la réglementation et la supervision. Les décisions prises par le régulateur sont contestables uniquement par voie juridique.</w:t>
      </w:r>
    </w:p>
    <w:p w:rsidR="001A0EBC" w:rsidRPr="00134353" w:rsidRDefault="001A0EBC" w:rsidP="001A0EBC">
      <w:r w:rsidRPr="00134353">
        <w:t>La réglementation de la protection des consommateurs relève du Code de défense des consommateurs (</w:t>
      </w:r>
      <w:proofErr w:type="spellStart"/>
      <w:r w:rsidRPr="00134353">
        <w:t>Código</w:t>
      </w:r>
      <w:proofErr w:type="spellEnd"/>
      <w:r w:rsidRPr="00134353">
        <w:t xml:space="preserve"> de </w:t>
      </w:r>
      <w:proofErr w:type="spellStart"/>
      <w:r w:rsidRPr="00134353">
        <w:t>Defesa</w:t>
      </w:r>
      <w:proofErr w:type="spellEnd"/>
      <w:r w:rsidRPr="00134353">
        <w:t xml:space="preserve"> do </w:t>
      </w:r>
      <w:proofErr w:type="spellStart"/>
      <w:r w:rsidRPr="00134353">
        <w:t>Consumidora</w:t>
      </w:r>
      <w:proofErr w:type="spellEnd"/>
      <w:r w:rsidRPr="00134353">
        <w:t>)</w:t>
      </w:r>
      <w:r w:rsidRPr="00134353">
        <w:rPr>
          <w:vertAlign w:val="superscript"/>
        </w:rPr>
        <w:footnoteReference w:id="46"/>
      </w:r>
      <w:r w:rsidRPr="00134353">
        <w:t>, dont l'application est assurée par divers organismes.</w:t>
      </w:r>
    </w:p>
    <w:p w:rsidR="001A0EBC" w:rsidRPr="00134353" w:rsidRDefault="001A0EBC" w:rsidP="001A0EBC">
      <w:r w:rsidRPr="00134353">
        <w:t>L'accès au Système brésilien de télévision numérique (SBTVD), lancé en 2007, est libre et gratuit, et permet de transmettre des contenus de haute qualité en termes d'image et de son, aussi bien pour les dispositifs fixes que pour les dispositifs mobiles. Les consommateurs ont accès à la télévision numérique au moyen de leurs postes de télévision et de leurs téléphones mobiles, et les services haute définition et l'interactivité sont accessibles sur téléphone mobile, mini-téléviseur et ordinateur portable. Les services interactifs représentent une caractéristique essentielle du Système: les utilisateurs peuvent utiliser la télécommande pour répondre à des tests, rechercher des informations sur les programmes, acheter des produits recommandés, participer à des enquêtes et effectuer des opérations bancaires.</w:t>
      </w:r>
    </w:p>
    <w:p w:rsidR="001A0EBC" w:rsidRPr="00134353" w:rsidRDefault="001A0EBC" w:rsidP="001A0EBC">
      <w:r w:rsidRPr="00134353">
        <w:t>L'une des compétences d'</w:t>
      </w:r>
      <w:proofErr w:type="spellStart"/>
      <w:r w:rsidRPr="00134353">
        <w:t>Anatel</w:t>
      </w:r>
      <w:proofErr w:type="spellEnd"/>
      <w:r w:rsidRPr="00134353">
        <w:t xml:space="preserve"> est de réglementer et de protéger les droits des abonnés à la télévision par abonnement, notamment dans le cadre des </w:t>
      </w:r>
      <w:r w:rsidRPr="00134353">
        <w:rPr>
          <w:rFonts w:cs="Calibri"/>
        </w:rPr>
        <w:t>"</w:t>
      </w:r>
      <w:r w:rsidRPr="00134353">
        <w:t>services combos</w:t>
      </w:r>
      <w:r w:rsidRPr="00134353">
        <w:rPr>
          <w:rFonts w:cs="Calibri"/>
        </w:rPr>
        <w:t>"</w:t>
      </w:r>
      <w:r w:rsidRPr="00134353">
        <w:t>, qui regroupent la télévision à péage, la téléphonie et les services Internet à large bande. Aux termes de la nouvelle législation</w:t>
      </w:r>
      <w:r w:rsidRPr="00134353">
        <w:rPr>
          <w:vertAlign w:val="superscript"/>
        </w:rPr>
        <w:footnoteReference w:id="47"/>
      </w:r>
      <w:r w:rsidRPr="00134353">
        <w:t xml:space="preserve">, les titulaires de licence pour la fourniture de services de télévision à péage seront autorisés à utiliser toutes les technologies disponibles, ce qui unifiera les règles de la télévision à péage dans le pays. Selon </w:t>
      </w:r>
      <w:proofErr w:type="spellStart"/>
      <w:r w:rsidRPr="00134353">
        <w:t>Anatel</w:t>
      </w:r>
      <w:proofErr w:type="spellEnd"/>
      <w:r w:rsidRPr="00134353">
        <w:t>, le secteur brésilien de la télévision à péage devrait atteindre les 35 millions d'abonnés d'ici à 2018</w:t>
      </w:r>
      <w:r w:rsidRPr="00134353">
        <w:rPr>
          <w:vertAlign w:val="superscript"/>
        </w:rPr>
        <w:footnoteReference w:id="48"/>
      </w:r>
      <w:r w:rsidRPr="00134353">
        <w:t>.</w:t>
      </w:r>
    </w:p>
    <w:p w:rsidR="001A0EBC" w:rsidRPr="00134353" w:rsidRDefault="001A0EBC" w:rsidP="001A0EBC">
      <w:r w:rsidRPr="00134353">
        <w:t xml:space="preserve">Tout en ouvrant le marché aux fournisseurs de services de télécommunication, le nouveau cadre a pour effet d'étendre les compétences du </w:t>
      </w:r>
      <w:r w:rsidRPr="001A0EBC">
        <w:t>r</w:t>
      </w:r>
      <w:r w:rsidRPr="00134353">
        <w:t>égulateur à l'instauration de quotas de contenus locaux dans les programmes de télévision à péage, politique habituellement réservée à la réglementation de la radiodiffusion</w:t>
      </w:r>
      <w:r w:rsidRPr="00134353">
        <w:rPr>
          <w:vertAlign w:val="superscript"/>
        </w:rPr>
        <w:footnoteReference w:id="49"/>
      </w:r>
      <w:r w:rsidRPr="00134353">
        <w:t>.</w:t>
      </w:r>
    </w:p>
    <w:p w:rsidR="000A6F6F" w:rsidRPr="003F265B" w:rsidRDefault="001A0EBC" w:rsidP="001A0EBC">
      <w:pPr>
        <w:rPr>
          <w:lang w:val="en-GB"/>
        </w:rPr>
      </w:pPr>
      <w:proofErr w:type="spellStart"/>
      <w:r w:rsidRPr="00134353">
        <w:t>Anatel</w:t>
      </w:r>
      <w:proofErr w:type="spellEnd"/>
      <w:r w:rsidRPr="00134353">
        <w:t xml:space="preserve"> passe pour être rigoureuse en matière de normes relatives à la qualité de service. En 2012, elle a interdit la vente d'abonnements à la téléphonie mobile pendant 11 jours en raison de la médiocre qualité de service et de l'augmentation du nombre de réclamations de la part des clients</w:t>
      </w:r>
      <w:r w:rsidRPr="00134353">
        <w:rPr>
          <w:vertAlign w:val="superscript"/>
        </w:rPr>
        <w:footnoteReference w:id="50"/>
      </w:r>
      <w:r w:rsidRPr="00134353">
        <w:t xml:space="preserve">. Selon les comptes rendus, elle adopte actuellement une approche rigoureuse en ce qui concerne la réglementation de la télévision à péage, après que le nombre de réclamations de la part des abonnés a doublé entre 2010 et 2011, en particulier pour des problèmes liés aux normes de qualité de service. </w:t>
      </w:r>
      <w:proofErr w:type="spellStart"/>
      <w:r w:rsidRPr="00134353">
        <w:t>Anatel</w:t>
      </w:r>
      <w:proofErr w:type="spellEnd"/>
      <w:r w:rsidRPr="00134353">
        <w:t xml:space="preserve"> a demandé aux opérateurs de mettre en place des plans d'investissement futurs et de fixer des objectifs en matière de service à la clientèle.</w:t>
      </w:r>
    </w:p>
    <w:p w:rsidR="000A6F6F" w:rsidRPr="003F265B" w:rsidRDefault="007652C5" w:rsidP="007652C5">
      <w:pPr>
        <w:keepNext/>
        <w:keepLines/>
        <w:rPr>
          <w:i/>
          <w:lang w:val="en-GB"/>
        </w:rPr>
      </w:pPr>
      <w:r w:rsidRPr="00134353">
        <w:rPr>
          <w:i/>
          <w:iCs/>
          <w:sz w:val="22"/>
        </w:rPr>
        <w:lastRenderedPageBreak/>
        <w:t>Trouver le juste équilibre entre la confidentialité des données personnelles et l'innovation dans les produits et les services TIC</w:t>
      </w:r>
    </w:p>
    <w:p w:rsidR="007652C5" w:rsidRPr="00134353" w:rsidRDefault="007652C5" w:rsidP="007652C5">
      <w:r w:rsidRPr="00134353">
        <w:t>Dans le cadre de la convergence des services, les régulateurs doivent trouver un équilibre subtil entre l'application de mesures visant à protéger la confidentialité des données personnelles et un cadre réglementaire qui incite les entreprises à élaborer des produits et des services TIC novateurs.</w:t>
      </w:r>
    </w:p>
    <w:p w:rsidR="007652C5" w:rsidRPr="00134353" w:rsidRDefault="007652C5" w:rsidP="007652C5">
      <w:r w:rsidRPr="00134353">
        <w:t>Au Burundi, par exemple, l'augmentation de la criminalité liée à l'usage du téléphone mobile, et la hausse consécutive des menaces anonymes aux individus, de l'escroquerie, des vols bancaires et de l'utilisation de la carte SIM d'autrui, ont ébranlé la confiance des abonnés en leurs communications. De nombreuses réclamations ont été adressées aux opérateurs et aux régulateurs. Conscients de l'importance de la confiance des consommateurs pour assurer la croissance du marché, les pouvoirs publics ont introduit un certain nombre de mesures en vue de circonscrire le problème. Par exemple, les opérateurs sont tenus d'installer des équipements de surveillance et de fournir des relevés des communications si la police et/ou le régulateur en formulent la demande</w:t>
      </w:r>
      <w:r w:rsidRPr="00134353">
        <w:rPr>
          <w:vertAlign w:val="superscript"/>
        </w:rPr>
        <w:footnoteReference w:id="51"/>
      </w:r>
      <w:r w:rsidRPr="00134353">
        <w:t>.</w:t>
      </w:r>
    </w:p>
    <w:p w:rsidR="007652C5" w:rsidRPr="00134353" w:rsidRDefault="007652C5" w:rsidP="007652C5">
      <w:pPr>
        <w:rPr>
          <w:rFonts w:cs="Calibri"/>
        </w:rPr>
      </w:pPr>
      <w:r w:rsidRPr="00134353">
        <w:t>De nombreux pays d'Amérique latine, dont l'Argentine</w:t>
      </w:r>
      <w:r w:rsidRPr="00134353">
        <w:rPr>
          <w:vertAlign w:val="superscript"/>
        </w:rPr>
        <w:footnoteReference w:id="52"/>
      </w:r>
      <w:r w:rsidRPr="00134353">
        <w:t>, le Brésil, le Costa Rica et le Mexique</w:t>
      </w:r>
      <w:r>
        <w:t>,</w:t>
      </w:r>
      <w:r w:rsidRPr="00134353">
        <w:t xml:space="preserve"> ont adopté une législation fondée sur les droits, afin de protéger la confidentialité des données des consommateurs, en en limitant la collecte et l'utilisation par des tiers. La prédominance de l'approche fondée sur les droits représente une garantie constitutionnelle en ce qui concerne </w:t>
      </w:r>
      <w:r w:rsidRPr="00134353">
        <w:rPr>
          <w:rFonts w:cs="Calibri"/>
        </w:rPr>
        <w:t>"l</w:t>
      </w:r>
      <w:r w:rsidRPr="00134353">
        <w:t>'utilisation des images, la confidentialité, l'honneur, l'autodétermination et la liberté d'information</w:t>
      </w:r>
      <w:r w:rsidRPr="00134353">
        <w:rPr>
          <w:rFonts w:cs="Calibri"/>
        </w:rPr>
        <w:t>".</w:t>
      </w:r>
    </w:p>
    <w:p w:rsidR="007652C5" w:rsidRPr="00134353" w:rsidRDefault="007652C5" w:rsidP="007652C5">
      <w:r w:rsidRPr="00134353">
        <w:t>Dans le cadre de cette approche, les individus ont le droit d'accéder à leurs données personnelles et de s'opposer à leur utilisation à des fins de publicité, de marketing et d'étude de marché. Au Brésil, la législation en cours d'élaboration prévoit le droit à des indemnités en cas d'utilisation abusive des données personnelles. Au Costa Rica, une autorité distincte chargée de la protection des données a été créée afin de présider à la législation et aux sanctions en cas d'infraction. Au Mexique, la réglementation relative à l'utilisation des données personnelles prévoit des règles spécifiques pour la collecte et l'utilisation des données dans le cadre de l'informatique en nuage, notamment l'obligation d'informer les utilisateurs de la manière dont leurs données sont utilisées et/ou communiquées à des tiers</w:t>
      </w:r>
      <w:r w:rsidRPr="00134353">
        <w:rPr>
          <w:vertAlign w:val="superscript"/>
        </w:rPr>
        <w:footnoteReference w:id="53"/>
      </w:r>
      <w:r w:rsidRPr="00134353">
        <w:t>.</w:t>
      </w:r>
    </w:p>
    <w:p w:rsidR="000A6F6F" w:rsidRPr="003F265B" w:rsidRDefault="007652C5" w:rsidP="007652C5">
      <w:pPr>
        <w:rPr>
          <w:lang w:val="en-GB"/>
        </w:rPr>
      </w:pPr>
      <w:r w:rsidRPr="00134353">
        <w:t>Aux Etats-Unis, en revanche, les pouvoirs publics privilégient une approche de la protection des données fondée sur l'autoréglementation, en association avec des mesures ciblées spécifiques au secteur. Par exemple, en mars</w:t>
      </w:r>
      <w:r>
        <w:t> </w:t>
      </w:r>
      <w:r w:rsidRPr="00134353">
        <w:t>2012, la Commission fédérale du commerce des Etats-Unis (</w:t>
      </w:r>
      <w:proofErr w:type="spellStart"/>
      <w:r w:rsidRPr="00134353">
        <w:t>Federal</w:t>
      </w:r>
      <w:proofErr w:type="spellEnd"/>
      <w:r w:rsidRPr="00134353">
        <w:t xml:space="preserve"> Trade Commission, FTC) a publié un rapport sur la confidentialité des consommateurs</w:t>
      </w:r>
      <w:r w:rsidRPr="00134353">
        <w:rPr>
          <w:vertAlign w:val="superscript"/>
        </w:rPr>
        <w:footnoteReference w:id="54"/>
      </w:r>
      <w:r w:rsidRPr="00134353">
        <w:t xml:space="preserve"> dans lequel figuraient une série de principes de bonnes pratiques non contraignants (voir Encadré 2).</w:t>
      </w:r>
    </w:p>
    <w:p w:rsidR="005017B2" w:rsidRPr="003F265B" w:rsidRDefault="002909C4" w:rsidP="007D1EB2">
      <w:pPr>
        <w:pStyle w:val="Figuretitle"/>
        <w:rPr>
          <w:bCs/>
        </w:rPr>
      </w:pPr>
      <w:r w:rsidRPr="00EE3E8D">
        <w:rPr>
          <w:bCs/>
          <w:lang w:val="fr-FR"/>
        </w:rPr>
        <w:lastRenderedPageBreak/>
        <w:t>Encadré 2</w:t>
      </w:r>
      <w:r w:rsidRPr="00EE3E8D">
        <w:rPr>
          <w:lang w:val="fr-FR"/>
        </w:rPr>
        <w:t>: Lignes directrices de la Commission fédérale du commerce des Etats-Unis sur les bonnes pratiques en matière de confidentialité des données des consommateurs</w:t>
      </w:r>
    </w:p>
    <w:p w:rsidR="00A078B3" w:rsidRPr="007D1EB2" w:rsidRDefault="002909C4" w:rsidP="007D1EB2">
      <w:pPr>
        <w:pStyle w:val="Figure"/>
        <w:jc w:val="left"/>
        <w:rPr>
          <w:b/>
          <w:bCs w:val="0"/>
          <w:i/>
          <w:iCs/>
        </w:rPr>
      </w:pPr>
      <w:r w:rsidRPr="00EE3E8D">
        <w:rPr>
          <w:b/>
          <w:i/>
          <w:iCs/>
        </w:rPr>
        <w:t xml:space="preserve">Faire de la </w:t>
      </w:r>
      <w:proofErr w:type="spellStart"/>
      <w:r w:rsidRPr="00EE3E8D">
        <w:rPr>
          <w:b/>
          <w:i/>
          <w:iCs/>
        </w:rPr>
        <w:t>confidentialité</w:t>
      </w:r>
      <w:proofErr w:type="spellEnd"/>
      <w:r w:rsidRPr="00EE3E8D">
        <w:rPr>
          <w:b/>
          <w:i/>
          <w:iCs/>
        </w:rPr>
        <w:t xml:space="preserve"> </w:t>
      </w:r>
      <w:proofErr w:type="gramStart"/>
      <w:r w:rsidRPr="00EE3E8D">
        <w:rPr>
          <w:b/>
          <w:i/>
          <w:iCs/>
        </w:rPr>
        <w:t>un</w:t>
      </w:r>
      <w:proofErr w:type="gramEnd"/>
      <w:r w:rsidRPr="00EE3E8D">
        <w:rPr>
          <w:b/>
          <w:i/>
          <w:iCs/>
        </w:rPr>
        <w:t xml:space="preserve"> but</w:t>
      </w:r>
    </w:p>
    <w:p w:rsidR="00A078B3" w:rsidRPr="007D1EB2" w:rsidRDefault="002909C4" w:rsidP="007D1EB2">
      <w:pPr>
        <w:pStyle w:val="Figure"/>
        <w:ind w:left="0" w:firstLine="0"/>
        <w:jc w:val="left"/>
        <w:rPr>
          <w:i/>
          <w:iCs/>
        </w:rPr>
      </w:pPr>
      <w:proofErr w:type="gramStart"/>
      <w:r w:rsidRPr="00EE3E8D">
        <w:rPr>
          <w:i/>
          <w:iCs/>
        </w:rPr>
        <w:t>Il</w:t>
      </w:r>
      <w:proofErr w:type="gramEnd"/>
      <w:r w:rsidRPr="00EE3E8D">
        <w:rPr>
          <w:i/>
          <w:iCs/>
        </w:rPr>
        <w:t xml:space="preserve"> </w:t>
      </w:r>
      <w:proofErr w:type="spellStart"/>
      <w:r w:rsidRPr="00EE3E8D">
        <w:rPr>
          <w:i/>
          <w:iCs/>
        </w:rPr>
        <w:t>convient</w:t>
      </w:r>
      <w:proofErr w:type="spellEnd"/>
      <w:r w:rsidRPr="00EE3E8D">
        <w:rPr>
          <w:i/>
          <w:iCs/>
        </w:rPr>
        <w:t xml:space="preserve"> de </w:t>
      </w:r>
      <w:proofErr w:type="spellStart"/>
      <w:r w:rsidRPr="00EE3E8D">
        <w:rPr>
          <w:i/>
          <w:iCs/>
        </w:rPr>
        <w:t>veiller</w:t>
      </w:r>
      <w:proofErr w:type="spellEnd"/>
      <w:r w:rsidRPr="00EE3E8D">
        <w:rPr>
          <w:i/>
          <w:iCs/>
        </w:rPr>
        <w:t xml:space="preserve"> à la protection de la </w:t>
      </w:r>
      <w:proofErr w:type="spellStart"/>
      <w:r w:rsidRPr="00EE3E8D">
        <w:rPr>
          <w:i/>
          <w:iCs/>
        </w:rPr>
        <w:t>confidentialité</w:t>
      </w:r>
      <w:proofErr w:type="spellEnd"/>
      <w:r w:rsidRPr="00EE3E8D">
        <w:rPr>
          <w:i/>
          <w:iCs/>
        </w:rPr>
        <w:t xml:space="preserve"> des </w:t>
      </w:r>
      <w:proofErr w:type="spellStart"/>
      <w:r w:rsidRPr="00EE3E8D">
        <w:rPr>
          <w:i/>
          <w:iCs/>
        </w:rPr>
        <w:t>données</w:t>
      </w:r>
      <w:proofErr w:type="spellEnd"/>
      <w:r w:rsidRPr="00EE3E8D">
        <w:rPr>
          <w:i/>
          <w:iCs/>
        </w:rPr>
        <w:t xml:space="preserve"> des </w:t>
      </w:r>
      <w:proofErr w:type="spellStart"/>
      <w:r w:rsidRPr="00EE3E8D">
        <w:rPr>
          <w:i/>
          <w:iCs/>
        </w:rPr>
        <w:t>consommateurs</w:t>
      </w:r>
      <w:proofErr w:type="spellEnd"/>
      <w:r w:rsidRPr="00EE3E8D">
        <w:rPr>
          <w:i/>
          <w:iCs/>
        </w:rPr>
        <w:t xml:space="preserve"> à </w:t>
      </w:r>
      <w:proofErr w:type="spellStart"/>
      <w:r w:rsidRPr="00EE3E8D">
        <w:rPr>
          <w:i/>
          <w:iCs/>
        </w:rPr>
        <w:t>toutes</w:t>
      </w:r>
      <w:proofErr w:type="spellEnd"/>
      <w:r w:rsidRPr="00EE3E8D">
        <w:rPr>
          <w:i/>
          <w:iCs/>
        </w:rPr>
        <w:t xml:space="preserve"> les </w:t>
      </w:r>
      <w:proofErr w:type="spellStart"/>
      <w:r w:rsidRPr="00EE3E8D">
        <w:rPr>
          <w:i/>
          <w:iCs/>
        </w:rPr>
        <w:t>étapes</w:t>
      </w:r>
      <w:proofErr w:type="spellEnd"/>
      <w:r w:rsidRPr="00EE3E8D">
        <w:rPr>
          <w:i/>
          <w:iCs/>
        </w:rPr>
        <w:t xml:space="preserve"> du </w:t>
      </w:r>
      <w:proofErr w:type="spellStart"/>
      <w:r w:rsidRPr="00EE3E8D">
        <w:rPr>
          <w:i/>
          <w:iCs/>
        </w:rPr>
        <w:t>processus</w:t>
      </w:r>
      <w:proofErr w:type="spellEnd"/>
      <w:r w:rsidRPr="00EE3E8D">
        <w:rPr>
          <w:i/>
          <w:iCs/>
        </w:rPr>
        <w:t xml:space="preserve"> </w:t>
      </w:r>
      <w:proofErr w:type="spellStart"/>
      <w:r w:rsidRPr="00EE3E8D">
        <w:rPr>
          <w:i/>
          <w:iCs/>
        </w:rPr>
        <w:t>d'élaboration</w:t>
      </w:r>
      <w:proofErr w:type="spellEnd"/>
      <w:r w:rsidRPr="00EE3E8D">
        <w:rPr>
          <w:i/>
          <w:iCs/>
        </w:rPr>
        <w:t xml:space="preserve"> des services et des </w:t>
      </w:r>
      <w:proofErr w:type="spellStart"/>
      <w:r w:rsidRPr="00EE3E8D">
        <w:rPr>
          <w:i/>
          <w:iCs/>
        </w:rPr>
        <w:t>produits</w:t>
      </w:r>
      <w:proofErr w:type="spellEnd"/>
      <w:r w:rsidRPr="00EE3E8D">
        <w:rPr>
          <w:i/>
          <w:iCs/>
        </w:rPr>
        <w:t xml:space="preserve">. Il </w:t>
      </w:r>
      <w:proofErr w:type="spellStart"/>
      <w:r w:rsidRPr="00EE3E8D">
        <w:rPr>
          <w:i/>
          <w:iCs/>
        </w:rPr>
        <w:t>s'agit</w:t>
      </w:r>
      <w:proofErr w:type="spellEnd"/>
      <w:r w:rsidRPr="00EE3E8D">
        <w:rPr>
          <w:i/>
          <w:iCs/>
        </w:rPr>
        <w:t xml:space="preserve"> </w:t>
      </w:r>
      <w:proofErr w:type="spellStart"/>
      <w:r w:rsidRPr="00EE3E8D">
        <w:rPr>
          <w:i/>
          <w:iCs/>
        </w:rPr>
        <w:t>notamment</w:t>
      </w:r>
      <w:proofErr w:type="spellEnd"/>
      <w:r w:rsidRPr="00EE3E8D">
        <w:rPr>
          <w:i/>
          <w:iCs/>
        </w:rPr>
        <w:t xml:space="preserve"> de </w:t>
      </w:r>
      <w:proofErr w:type="spellStart"/>
      <w:r w:rsidRPr="00EE3E8D">
        <w:rPr>
          <w:i/>
          <w:iCs/>
        </w:rPr>
        <w:t>fournir</w:t>
      </w:r>
      <w:proofErr w:type="spellEnd"/>
      <w:r w:rsidRPr="00EE3E8D">
        <w:rPr>
          <w:i/>
          <w:iCs/>
        </w:rPr>
        <w:t xml:space="preserve"> un </w:t>
      </w:r>
      <w:proofErr w:type="spellStart"/>
      <w:r w:rsidRPr="00EE3E8D">
        <w:rPr>
          <w:i/>
          <w:iCs/>
        </w:rPr>
        <w:t>niveau</w:t>
      </w:r>
      <w:proofErr w:type="spellEnd"/>
      <w:r w:rsidRPr="00EE3E8D">
        <w:rPr>
          <w:i/>
          <w:iCs/>
        </w:rPr>
        <w:t xml:space="preserve"> de </w:t>
      </w:r>
      <w:proofErr w:type="spellStart"/>
      <w:r w:rsidRPr="00EE3E8D">
        <w:rPr>
          <w:i/>
          <w:iCs/>
        </w:rPr>
        <w:t>sécurité</w:t>
      </w:r>
      <w:proofErr w:type="spellEnd"/>
      <w:r w:rsidRPr="00EE3E8D">
        <w:rPr>
          <w:i/>
          <w:iCs/>
        </w:rPr>
        <w:t xml:space="preserve"> </w:t>
      </w:r>
      <w:proofErr w:type="spellStart"/>
      <w:r w:rsidRPr="00EE3E8D">
        <w:rPr>
          <w:i/>
          <w:iCs/>
        </w:rPr>
        <w:t>raisonnable</w:t>
      </w:r>
      <w:proofErr w:type="spellEnd"/>
      <w:r w:rsidRPr="00EE3E8D">
        <w:rPr>
          <w:i/>
          <w:iCs/>
        </w:rPr>
        <w:t xml:space="preserve">, de limiter la </w:t>
      </w:r>
      <w:proofErr w:type="spellStart"/>
      <w:r w:rsidRPr="00EE3E8D">
        <w:rPr>
          <w:i/>
          <w:iCs/>
        </w:rPr>
        <w:t>collecte</w:t>
      </w:r>
      <w:proofErr w:type="spellEnd"/>
      <w:r w:rsidRPr="00EE3E8D">
        <w:rPr>
          <w:i/>
          <w:iCs/>
        </w:rPr>
        <w:t xml:space="preserve"> de </w:t>
      </w:r>
      <w:proofErr w:type="spellStart"/>
      <w:r w:rsidRPr="00EE3E8D">
        <w:rPr>
          <w:i/>
          <w:iCs/>
        </w:rPr>
        <w:t>données</w:t>
      </w:r>
      <w:proofErr w:type="spellEnd"/>
      <w:r w:rsidRPr="00EE3E8D">
        <w:rPr>
          <w:i/>
          <w:iCs/>
        </w:rPr>
        <w:t xml:space="preserve"> aux </w:t>
      </w:r>
      <w:proofErr w:type="spellStart"/>
      <w:r w:rsidRPr="00EE3E8D">
        <w:rPr>
          <w:i/>
          <w:iCs/>
        </w:rPr>
        <w:t>informations</w:t>
      </w:r>
      <w:proofErr w:type="spellEnd"/>
      <w:r w:rsidRPr="00EE3E8D">
        <w:rPr>
          <w:i/>
          <w:iCs/>
        </w:rPr>
        <w:t xml:space="preserve"> </w:t>
      </w:r>
      <w:proofErr w:type="spellStart"/>
      <w:r w:rsidRPr="00EE3E8D">
        <w:rPr>
          <w:i/>
          <w:iCs/>
        </w:rPr>
        <w:t>pertinentes</w:t>
      </w:r>
      <w:proofErr w:type="spellEnd"/>
      <w:r w:rsidRPr="00EE3E8D">
        <w:rPr>
          <w:i/>
          <w:iCs/>
        </w:rPr>
        <w:t xml:space="preserve">, de limiter la </w:t>
      </w:r>
      <w:proofErr w:type="spellStart"/>
      <w:r w:rsidRPr="00EE3E8D">
        <w:rPr>
          <w:i/>
          <w:iCs/>
        </w:rPr>
        <w:t>durée</w:t>
      </w:r>
      <w:proofErr w:type="spellEnd"/>
      <w:r w:rsidRPr="00EE3E8D">
        <w:rPr>
          <w:i/>
          <w:iCs/>
        </w:rPr>
        <w:t xml:space="preserve"> de </w:t>
      </w:r>
      <w:proofErr w:type="spellStart"/>
      <w:r w:rsidRPr="00EE3E8D">
        <w:rPr>
          <w:i/>
          <w:iCs/>
        </w:rPr>
        <w:t>stockage</w:t>
      </w:r>
      <w:proofErr w:type="spellEnd"/>
      <w:r w:rsidRPr="00EE3E8D">
        <w:rPr>
          <w:i/>
          <w:iCs/>
        </w:rPr>
        <w:t xml:space="preserve"> des </w:t>
      </w:r>
      <w:proofErr w:type="spellStart"/>
      <w:r w:rsidRPr="00EE3E8D">
        <w:rPr>
          <w:i/>
          <w:iCs/>
        </w:rPr>
        <w:t>données</w:t>
      </w:r>
      <w:proofErr w:type="spellEnd"/>
      <w:r w:rsidRPr="00EE3E8D">
        <w:rPr>
          <w:i/>
          <w:iCs/>
        </w:rPr>
        <w:t xml:space="preserve">, et </w:t>
      </w:r>
      <w:proofErr w:type="spellStart"/>
      <w:r w:rsidRPr="00EE3E8D">
        <w:rPr>
          <w:i/>
          <w:iCs/>
        </w:rPr>
        <w:t>d'instaurer</w:t>
      </w:r>
      <w:proofErr w:type="spellEnd"/>
      <w:r w:rsidRPr="00EE3E8D">
        <w:rPr>
          <w:i/>
          <w:iCs/>
        </w:rPr>
        <w:t xml:space="preserve"> des </w:t>
      </w:r>
      <w:proofErr w:type="spellStart"/>
      <w:r w:rsidRPr="00EE3E8D">
        <w:rPr>
          <w:i/>
          <w:iCs/>
        </w:rPr>
        <w:t>procédures</w:t>
      </w:r>
      <w:proofErr w:type="spellEnd"/>
      <w:r w:rsidRPr="00EE3E8D">
        <w:rPr>
          <w:i/>
          <w:iCs/>
        </w:rPr>
        <w:t xml:space="preserve"> </w:t>
      </w:r>
      <w:proofErr w:type="spellStart"/>
      <w:r w:rsidRPr="00EE3E8D">
        <w:rPr>
          <w:i/>
          <w:iCs/>
        </w:rPr>
        <w:t>visant</w:t>
      </w:r>
      <w:proofErr w:type="spellEnd"/>
      <w:r w:rsidRPr="00EE3E8D">
        <w:rPr>
          <w:i/>
          <w:iCs/>
        </w:rPr>
        <w:t xml:space="preserve"> à </w:t>
      </w:r>
      <w:proofErr w:type="spellStart"/>
      <w:r w:rsidRPr="00EE3E8D">
        <w:rPr>
          <w:i/>
          <w:iCs/>
        </w:rPr>
        <w:t>garantir</w:t>
      </w:r>
      <w:proofErr w:type="spellEnd"/>
      <w:r w:rsidRPr="00EE3E8D">
        <w:rPr>
          <w:i/>
          <w:iCs/>
        </w:rPr>
        <w:t xml:space="preserve"> </w:t>
      </w:r>
      <w:proofErr w:type="spellStart"/>
      <w:r w:rsidRPr="00EE3E8D">
        <w:rPr>
          <w:i/>
          <w:iCs/>
        </w:rPr>
        <w:t>l'exactitude</w:t>
      </w:r>
      <w:proofErr w:type="spellEnd"/>
      <w:r w:rsidRPr="00EE3E8D">
        <w:rPr>
          <w:i/>
          <w:iCs/>
        </w:rPr>
        <w:t xml:space="preserve"> des </w:t>
      </w:r>
      <w:proofErr w:type="spellStart"/>
      <w:r w:rsidRPr="00EE3E8D">
        <w:rPr>
          <w:i/>
          <w:iCs/>
        </w:rPr>
        <w:t>données</w:t>
      </w:r>
      <w:proofErr w:type="spellEnd"/>
      <w:r w:rsidRPr="00EE3E8D">
        <w:rPr>
          <w:i/>
          <w:iCs/>
        </w:rPr>
        <w:t xml:space="preserve"> </w:t>
      </w:r>
      <w:proofErr w:type="spellStart"/>
      <w:r w:rsidRPr="00EE3E8D">
        <w:rPr>
          <w:i/>
          <w:iCs/>
        </w:rPr>
        <w:t>détenues</w:t>
      </w:r>
      <w:proofErr w:type="spellEnd"/>
      <w:r w:rsidRPr="00EE3E8D">
        <w:rPr>
          <w:i/>
          <w:iCs/>
        </w:rPr>
        <w:t>.</w:t>
      </w:r>
    </w:p>
    <w:p w:rsidR="00A078B3" w:rsidRPr="007D1EB2" w:rsidRDefault="002909C4" w:rsidP="007D1EB2">
      <w:pPr>
        <w:pStyle w:val="Figure"/>
        <w:jc w:val="left"/>
        <w:rPr>
          <w:b/>
          <w:bCs w:val="0"/>
          <w:i/>
          <w:iCs/>
        </w:rPr>
      </w:pPr>
      <w:proofErr w:type="spellStart"/>
      <w:r w:rsidRPr="00EE3E8D">
        <w:rPr>
          <w:b/>
          <w:i/>
          <w:iCs/>
        </w:rPr>
        <w:t>Faciliter</w:t>
      </w:r>
      <w:proofErr w:type="spellEnd"/>
      <w:r w:rsidRPr="00EE3E8D">
        <w:rPr>
          <w:b/>
          <w:i/>
          <w:iCs/>
        </w:rPr>
        <w:t xml:space="preserve"> les </w:t>
      </w:r>
      <w:proofErr w:type="spellStart"/>
      <w:r w:rsidRPr="00EE3E8D">
        <w:rPr>
          <w:b/>
          <w:i/>
          <w:iCs/>
        </w:rPr>
        <w:t>choix</w:t>
      </w:r>
      <w:proofErr w:type="spellEnd"/>
      <w:r w:rsidRPr="00EE3E8D">
        <w:rPr>
          <w:b/>
          <w:i/>
          <w:iCs/>
        </w:rPr>
        <w:t xml:space="preserve"> des </w:t>
      </w:r>
      <w:proofErr w:type="spellStart"/>
      <w:r w:rsidRPr="00EE3E8D">
        <w:rPr>
          <w:b/>
          <w:i/>
          <w:iCs/>
        </w:rPr>
        <w:t>entreprises</w:t>
      </w:r>
      <w:proofErr w:type="spellEnd"/>
      <w:r w:rsidRPr="00EE3E8D">
        <w:rPr>
          <w:b/>
          <w:i/>
          <w:iCs/>
        </w:rPr>
        <w:t xml:space="preserve"> </w:t>
      </w:r>
      <w:proofErr w:type="gramStart"/>
      <w:r w:rsidRPr="00EE3E8D">
        <w:rPr>
          <w:b/>
          <w:i/>
          <w:iCs/>
        </w:rPr>
        <w:t>et</w:t>
      </w:r>
      <w:proofErr w:type="gramEnd"/>
      <w:r w:rsidRPr="00EE3E8D">
        <w:rPr>
          <w:b/>
          <w:i/>
          <w:iCs/>
        </w:rPr>
        <w:t xml:space="preserve"> des </w:t>
      </w:r>
      <w:proofErr w:type="spellStart"/>
      <w:r w:rsidRPr="00EE3E8D">
        <w:rPr>
          <w:b/>
          <w:i/>
          <w:iCs/>
        </w:rPr>
        <w:t>consommateurs</w:t>
      </w:r>
      <w:proofErr w:type="spellEnd"/>
    </w:p>
    <w:p w:rsidR="00A078B3" w:rsidRPr="007D1EB2" w:rsidRDefault="002909C4" w:rsidP="007D1EB2">
      <w:pPr>
        <w:pStyle w:val="Figure"/>
        <w:ind w:left="0" w:firstLine="0"/>
        <w:jc w:val="left"/>
        <w:rPr>
          <w:i/>
          <w:iCs/>
        </w:rPr>
      </w:pPr>
      <w:r w:rsidRPr="00EE3E8D">
        <w:rPr>
          <w:i/>
          <w:iCs/>
        </w:rPr>
        <w:t xml:space="preserve">Les </w:t>
      </w:r>
      <w:proofErr w:type="spellStart"/>
      <w:r w:rsidRPr="00EE3E8D">
        <w:rPr>
          <w:i/>
          <w:iCs/>
        </w:rPr>
        <w:t>consommateurs</w:t>
      </w:r>
      <w:proofErr w:type="spellEnd"/>
      <w:r w:rsidRPr="00EE3E8D">
        <w:rPr>
          <w:i/>
          <w:iCs/>
        </w:rPr>
        <w:t xml:space="preserve"> </w:t>
      </w:r>
      <w:proofErr w:type="spellStart"/>
      <w:r w:rsidRPr="00EE3E8D">
        <w:rPr>
          <w:i/>
          <w:iCs/>
        </w:rPr>
        <w:t>devraient</w:t>
      </w:r>
      <w:proofErr w:type="spellEnd"/>
      <w:r w:rsidRPr="00EE3E8D">
        <w:rPr>
          <w:i/>
          <w:iCs/>
        </w:rPr>
        <w:t xml:space="preserve"> </w:t>
      </w:r>
      <w:proofErr w:type="spellStart"/>
      <w:r w:rsidRPr="00EE3E8D">
        <w:rPr>
          <w:i/>
          <w:iCs/>
        </w:rPr>
        <w:t>pouvoir</w:t>
      </w:r>
      <w:proofErr w:type="spellEnd"/>
      <w:r w:rsidRPr="00EE3E8D">
        <w:rPr>
          <w:i/>
          <w:iCs/>
        </w:rPr>
        <w:t xml:space="preserve"> </w:t>
      </w:r>
      <w:proofErr w:type="spellStart"/>
      <w:r w:rsidRPr="00EE3E8D">
        <w:rPr>
          <w:i/>
          <w:iCs/>
        </w:rPr>
        <w:t>facilement</w:t>
      </w:r>
      <w:proofErr w:type="spellEnd"/>
      <w:r w:rsidRPr="00EE3E8D">
        <w:rPr>
          <w:i/>
          <w:iCs/>
        </w:rPr>
        <w:t xml:space="preserve"> </w:t>
      </w:r>
      <w:proofErr w:type="spellStart"/>
      <w:r w:rsidRPr="00EE3E8D">
        <w:rPr>
          <w:i/>
          <w:iCs/>
        </w:rPr>
        <w:t>indiquer</w:t>
      </w:r>
      <w:proofErr w:type="spellEnd"/>
      <w:r w:rsidRPr="00EE3E8D">
        <w:rPr>
          <w:i/>
          <w:iCs/>
        </w:rPr>
        <w:t xml:space="preserve"> </w:t>
      </w:r>
      <w:proofErr w:type="spellStart"/>
      <w:r w:rsidRPr="00EE3E8D">
        <w:rPr>
          <w:i/>
          <w:iCs/>
        </w:rPr>
        <w:t>leurs</w:t>
      </w:r>
      <w:proofErr w:type="spellEnd"/>
      <w:r w:rsidRPr="00EE3E8D">
        <w:rPr>
          <w:i/>
          <w:iCs/>
        </w:rPr>
        <w:t xml:space="preserve"> </w:t>
      </w:r>
      <w:proofErr w:type="spellStart"/>
      <w:r w:rsidRPr="00EE3E8D">
        <w:rPr>
          <w:i/>
          <w:iCs/>
        </w:rPr>
        <w:t>préférences</w:t>
      </w:r>
      <w:proofErr w:type="spellEnd"/>
      <w:r w:rsidRPr="00EE3E8D">
        <w:rPr>
          <w:i/>
          <w:iCs/>
        </w:rPr>
        <w:t xml:space="preserve"> </w:t>
      </w:r>
      <w:proofErr w:type="spellStart"/>
      <w:r w:rsidRPr="00EE3E8D">
        <w:rPr>
          <w:i/>
          <w:iCs/>
        </w:rPr>
        <w:t>concernant</w:t>
      </w:r>
      <w:proofErr w:type="spellEnd"/>
      <w:r w:rsidRPr="00EE3E8D">
        <w:rPr>
          <w:i/>
          <w:iCs/>
        </w:rPr>
        <w:t xml:space="preserve"> le type </w:t>
      </w:r>
      <w:proofErr w:type="spellStart"/>
      <w:r w:rsidRPr="00EE3E8D">
        <w:rPr>
          <w:i/>
          <w:iCs/>
        </w:rPr>
        <w:t>d'informations</w:t>
      </w:r>
      <w:proofErr w:type="spellEnd"/>
      <w:r w:rsidRPr="00EE3E8D">
        <w:rPr>
          <w:i/>
          <w:iCs/>
        </w:rPr>
        <w:t xml:space="preserve"> </w:t>
      </w:r>
      <w:proofErr w:type="spellStart"/>
      <w:r w:rsidRPr="00EE3E8D">
        <w:rPr>
          <w:i/>
          <w:iCs/>
        </w:rPr>
        <w:t>personnelles</w:t>
      </w:r>
      <w:proofErr w:type="spellEnd"/>
      <w:r w:rsidRPr="00EE3E8D">
        <w:rPr>
          <w:i/>
          <w:iCs/>
        </w:rPr>
        <w:t xml:space="preserve"> </w:t>
      </w:r>
      <w:proofErr w:type="spellStart"/>
      <w:r w:rsidRPr="00EE3E8D">
        <w:rPr>
          <w:i/>
          <w:iCs/>
        </w:rPr>
        <w:t>qu'ils</w:t>
      </w:r>
      <w:proofErr w:type="spellEnd"/>
      <w:r w:rsidRPr="00EE3E8D">
        <w:rPr>
          <w:i/>
          <w:iCs/>
        </w:rPr>
        <w:t xml:space="preserve"> </w:t>
      </w:r>
      <w:proofErr w:type="spellStart"/>
      <w:r w:rsidRPr="00EE3E8D">
        <w:rPr>
          <w:i/>
          <w:iCs/>
        </w:rPr>
        <w:t>souhaitent</w:t>
      </w:r>
      <w:proofErr w:type="spellEnd"/>
      <w:r w:rsidRPr="00EE3E8D">
        <w:rPr>
          <w:i/>
          <w:iCs/>
        </w:rPr>
        <w:t xml:space="preserve"> </w:t>
      </w:r>
      <w:proofErr w:type="spellStart"/>
      <w:r w:rsidRPr="00EE3E8D">
        <w:rPr>
          <w:i/>
          <w:iCs/>
        </w:rPr>
        <w:t>partager</w:t>
      </w:r>
      <w:proofErr w:type="spellEnd"/>
      <w:r w:rsidRPr="00EE3E8D">
        <w:rPr>
          <w:i/>
          <w:iCs/>
        </w:rPr>
        <w:t xml:space="preserve"> </w:t>
      </w:r>
      <w:proofErr w:type="gramStart"/>
      <w:r w:rsidRPr="00EE3E8D">
        <w:rPr>
          <w:i/>
          <w:iCs/>
        </w:rPr>
        <w:t>et</w:t>
      </w:r>
      <w:proofErr w:type="gramEnd"/>
      <w:r w:rsidRPr="00EE3E8D">
        <w:rPr>
          <w:i/>
          <w:iCs/>
        </w:rPr>
        <w:t xml:space="preserve"> </w:t>
      </w:r>
      <w:proofErr w:type="spellStart"/>
      <w:r w:rsidRPr="00EE3E8D">
        <w:rPr>
          <w:i/>
          <w:iCs/>
        </w:rPr>
        <w:t>décider</w:t>
      </w:r>
      <w:proofErr w:type="spellEnd"/>
      <w:r w:rsidRPr="00EE3E8D">
        <w:rPr>
          <w:i/>
          <w:iCs/>
        </w:rPr>
        <w:t xml:space="preserve"> avec qui a lieu </w:t>
      </w:r>
      <w:proofErr w:type="spellStart"/>
      <w:r w:rsidRPr="00EE3E8D">
        <w:rPr>
          <w:i/>
          <w:iCs/>
        </w:rPr>
        <w:t>ce</w:t>
      </w:r>
      <w:proofErr w:type="spellEnd"/>
      <w:r w:rsidRPr="00EE3E8D">
        <w:rPr>
          <w:i/>
          <w:iCs/>
        </w:rPr>
        <w:t xml:space="preserve"> </w:t>
      </w:r>
      <w:proofErr w:type="spellStart"/>
      <w:r w:rsidRPr="00EE3E8D">
        <w:rPr>
          <w:i/>
          <w:iCs/>
        </w:rPr>
        <w:t>partage</w:t>
      </w:r>
      <w:proofErr w:type="spellEnd"/>
      <w:r w:rsidRPr="00EE3E8D">
        <w:rPr>
          <w:i/>
          <w:iCs/>
        </w:rPr>
        <w:t xml:space="preserve">. </w:t>
      </w:r>
      <w:proofErr w:type="gramStart"/>
      <w:r w:rsidRPr="00EE3E8D">
        <w:rPr>
          <w:i/>
          <w:iCs/>
        </w:rPr>
        <w:t xml:space="preserve">Pour </w:t>
      </w:r>
      <w:proofErr w:type="spellStart"/>
      <w:r w:rsidRPr="00EE3E8D">
        <w:rPr>
          <w:i/>
          <w:iCs/>
        </w:rPr>
        <w:t>cela</w:t>
      </w:r>
      <w:proofErr w:type="spellEnd"/>
      <w:r w:rsidRPr="00EE3E8D">
        <w:rPr>
          <w:i/>
          <w:iCs/>
        </w:rPr>
        <w:t xml:space="preserve">, on </w:t>
      </w:r>
      <w:proofErr w:type="spellStart"/>
      <w:r w:rsidRPr="00EE3E8D">
        <w:rPr>
          <w:i/>
          <w:iCs/>
        </w:rPr>
        <w:t>peut</w:t>
      </w:r>
      <w:proofErr w:type="spellEnd"/>
      <w:r w:rsidRPr="00EE3E8D">
        <w:rPr>
          <w:i/>
          <w:iCs/>
        </w:rPr>
        <w:t xml:space="preserve"> utiliser par </w:t>
      </w:r>
      <w:proofErr w:type="spellStart"/>
      <w:r w:rsidRPr="00EE3E8D">
        <w:rPr>
          <w:i/>
          <w:iCs/>
        </w:rPr>
        <w:t>exemple</w:t>
      </w:r>
      <w:proofErr w:type="spellEnd"/>
      <w:r w:rsidRPr="00EE3E8D">
        <w:rPr>
          <w:i/>
          <w:iCs/>
        </w:rPr>
        <w:t xml:space="preserve"> </w:t>
      </w:r>
      <w:proofErr w:type="spellStart"/>
      <w:r w:rsidRPr="00EE3E8D">
        <w:rPr>
          <w:i/>
          <w:iCs/>
        </w:rPr>
        <w:t>une</w:t>
      </w:r>
      <w:proofErr w:type="spellEnd"/>
      <w:r w:rsidRPr="00EE3E8D">
        <w:rPr>
          <w:i/>
          <w:iCs/>
        </w:rPr>
        <w:t xml:space="preserve"> </w:t>
      </w:r>
      <w:proofErr w:type="spellStart"/>
      <w:r w:rsidRPr="00EE3E8D">
        <w:rPr>
          <w:i/>
          <w:iCs/>
        </w:rPr>
        <w:t>fonctionnalité</w:t>
      </w:r>
      <w:proofErr w:type="spellEnd"/>
      <w:r w:rsidRPr="00EE3E8D">
        <w:rPr>
          <w:i/>
          <w:iCs/>
        </w:rPr>
        <w:t xml:space="preserve"> Do Not Track, qui </w:t>
      </w:r>
      <w:proofErr w:type="spellStart"/>
      <w:r w:rsidRPr="00EE3E8D">
        <w:rPr>
          <w:i/>
          <w:iCs/>
        </w:rPr>
        <w:t>leur</w:t>
      </w:r>
      <w:proofErr w:type="spellEnd"/>
      <w:r w:rsidRPr="00EE3E8D">
        <w:rPr>
          <w:i/>
          <w:iCs/>
        </w:rPr>
        <w:t xml:space="preserve"> </w:t>
      </w:r>
      <w:proofErr w:type="spellStart"/>
      <w:r w:rsidRPr="00EE3E8D">
        <w:rPr>
          <w:i/>
          <w:iCs/>
        </w:rPr>
        <w:t>permette</w:t>
      </w:r>
      <w:proofErr w:type="spellEnd"/>
      <w:r w:rsidRPr="00EE3E8D">
        <w:rPr>
          <w:i/>
          <w:iCs/>
        </w:rPr>
        <w:t xml:space="preserve"> de ne pas </w:t>
      </w:r>
      <w:proofErr w:type="spellStart"/>
      <w:r w:rsidRPr="00EE3E8D">
        <w:rPr>
          <w:i/>
          <w:iCs/>
        </w:rPr>
        <w:t>participer</w:t>
      </w:r>
      <w:proofErr w:type="spellEnd"/>
      <w:r w:rsidRPr="00EE3E8D">
        <w:rPr>
          <w:i/>
          <w:iCs/>
        </w:rPr>
        <w:t xml:space="preserve"> au </w:t>
      </w:r>
      <w:proofErr w:type="spellStart"/>
      <w:r w:rsidRPr="00EE3E8D">
        <w:rPr>
          <w:i/>
          <w:iCs/>
        </w:rPr>
        <w:t>suivi</w:t>
      </w:r>
      <w:proofErr w:type="spellEnd"/>
      <w:r w:rsidRPr="00EE3E8D">
        <w:rPr>
          <w:i/>
          <w:iCs/>
        </w:rPr>
        <w:t xml:space="preserve"> en </w:t>
      </w:r>
      <w:proofErr w:type="spellStart"/>
      <w:r w:rsidRPr="00EE3E8D">
        <w:rPr>
          <w:i/>
          <w:iCs/>
        </w:rPr>
        <w:t>ligne</w:t>
      </w:r>
      <w:proofErr w:type="spellEnd"/>
      <w:r w:rsidRPr="00EE3E8D">
        <w:rPr>
          <w:i/>
          <w:iCs/>
        </w:rPr>
        <w:t>.</w:t>
      </w:r>
      <w:proofErr w:type="gramEnd"/>
    </w:p>
    <w:p w:rsidR="00A078B3" w:rsidRPr="007D1EB2" w:rsidRDefault="002909C4" w:rsidP="007D1EB2">
      <w:pPr>
        <w:pStyle w:val="Figure"/>
        <w:jc w:val="left"/>
        <w:rPr>
          <w:b/>
          <w:bCs w:val="0"/>
          <w:i/>
          <w:iCs/>
        </w:rPr>
      </w:pPr>
      <w:proofErr w:type="spellStart"/>
      <w:r w:rsidRPr="00EE3E8D">
        <w:rPr>
          <w:b/>
          <w:i/>
          <w:iCs/>
        </w:rPr>
        <w:t>Améliorer</w:t>
      </w:r>
      <w:proofErr w:type="spellEnd"/>
      <w:r w:rsidRPr="00EE3E8D">
        <w:rPr>
          <w:b/>
          <w:i/>
          <w:iCs/>
        </w:rPr>
        <w:t xml:space="preserve"> la </w:t>
      </w:r>
      <w:proofErr w:type="spellStart"/>
      <w:r w:rsidRPr="00EE3E8D">
        <w:rPr>
          <w:b/>
          <w:i/>
          <w:iCs/>
        </w:rPr>
        <w:t>transparence</w:t>
      </w:r>
      <w:proofErr w:type="spellEnd"/>
    </w:p>
    <w:p w:rsidR="00A078B3" w:rsidRPr="007D1EB2" w:rsidRDefault="002909C4" w:rsidP="007D1EB2">
      <w:pPr>
        <w:pStyle w:val="Figure"/>
        <w:ind w:left="0" w:firstLine="0"/>
        <w:jc w:val="left"/>
        <w:rPr>
          <w:i/>
          <w:iCs/>
        </w:rPr>
      </w:pPr>
      <w:r w:rsidRPr="00EE3E8D">
        <w:rPr>
          <w:i/>
          <w:iCs/>
        </w:rPr>
        <w:t xml:space="preserve">Les </w:t>
      </w:r>
      <w:proofErr w:type="spellStart"/>
      <w:r w:rsidRPr="00EE3E8D">
        <w:rPr>
          <w:i/>
          <w:iCs/>
        </w:rPr>
        <w:t>entreprises</w:t>
      </w:r>
      <w:proofErr w:type="spellEnd"/>
      <w:r w:rsidRPr="00EE3E8D">
        <w:rPr>
          <w:i/>
          <w:iCs/>
        </w:rPr>
        <w:t xml:space="preserve"> </w:t>
      </w:r>
      <w:proofErr w:type="spellStart"/>
      <w:r w:rsidRPr="00EE3E8D">
        <w:rPr>
          <w:i/>
          <w:iCs/>
        </w:rPr>
        <w:t>devraient</w:t>
      </w:r>
      <w:proofErr w:type="spellEnd"/>
      <w:r w:rsidRPr="00EE3E8D">
        <w:rPr>
          <w:i/>
          <w:iCs/>
        </w:rPr>
        <w:t xml:space="preserve"> </w:t>
      </w:r>
      <w:proofErr w:type="spellStart"/>
      <w:r w:rsidRPr="00EE3E8D">
        <w:rPr>
          <w:i/>
          <w:iCs/>
        </w:rPr>
        <w:t>fournir</w:t>
      </w:r>
      <w:proofErr w:type="spellEnd"/>
      <w:r w:rsidRPr="00EE3E8D">
        <w:rPr>
          <w:i/>
          <w:iCs/>
        </w:rPr>
        <w:t xml:space="preserve"> des </w:t>
      </w:r>
      <w:proofErr w:type="spellStart"/>
      <w:r w:rsidRPr="00EE3E8D">
        <w:rPr>
          <w:i/>
          <w:iCs/>
        </w:rPr>
        <w:t>renseignements</w:t>
      </w:r>
      <w:proofErr w:type="spellEnd"/>
      <w:r w:rsidRPr="00EE3E8D">
        <w:rPr>
          <w:i/>
          <w:iCs/>
        </w:rPr>
        <w:t xml:space="preserve"> </w:t>
      </w:r>
      <w:proofErr w:type="spellStart"/>
      <w:r w:rsidRPr="00EE3E8D">
        <w:rPr>
          <w:i/>
          <w:iCs/>
        </w:rPr>
        <w:t>concernant</w:t>
      </w:r>
      <w:proofErr w:type="spellEnd"/>
      <w:r w:rsidRPr="00EE3E8D">
        <w:rPr>
          <w:i/>
          <w:iCs/>
        </w:rPr>
        <w:t xml:space="preserve"> le type </w:t>
      </w:r>
      <w:proofErr w:type="spellStart"/>
      <w:r w:rsidRPr="00EE3E8D">
        <w:rPr>
          <w:i/>
          <w:iCs/>
        </w:rPr>
        <w:t>d'informations</w:t>
      </w:r>
      <w:proofErr w:type="spellEnd"/>
      <w:r w:rsidRPr="00EE3E8D">
        <w:rPr>
          <w:i/>
          <w:iCs/>
        </w:rPr>
        <w:t xml:space="preserve"> </w:t>
      </w:r>
      <w:proofErr w:type="spellStart"/>
      <w:r w:rsidRPr="00EE3E8D">
        <w:rPr>
          <w:i/>
          <w:iCs/>
        </w:rPr>
        <w:t>personnelles</w:t>
      </w:r>
      <w:proofErr w:type="spellEnd"/>
      <w:r w:rsidRPr="00EE3E8D">
        <w:rPr>
          <w:i/>
          <w:iCs/>
        </w:rPr>
        <w:t xml:space="preserve"> </w:t>
      </w:r>
      <w:proofErr w:type="spellStart"/>
      <w:r w:rsidRPr="00EE3E8D">
        <w:rPr>
          <w:i/>
          <w:iCs/>
        </w:rPr>
        <w:t>qu'ils</w:t>
      </w:r>
      <w:proofErr w:type="spellEnd"/>
      <w:r w:rsidRPr="00EE3E8D">
        <w:rPr>
          <w:i/>
          <w:iCs/>
        </w:rPr>
        <w:t xml:space="preserve"> </w:t>
      </w:r>
      <w:proofErr w:type="spellStart"/>
      <w:r w:rsidRPr="00EE3E8D">
        <w:rPr>
          <w:i/>
          <w:iCs/>
        </w:rPr>
        <w:t>collectent</w:t>
      </w:r>
      <w:proofErr w:type="spellEnd"/>
      <w:r w:rsidRPr="00EE3E8D">
        <w:rPr>
          <w:i/>
          <w:iCs/>
        </w:rPr>
        <w:t xml:space="preserve"> </w:t>
      </w:r>
      <w:proofErr w:type="gramStart"/>
      <w:r w:rsidRPr="00EE3E8D">
        <w:rPr>
          <w:i/>
          <w:iCs/>
        </w:rPr>
        <w:t xml:space="preserve">et </w:t>
      </w:r>
      <w:proofErr w:type="spellStart"/>
      <w:r w:rsidRPr="00EE3E8D">
        <w:rPr>
          <w:i/>
          <w:iCs/>
        </w:rPr>
        <w:t>l'utilisation</w:t>
      </w:r>
      <w:proofErr w:type="spellEnd"/>
      <w:r w:rsidRPr="00EE3E8D">
        <w:rPr>
          <w:i/>
          <w:iCs/>
        </w:rPr>
        <w:t xml:space="preserve"> qui en </w:t>
      </w:r>
      <w:proofErr w:type="spellStart"/>
      <w:r w:rsidRPr="00EE3E8D">
        <w:rPr>
          <w:i/>
          <w:iCs/>
        </w:rPr>
        <w:t>est</w:t>
      </w:r>
      <w:proofErr w:type="spellEnd"/>
      <w:proofErr w:type="gramEnd"/>
      <w:r w:rsidRPr="00EE3E8D">
        <w:rPr>
          <w:i/>
          <w:iCs/>
        </w:rPr>
        <w:t xml:space="preserve"> </w:t>
      </w:r>
      <w:proofErr w:type="spellStart"/>
      <w:r w:rsidRPr="00EE3E8D">
        <w:rPr>
          <w:i/>
          <w:iCs/>
        </w:rPr>
        <w:t>faite</w:t>
      </w:r>
      <w:proofErr w:type="spellEnd"/>
      <w:r w:rsidRPr="00EE3E8D">
        <w:rPr>
          <w:i/>
          <w:iCs/>
        </w:rPr>
        <w:t xml:space="preserve">, </w:t>
      </w:r>
      <w:proofErr w:type="spellStart"/>
      <w:r w:rsidRPr="00EE3E8D">
        <w:rPr>
          <w:i/>
          <w:iCs/>
        </w:rPr>
        <w:t>ainsi</w:t>
      </w:r>
      <w:proofErr w:type="spellEnd"/>
      <w:r w:rsidRPr="00EE3E8D">
        <w:rPr>
          <w:i/>
          <w:iCs/>
        </w:rPr>
        <w:t xml:space="preserve"> </w:t>
      </w:r>
      <w:proofErr w:type="spellStart"/>
      <w:r w:rsidRPr="00EE3E8D">
        <w:rPr>
          <w:i/>
          <w:iCs/>
        </w:rPr>
        <w:t>que</w:t>
      </w:r>
      <w:proofErr w:type="spellEnd"/>
      <w:r w:rsidRPr="00EE3E8D">
        <w:rPr>
          <w:i/>
          <w:iCs/>
        </w:rPr>
        <w:t xml:space="preserve"> </w:t>
      </w:r>
      <w:proofErr w:type="spellStart"/>
      <w:r w:rsidRPr="00EE3E8D">
        <w:rPr>
          <w:i/>
          <w:iCs/>
        </w:rPr>
        <w:t>donner</w:t>
      </w:r>
      <w:proofErr w:type="spellEnd"/>
      <w:r w:rsidRPr="00EE3E8D">
        <w:rPr>
          <w:i/>
          <w:iCs/>
        </w:rPr>
        <w:t xml:space="preserve"> </w:t>
      </w:r>
      <w:proofErr w:type="spellStart"/>
      <w:r w:rsidRPr="00EE3E8D">
        <w:rPr>
          <w:i/>
          <w:iCs/>
        </w:rPr>
        <w:t>accès</w:t>
      </w:r>
      <w:proofErr w:type="spellEnd"/>
      <w:r w:rsidRPr="00EE3E8D">
        <w:rPr>
          <w:i/>
          <w:iCs/>
        </w:rPr>
        <w:t xml:space="preserve"> aux </w:t>
      </w:r>
      <w:proofErr w:type="spellStart"/>
      <w:r w:rsidRPr="00EE3E8D">
        <w:rPr>
          <w:i/>
          <w:iCs/>
        </w:rPr>
        <w:t>consommateurs</w:t>
      </w:r>
      <w:proofErr w:type="spellEnd"/>
      <w:r w:rsidRPr="00EE3E8D">
        <w:rPr>
          <w:i/>
          <w:iCs/>
        </w:rPr>
        <w:t xml:space="preserve"> à </w:t>
      </w:r>
      <w:proofErr w:type="spellStart"/>
      <w:r w:rsidRPr="00EE3E8D">
        <w:rPr>
          <w:i/>
          <w:iCs/>
        </w:rPr>
        <w:t>leurs</w:t>
      </w:r>
      <w:proofErr w:type="spellEnd"/>
      <w:r w:rsidRPr="00EE3E8D">
        <w:rPr>
          <w:i/>
          <w:iCs/>
        </w:rPr>
        <w:t xml:space="preserve"> </w:t>
      </w:r>
      <w:proofErr w:type="spellStart"/>
      <w:r w:rsidRPr="00EE3E8D">
        <w:rPr>
          <w:i/>
          <w:iCs/>
        </w:rPr>
        <w:t>données</w:t>
      </w:r>
      <w:proofErr w:type="spellEnd"/>
      <w:r w:rsidRPr="00EE3E8D">
        <w:rPr>
          <w:i/>
          <w:iCs/>
        </w:rPr>
        <w:t>.</w:t>
      </w:r>
    </w:p>
    <w:p w:rsidR="00A078B3" w:rsidRPr="007D1EB2" w:rsidRDefault="002909C4" w:rsidP="007D1EB2">
      <w:pPr>
        <w:pStyle w:val="figuresource"/>
      </w:pPr>
      <w:r w:rsidRPr="007F6934">
        <w:rPr>
          <w:lang w:val="en-US"/>
        </w:rPr>
        <w:t>Source: Protecting Consumer Privacy in an Era of Rapid Change: Recommendations for Businesses and Policymakers, United States Federal Trade Commission, 2012</w:t>
      </w:r>
      <w:r w:rsidRPr="00EE3E8D">
        <w:rPr>
          <w:vertAlign w:val="superscript"/>
          <w:lang w:val="fr-FR"/>
        </w:rPr>
        <w:footnoteReference w:id="55"/>
      </w:r>
    </w:p>
    <w:p w:rsidR="00526BDB" w:rsidRPr="002909C4" w:rsidRDefault="002909C4" w:rsidP="002909C4">
      <w:pPr>
        <w:pStyle w:val="Heading1"/>
      </w:pPr>
      <w:bookmarkStart w:id="45" w:name="_Toc354053103"/>
      <w:bookmarkStart w:id="46" w:name="_Toc367349747"/>
      <w:r w:rsidRPr="00134353">
        <w:t xml:space="preserve">Section 5: </w:t>
      </w:r>
      <w:proofErr w:type="spellStart"/>
      <w:r w:rsidRPr="00134353">
        <w:t>Lignes</w:t>
      </w:r>
      <w:proofErr w:type="spellEnd"/>
      <w:r w:rsidRPr="00134353">
        <w:t xml:space="preserve"> </w:t>
      </w:r>
      <w:proofErr w:type="spellStart"/>
      <w:r w:rsidRPr="00134353">
        <w:t>directrices</w:t>
      </w:r>
      <w:proofErr w:type="spellEnd"/>
      <w:r w:rsidRPr="00134353">
        <w:t xml:space="preserve"> </w:t>
      </w:r>
      <w:proofErr w:type="gramStart"/>
      <w:r w:rsidRPr="00134353">
        <w:t>et</w:t>
      </w:r>
      <w:proofErr w:type="gramEnd"/>
      <w:r w:rsidRPr="00134353">
        <w:t xml:space="preserve"> </w:t>
      </w:r>
      <w:proofErr w:type="spellStart"/>
      <w:r w:rsidRPr="00134353">
        <w:t>recommandations</w:t>
      </w:r>
      <w:proofErr w:type="spellEnd"/>
      <w:r w:rsidRPr="00134353">
        <w:t xml:space="preserve"> </w:t>
      </w:r>
      <w:proofErr w:type="spellStart"/>
      <w:r w:rsidRPr="00134353">
        <w:t>sur</w:t>
      </w:r>
      <w:proofErr w:type="spellEnd"/>
      <w:r w:rsidRPr="00134353">
        <w:t xml:space="preserve"> des </w:t>
      </w:r>
      <w:proofErr w:type="spellStart"/>
      <w:r w:rsidRPr="00134353">
        <w:t>méthodes</w:t>
      </w:r>
      <w:proofErr w:type="spellEnd"/>
      <w:r w:rsidRPr="00134353">
        <w:t xml:space="preserve"> et des </w:t>
      </w:r>
      <w:proofErr w:type="spellStart"/>
      <w:r w:rsidRPr="00134353">
        <w:t>pratiques</w:t>
      </w:r>
      <w:proofErr w:type="spellEnd"/>
      <w:r w:rsidRPr="00134353">
        <w:t xml:space="preserve"> </w:t>
      </w:r>
      <w:proofErr w:type="spellStart"/>
      <w:r w:rsidRPr="00134353">
        <w:t>efficaces</w:t>
      </w:r>
      <w:proofErr w:type="spellEnd"/>
      <w:r w:rsidRPr="00134353">
        <w:t xml:space="preserve"> pour </w:t>
      </w:r>
      <w:proofErr w:type="spellStart"/>
      <w:r w:rsidRPr="00134353">
        <w:t>relever</w:t>
      </w:r>
      <w:proofErr w:type="spellEnd"/>
      <w:r w:rsidRPr="00134353">
        <w:t xml:space="preserve"> les </w:t>
      </w:r>
      <w:proofErr w:type="spellStart"/>
      <w:r w:rsidRPr="00134353">
        <w:t>défis</w:t>
      </w:r>
      <w:proofErr w:type="spellEnd"/>
      <w:r w:rsidRPr="00134353">
        <w:t xml:space="preserve"> </w:t>
      </w:r>
      <w:proofErr w:type="spellStart"/>
      <w:r w:rsidRPr="00134353">
        <w:t>liés</w:t>
      </w:r>
      <w:proofErr w:type="spellEnd"/>
      <w:r w:rsidRPr="00134353">
        <w:t xml:space="preserve"> à la convergence</w:t>
      </w:r>
      <w:bookmarkEnd w:id="45"/>
      <w:bookmarkEnd w:id="46"/>
    </w:p>
    <w:p w:rsidR="00526BDB" w:rsidRPr="003F265B" w:rsidRDefault="00943AEF" w:rsidP="00526BDB">
      <w:pPr>
        <w:rPr>
          <w:lang w:val="en-GB"/>
        </w:rPr>
      </w:pPr>
      <w:r w:rsidRPr="00134353">
        <w:rPr>
          <w:sz w:val="22"/>
        </w:rPr>
        <w:t>Les deux tiers des participants à l'étude ont convenu qu'il était dans l'ensemble nécessaire de disposer d'un plus grand nombre de lignes directrices et de recommandations en matière de protection des consommateurs dans un environnement issu de la convergence. Les lignes directrices et bonnes pratiques suivantes sont basées sur les résultats de l'enquête ainsi que sur des exemples relevés dans le cadre de la préparation du présent rapport.</w:t>
      </w:r>
    </w:p>
    <w:p w:rsidR="00526BDB" w:rsidRPr="003F265B" w:rsidRDefault="00943AEF" w:rsidP="00535F08">
      <w:pPr>
        <w:keepNext/>
        <w:rPr>
          <w:b/>
          <w:bCs/>
          <w:i/>
          <w:iCs/>
          <w:lang w:val="en-GB"/>
        </w:rPr>
      </w:pPr>
      <w:r w:rsidRPr="00134353">
        <w:rPr>
          <w:b/>
          <w:bCs/>
          <w:i/>
          <w:iCs/>
          <w:sz w:val="22"/>
        </w:rPr>
        <w:t>Règles d'or en matière de convergence</w:t>
      </w:r>
    </w:p>
    <w:p w:rsidR="00526BDB" w:rsidRPr="003F265B" w:rsidRDefault="00943AEF" w:rsidP="00535F08">
      <w:pPr>
        <w:keepNext/>
        <w:rPr>
          <w:i/>
          <w:lang w:val="en-GB"/>
        </w:rPr>
      </w:pPr>
      <w:r w:rsidRPr="00134353">
        <w:rPr>
          <w:i/>
          <w:sz w:val="22"/>
        </w:rPr>
        <w:t>Mise à jour de la législation et/ou de la réglementation existante pour en garantir l'efficacité dans un cadre réglementaire issu de la convergence</w:t>
      </w:r>
    </w:p>
    <w:p w:rsidR="00943AEF" w:rsidRPr="00134353" w:rsidRDefault="00943AEF" w:rsidP="00943AEF">
      <w:pPr>
        <w:pStyle w:val="Enumlevel1"/>
      </w:pPr>
      <w:r w:rsidRPr="00134353">
        <w:rPr>
          <w:color w:val="E36C0A"/>
        </w:rPr>
        <w:t>•</w:t>
      </w:r>
      <w:r w:rsidRPr="00134353">
        <w:rPr>
          <w:color w:val="E36C0A"/>
        </w:rPr>
        <w:tab/>
      </w:r>
      <w:proofErr w:type="spellStart"/>
      <w:r w:rsidRPr="00134353">
        <w:t>Remédier</w:t>
      </w:r>
      <w:proofErr w:type="spellEnd"/>
      <w:r w:rsidRPr="00134353">
        <w:t xml:space="preserve"> à tout obstacle </w:t>
      </w:r>
      <w:proofErr w:type="spellStart"/>
      <w:r w:rsidRPr="00134353">
        <w:t>d'ordre</w:t>
      </w:r>
      <w:proofErr w:type="spellEnd"/>
      <w:r w:rsidRPr="00134353">
        <w:t xml:space="preserve"> technique </w:t>
      </w:r>
      <w:proofErr w:type="spellStart"/>
      <w:r w:rsidRPr="00134353">
        <w:t>ou</w:t>
      </w:r>
      <w:proofErr w:type="spellEnd"/>
      <w:r w:rsidRPr="00134353">
        <w:t xml:space="preserve"> </w:t>
      </w:r>
      <w:proofErr w:type="spellStart"/>
      <w:r w:rsidRPr="00134353">
        <w:t>lié</w:t>
      </w:r>
      <w:proofErr w:type="spellEnd"/>
      <w:r w:rsidRPr="00134353">
        <w:t xml:space="preserve"> à </w:t>
      </w:r>
      <w:proofErr w:type="spellStart"/>
      <w:r w:rsidRPr="00134353">
        <w:t>l'infrastructure</w:t>
      </w:r>
      <w:proofErr w:type="spellEnd"/>
      <w:r w:rsidRPr="00134353">
        <w:t xml:space="preserve"> susceptible de dissuader les </w:t>
      </w:r>
      <w:proofErr w:type="spellStart"/>
      <w:r w:rsidRPr="00134353">
        <w:t>consommateurs</w:t>
      </w:r>
      <w:proofErr w:type="spellEnd"/>
      <w:r w:rsidRPr="00134353">
        <w:t xml:space="preserve"> de </w:t>
      </w:r>
      <w:proofErr w:type="spellStart"/>
      <w:r w:rsidRPr="00134353">
        <w:t>s'abonner</w:t>
      </w:r>
      <w:proofErr w:type="spellEnd"/>
      <w:r w:rsidRPr="00134353">
        <w:t xml:space="preserve"> à de nouveaux </w:t>
      </w:r>
      <w:proofErr w:type="spellStart"/>
      <w:r w:rsidRPr="00134353">
        <w:t>produits</w:t>
      </w:r>
      <w:proofErr w:type="spellEnd"/>
      <w:r w:rsidRPr="00134353">
        <w:t xml:space="preserve"> </w:t>
      </w:r>
      <w:proofErr w:type="gramStart"/>
      <w:r w:rsidRPr="00134353">
        <w:t>et</w:t>
      </w:r>
      <w:proofErr w:type="gramEnd"/>
      <w:r w:rsidRPr="00134353">
        <w:t xml:space="preserve"> services (p</w:t>
      </w:r>
      <w:r>
        <w:t>ar</w:t>
      </w:r>
      <w:r w:rsidRPr="00134353">
        <w:t xml:space="preserve"> </w:t>
      </w:r>
      <w:proofErr w:type="spellStart"/>
      <w:r w:rsidRPr="00134353">
        <w:t>ex</w:t>
      </w:r>
      <w:r>
        <w:t>emple</w:t>
      </w:r>
      <w:proofErr w:type="spellEnd"/>
      <w:r w:rsidRPr="00134353">
        <w:t xml:space="preserve"> </w:t>
      </w:r>
      <w:proofErr w:type="spellStart"/>
      <w:r w:rsidRPr="00134353">
        <w:t>insuffisance</w:t>
      </w:r>
      <w:proofErr w:type="spellEnd"/>
      <w:r w:rsidRPr="00134353">
        <w:t xml:space="preserve"> </w:t>
      </w:r>
      <w:proofErr w:type="spellStart"/>
      <w:r w:rsidRPr="00134353">
        <w:t>ou</w:t>
      </w:r>
      <w:proofErr w:type="spellEnd"/>
      <w:r w:rsidRPr="00134353">
        <w:t xml:space="preserve"> interruption de </w:t>
      </w:r>
      <w:proofErr w:type="spellStart"/>
      <w:r w:rsidRPr="00134353">
        <w:t>l'accès</w:t>
      </w:r>
      <w:proofErr w:type="spellEnd"/>
      <w:r w:rsidRPr="00134353">
        <w:t xml:space="preserve"> au large </w:t>
      </w:r>
      <w:proofErr w:type="spellStart"/>
      <w:r w:rsidRPr="00134353">
        <w:t>bande</w:t>
      </w:r>
      <w:proofErr w:type="spellEnd"/>
      <w:r w:rsidRPr="00134353">
        <w:t>)</w:t>
      </w:r>
      <w:r w:rsidRPr="00134353">
        <w:rPr>
          <w:vertAlign w:val="superscript"/>
        </w:rPr>
        <w:footnoteReference w:id="56"/>
      </w:r>
      <w:r w:rsidRPr="00134353">
        <w:t xml:space="preserve">. On </w:t>
      </w:r>
      <w:proofErr w:type="spellStart"/>
      <w:r w:rsidRPr="00134353">
        <w:t>pourrait</w:t>
      </w:r>
      <w:proofErr w:type="spellEnd"/>
      <w:r w:rsidRPr="00134353">
        <w:t xml:space="preserve"> </w:t>
      </w:r>
      <w:proofErr w:type="spellStart"/>
      <w:r w:rsidRPr="00134353">
        <w:t>notamment</w:t>
      </w:r>
      <w:proofErr w:type="spellEnd"/>
      <w:r w:rsidRPr="00134353">
        <w:t xml:space="preserve"> </w:t>
      </w:r>
      <w:proofErr w:type="spellStart"/>
      <w:r w:rsidRPr="00134353">
        <w:t>prendre</w:t>
      </w:r>
      <w:proofErr w:type="spellEnd"/>
      <w:r w:rsidRPr="00134353">
        <w:t xml:space="preserve"> des </w:t>
      </w:r>
      <w:proofErr w:type="spellStart"/>
      <w:r w:rsidRPr="00134353">
        <w:t>mesures</w:t>
      </w:r>
      <w:proofErr w:type="spellEnd"/>
      <w:r w:rsidRPr="00134353">
        <w:t xml:space="preserve"> </w:t>
      </w:r>
      <w:proofErr w:type="spellStart"/>
      <w:r w:rsidRPr="00134353">
        <w:t>visant</w:t>
      </w:r>
      <w:proofErr w:type="spellEnd"/>
      <w:r w:rsidRPr="00134353">
        <w:t xml:space="preserve"> à </w:t>
      </w:r>
      <w:proofErr w:type="spellStart"/>
      <w:r w:rsidRPr="00134353">
        <w:t>encadrer</w:t>
      </w:r>
      <w:proofErr w:type="spellEnd"/>
      <w:r w:rsidRPr="00134353">
        <w:t xml:space="preserve"> </w:t>
      </w:r>
      <w:proofErr w:type="spellStart"/>
      <w:r w:rsidRPr="00134353">
        <w:t>l'utilisation</w:t>
      </w:r>
      <w:proofErr w:type="spellEnd"/>
      <w:r w:rsidRPr="00134353">
        <w:t xml:space="preserve"> de techniques de </w:t>
      </w:r>
      <w:proofErr w:type="spellStart"/>
      <w:r w:rsidRPr="00134353">
        <w:t>gestion</w:t>
      </w:r>
      <w:proofErr w:type="spellEnd"/>
      <w:r w:rsidRPr="00134353">
        <w:t xml:space="preserve"> du </w:t>
      </w:r>
      <w:proofErr w:type="spellStart"/>
      <w:r w:rsidRPr="00134353">
        <w:t>trafic</w:t>
      </w:r>
      <w:proofErr w:type="spellEnd"/>
      <w:r w:rsidRPr="00134353">
        <w:t xml:space="preserve">, </w:t>
      </w:r>
      <w:proofErr w:type="spellStart"/>
      <w:r w:rsidRPr="00134353">
        <w:t>afin</w:t>
      </w:r>
      <w:proofErr w:type="spellEnd"/>
      <w:r w:rsidRPr="00134353">
        <w:t xml:space="preserve"> </w:t>
      </w:r>
      <w:proofErr w:type="spellStart"/>
      <w:r w:rsidRPr="00134353">
        <w:t>d'empêcher</w:t>
      </w:r>
      <w:proofErr w:type="spellEnd"/>
      <w:r w:rsidRPr="00134353">
        <w:t xml:space="preserve"> la discrimination </w:t>
      </w:r>
      <w:proofErr w:type="spellStart"/>
      <w:r w:rsidRPr="00134353">
        <w:t>déloyale</w:t>
      </w:r>
      <w:proofErr w:type="spellEnd"/>
      <w:r w:rsidRPr="00134353">
        <w:t xml:space="preserve"> entre les </w:t>
      </w:r>
      <w:proofErr w:type="spellStart"/>
      <w:r w:rsidRPr="00134353">
        <w:t>acteurs</w:t>
      </w:r>
      <w:proofErr w:type="spellEnd"/>
      <w:r w:rsidRPr="00134353">
        <w:t xml:space="preserve"> du </w:t>
      </w:r>
      <w:proofErr w:type="spellStart"/>
      <w:r w:rsidRPr="00134353">
        <w:t>marché</w:t>
      </w:r>
      <w:proofErr w:type="spellEnd"/>
      <w:r w:rsidRPr="00134353">
        <w:t xml:space="preserve">, et </w:t>
      </w:r>
      <w:proofErr w:type="spellStart"/>
      <w:r w:rsidRPr="00134353">
        <w:t>assortir</w:t>
      </w:r>
      <w:proofErr w:type="spellEnd"/>
      <w:r w:rsidRPr="00134353">
        <w:t xml:space="preserve"> </w:t>
      </w:r>
      <w:proofErr w:type="spellStart"/>
      <w:r w:rsidRPr="00134353">
        <w:t>ces</w:t>
      </w:r>
      <w:proofErr w:type="spellEnd"/>
      <w:r w:rsidRPr="00134353">
        <w:t xml:space="preserve"> </w:t>
      </w:r>
      <w:proofErr w:type="spellStart"/>
      <w:r w:rsidRPr="00134353">
        <w:t>mesures</w:t>
      </w:r>
      <w:proofErr w:type="spellEnd"/>
      <w:r w:rsidRPr="00134353">
        <w:t xml:space="preserve"> de </w:t>
      </w:r>
      <w:proofErr w:type="spellStart"/>
      <w:r w:rsidRPr="00134353">
        <w:t>critères</w:t>
      </w:r>
      <w:proofErr w:type="spellEnd"/>
      <w:r w:rsidRPr="00134353">
        <w:t xml:space="preserve"> de </w:t>
      </w:r>
      <w:proofErr w:type="spellStart"/>
      <w:r w:rsidRPr="00134353">
        <w:t>qualité</w:t>
      </w:r>
      <w:proofErr w:type="spellEnd"/>
      <w:r w:rsidRPr="00134353">
        <w:t xml:space="preserve"> de service </w:t>
      </w:r>
      <w:proofErr w:type="spellStart"/>
      <w:r w:rsidRPr="00134353">
        <w:t>minimale</w:t>
      </w:r>
      <w:proofErr w:type="spellEnd"/>
      <w:r w:rsidRPr="00134353">
        <w:t xml:space="preserve">, </w:t>
      </w:r>
      <w:proofErr w:type="spellStart"/>
      <w:r w:rsidRPr="00134353">
        <w:t>afin</w:t>
      </w:r>
      <w:proofErr w:type="spellEnd"/>
      <w:r w:rsidRPr="00134353">
        <w:t xml:space="preserve"> de faire en </w:t>
      </w:r>
      <w:proofErr w:type="spellStart"/>
      <w:r w:rsidRPr="00134353">
        <w:t>sorte</w:t>
      </w:r>
      <w:proofErr w:type="spellEnd"/>
      <w:r w:rsidRPr="00134353">
        <w:t xml:space="preserve"> </w:t>
      </w:r>
      <w:proofErr w:type="spellStart"/>
      <w:r w:rsidRPr="00134353">
        <w:t>que</w:t>
      </w:r>
      <w:proofErr w:type="spellEnd"/>
      <w:r w:rsidRPr="00134353">
        <w:t xml:space="preserve"> les clients </w:t>
      </w:r>
      <w:proofErr w:type="spellStart"/>
      <w:r w:rsidRPr="00134353">
        <w:t>disposent</w:t>
      </w:r>
      <w:proofErr w:type="spellEnd"/>
      <w:r w:rsidRPr="00134353">
        <w:t xml:space="preserve"> d'un </w:t>
      </w:r>
      <w:proofErr w:type="spellStart"/>
      <w:r w:rsidRPr="00134353">
        <w:t>accès</w:t>
      </w:r>
      <w:proofErr w:type="spellEnd"/>
      <w:r w:rsidRPr="00134353">
        <w:t xml:space="preserve"> </w:t>
      </w:r>
      <w:proofErr w:type="spellStart"/>
      <w:r w:rsidRPr="00134353">
        <w:t>fiable</w:t>
      </w:r>
      <w:proofErr w:type="spellEnd"/>
      <w:r w:rsidRPr="00134353">
        <w:t xml:space="preserve"> aux nouveaux services, </w:t>
      </w:r>
      <w:proofErr w:type="spellStart"/>
      <w:r w:rsidRPr="00134353">
        <w:t>tels</w:t>
      </w:r>
      <w:proofErr w:type="spellEnd"/>
      <w:r w:rsidRPr="00134353">
        <w:t xml:space="preserve"> </w:t>
      </w:r>
      <w:proofErr w:type="spellStart"/>
      <w:r w:rsidRPr="00134353">
        <w:t>que</w:t>
      </w:r>
      <w:proofErr w:type="spellEnd"/>
      <w:r w:rsidRPr="00134353">
        <w:t xml:space="preserve"> </w:t>
      </w:r>
      <w:proofErr w:type="spellStart"/>
      <w:r w:rsidRPr="00134353">
        <w:t>l'informatique</w:t>
      </w:r>
      <w:proofErr w:type="spellEnd"/>
      <w:r w:rsidRPr="00134353">
        <w:t xml:space="preserve"> en </w:t>
      </w:r>
      <w:proofErr w:type="spellStart"/>
      <w:r w:rsidRPr="00134353">
        <w:t>nuage</w:t>
      </w:r>
      <w:proofErr w:type="spellEnd"/>
      <w:r w:rsidRPr="00134353">
        <w:t>.</w:t>
      </w:r>
    </w:p>
    <w:p w:rsidR="00943AEF" w:rsidRPr="00134353" w:rsidRDefault="00943AEF" w:rsidP="00943AEF">
      <w:pPr>
        <w:pStyle w:val="Enumlevel1"/>
      </w:pPr>
      <w:r w:rsidRPr="00134353">
        <w:rPr>
          <w:color w:val="E36C0A"/>
        </w:rPr>
        <w:lastRenderedPageBreak/>
        <w:t>•</w:t>
      </w:r>
      <w:r w:rsidRPr="00134353">
        <w:rPr>
          <w:color w:val="E36C0A"/>
        </w:rPr>
        <w:tab/>
      </w:r>
      <w:r w:rsidRPr="00134353">
        <w:t xml:space="preserve">Faire en </w:t>
      </w:r>
      <w:proofErr w:type="spellStart"/>
      <w:r w:rsidRPr="00134353">
        <w:t>sorte</w:t>
      </w:r>
      <w:proofErr w:type="spellEnd"/>
      <w:r w:rsidRPr="00134353">
        <w:t xml:space="preserve"> </w:t>
      </w:r>
      <w:proofErr w:type="spellStart"/>
      <w:r w:rsidRPr="00134353">
        <w:t>d'utiliser</w:t>
      </w:r>
      <w:proofErr w:type="spellEnd"/>
      <w:r w:rsidRPr="00134353">
        <w:t xml:space="preserve"> </w:t>
      </w:r>
      <w:proofErr w:type="spellStart"/>
      <w:r w:rsidRPr="00134353">
        <w:t>pleinement</w:t>
      </w:r>
      <w:proofErr w:type="spellEnd"/>
      <w:r w:rsidRPr="00134353">
        <w:t xml:space="preserve"> les </w:t>
      </w:r>
      <w:proofErr w:type="spellStart"/>
      <w:r w:rsidRPr="00134353">
        <w:t>statistiques</w:t>
      </w:r>
      <w:proofErr w:type="spellEnd"/>
      <w:r w:rsidRPr="00134353">
        <w:t xml:space="preserve"> </w:t>
      </w:r>
      <w:proofErr w:type="spellStart"/>
      <w:r w:rsidRPr="00134353">
        <w:t>pertinentes</w:t>
      </w:r>
      <w:proofErr w:type="spellEnd"/>
      <w:r w:rsidRPr="00134353">
        <w:t xml:space="preserve"> </w:t>
      </w:r>
      <w:proofErr w:type="spellStart"/>
      <w:r w:rsidRPr="00134353">
        <w:t>sur</w:t>
      </w:r>
      <w:proofErr w:type="spellEnd"/>
      <w:r w:rsidRPr="00134353">
        <w:t xml:space="preserve"> les </w:t>
      </w:r>
      <w:proofErr w:type="spellStart"/>
      <w:r w:rsidRPr="00134353">
        <w:t>réclamations</w:t>
      </w:r>
      <w:proofErr w:type="spellEnd"/>
      <w:r w:rsidRPr="00134353">
        <w:t xml:space="preserve"> </w:t>
      </w:r>
      <w:proofErr w:type="spellStart"/>
      <w:r w:rsidRPr="00134353">
        <w:t>lors</w:t>
      </w:r>
      <w:proofErr w:type="spellEnd"/>
      <w:r w:rsidRPr="00134353">
        <w:t xml:space="preserve"> de </w:t>
      </w:r>
      <w:proofErr w:type="spellStart"/>
      <w:r w:rsidRPr="00134353">
        <w:t>l'élaboration</w:t>
      </w:r>
      <w:proofErr w:type="spellEnd"/>
      <w:r w:rsidRPr="00134353">
        <w:t xml:space="preserve"> des </w:t>
      </w:r>
      <w:proofErr w:type="spellStart"/>
      <w:r w:rsidRPr="00134353">
        <w:t>politiques</w:t>
      </w:r>
      <w:proofErr w:type="spellEnd"/>
      <w:r w:rsidRPr="00134353">
        <w:t xml:space="preserve">, </w:t>
      </w:r>
      <w:proofErr w:type="spellStart"/>
      <w:r w:rsidRPr="00134353">
        <w:t>afin</w:t>
      </w:r>
      <w:proofErr w:type="spellEnd"/>
      <w:r w:rsidRPr="00134353">
        <w:t xml:space="preserve"> de </w:t>
      </w:r>
      <w:proofErr w:type="spellStart"/>
      <w:r w:rsidRPr="00134353">
        <w:t>combler</w:t>
      </w:r>
      <w:proofErr w:type="spellEnd"/>
      <w:r w:rsidRPr="00134353">
        <w:t xml:space="preserve"> </w:t>
      </w:r>
      <w:proofErr w:type="spellStart"/>
      <w:r w:rsidRPr="00134353">
        <w:t>toute</w:t>
      </w:r>
      <w:proofErr w:type="spellEnd"/>
      <w:r w:rsidRPr="00134353">
        <w:t xml:space="preserve"> </w:t>
      </w:r>
      <w:proofErr w:type="spellStart"/>
      <w:r w:rsidRPr="00134353">
        <w:t>lacune</w:t>
      </w:r>
      <w:proofErr w:type="spellEnd"/>
      <w:r w:rsidRPr="00134353">
        <w:t xml:space="preserve"> du cadre </w:t>
      </w:r>
      <w:proofErr w:type="spellStart"/>
      <w:r w:rsidRPr="00134353">
        <w:t>législatif</w:t>
      </w:r>
      <w:proofErr w:type="spellEnd"/>
      <w:r w:rsidRPr="00134353">
        <w:t xml:space="preserve"> </w:t>
      </w:r>
      <w:proofErr w:type="spellStart"/>
      <w:r w:rsidRPr="00134353">
        <w:t>ou</w:t>
      </w:r>
      <w:proofErr w:type="spellEnd"/>
      <w:r w:rsidRPr="00134353">
        <w:t xml:space="preserve"> </w:t>
      </w:r>
      <w:proofErr w:type="spellStart"/>
      <w:r w:rsidRPr="00134353">
        <w:t>réglementaire</w:t>
      </w:r>
      <w:proofErr w:type="spellEnd"/>
      <w:r w:rsidRPr="00134353">
        <w:t>.</w:t>
      </w:r>
    </w:p>
    <w:p w:rsidR="00943AEF" w:rsidRPr="00134353" w:rsidRDefault="00943AEF" w:rsidP="00943AEF">
      <w:pPr>
        <w:pStyle w:val="Enumlevel1"/>
      </w:pPr>
      <w:r w:rsidRPr="00134353">
        <w:rPr>
          <w:color w:val="E36C0A"/>
        </w:rPr>
        <w:t>•</w:t>
      </w:r>
      <w:r w:rsidRPr="00134353">
        <w:rPr>
          <w:color w:val="E36C0A"/>
        </w:rPr>
        <w:tab/>
      </w:r>
      <w:proofErr w:type="spellStart"/>
      <w:r w:rsidRPr="00134353">
        <w:t>Revoir</w:t>
      </w:r>
      <w:proofErr w:type="spellEnd"/>
      <w:r w:rsidRPr="00134353">
        <w:t xml:space="preserve"> le cadre de la </w:t>
      </w:r>
      <w:proofErr w:type="spellStart"/>
      <w:r w:rsidRPr="00134353">
        <w:t>réglementation</w:t>
      </w:r>
      <w:proofErr w:type="spellEnd"/>
      <w:r w:rsidRPr="00134353">
        <w:t xml:space="preserve"> des </w:t>
      </w:r>
      <w:proofErr w:type="spellStart"/>
      <w:r w:rsidRPr="00134353">
        <w:t>contenus</w:t>
      </w:r>
      <w:proofErr w:type="spellEnd"/>
      <w:r w:rsidRPr="00134353">
        <w:t xml:space="preserve">, en </w:t>
      </w:r>
      <w:proofErr w:type="spellStart"/>
      <w:r w:rsidRPr="00134353">
        <w:t>particulier</w:t>
      </w:r>
      <w:proofErr w:type="spellEnd"/>
      <w:r w:rsidRPr="00134353">
        <w:t xml:space="preserve"> pour </w:t>
      </w:r>
      <w:proofErr w:type="spellStart"/>
      <w:proofErr w:type="gramStart"/>
      <w:r w:rsidRPr="00134353">
        <w:t>ce</w:t>
      </w:r>
      <w:proofErr w:type="spellEnd"/>
      <w:proofErr w:type="gramEnd"/>
      <w:r w:rsidRPr="00134353">
        <w:t xml:space="preserve"> qui </w:t>
      </w:r>
      <w:proofErr w:type="spellStart"/>
      <w:r w:rsidRPr="00134353">
        <w:t>est</w:t>
      </w:r>
      <w:proofErr w:type="spellEnd"/>
      <w:r w:rsidRPr="00134353">
        <w:t xml:space="preserve"> de </w:t>
      </w:r>
      <w:proofErr w:type="spellStart"/>
      <w:r w:rsidRPr="00134353">
        <w:t>l'utilisation</w:t>
      </w:r>
      <w:proofErr w:type="spellEnd"/>
      <w:r w:rsidRPr="00134353">
        <w:t xml:space="preserve"> des </w:t>
      </w:r>
      <w:proofErr w:type="spellStart"/>
      <w:r w:rsidRPr="00134353">
        <w:t>contenus</w:t>
      </w:r>
      <w:proofErr w:type="spellEnd"/>
      <w:r w:rsidRPr="00134353">
        <w:t xml:space="preserve"> </w:t>
      </w:r>
      <w:proofErr w:type="spellStart"/>
      <w:r w:rsidRPr="00134353">
        <w:t>transmis</w:t>
      </w:r>
      <w:proofErr w:type="spellEnd"/>
      <w:r w:rsidRPr="00134353">
        <w:t xml:space="preserve"> par des services </w:t>
      </w:r>
      <w:proofErr w:type="spellStart"/>
      <w:r w:rsidRPr="00134353">
        <w:t>autres</w:t>
      </w:r>
      <w:proofErr w:type="spellEnd"/>
      <w:r w:rsidRPr="00134353">
        <w:t xml:space="preserve"> </w:t>
      </w:r>
      <w:proofErr w:type="spellStart"/>
      <w:r w:rsidRPr="00134353">
        <w:t>que</w:t>
      </w:r>
      <w:proofErr w:type="spellEnd"/>
      <w:r w:rsidRPr="00134353">
        <w:t xml:space="preserve"> la </w:t>
      </w:r>
      <w:proofErr w:type="spellStart"/>
      <w:r w:rsidRPr="00134353">
        <w:t>radiodiffusion</w:t>
      </w:r>
      <w:proofErr w:type="spellEnd"/>
      <w:r w:rsidRPr="00134353">
        <w:t xml:space="preserve">. </w:t>
      </w:r>
      <w:proofErr w:type="gramStart"/>
      <w:r w:rsidRPr="00134353">
        <w:t>Un</w:t>
      </w:r>
      <w:proofErr w:type="gramEnd"/>
      <w:r w:rsidRPr="00134353">
        <w:t xml:space="preserve"> cadre </w:t>
      </w:r>
      <w:proofErr w:type="spellStart"/>
      <w:r w:rsidRPr="00134353">
        <w:t>juridique</w:t>
      </w:r>
      <w:proofErr w:type="spellEnd"/>
      <w:r w:rsidRPr="00134353">
        <w:t xml:space="preserve"> stable </w:t>
      </w:r>
      <w:proofErr w:type="spellStart"/>
      <w:r w:rsidRPr="00134353">
        <w:t>est</w:t>
      </w:r>
      <w:proofErr w:type="spellEnd"/>
      <w:r w:rsidRPr="00134353">
        <w:t xml:space="preserve"> </w:t>
      </w:r>
      <w:proofErr w:type="spellStart"/>
      <w:r w:rsidRPr="00134353">
        <w:t>essentiel</w:t>
      </w:r>
      <w:proofErr w:type="spellEnd"/>
      <w:r w:rsidRPr="00134353">
        <w:t xml:space="preserve"> à la prise de </w:t>
      </w:r>
      <w:proofErr w:type="spellStart"/>
      <w:r w:rsidRPr="00134353">
        <w:t>décisions</w:t>
      </w:r>
      <w:proofErr w:type="spellEnd"/>
      <w:r w:rsidRPr="00134353">
        <w:t xml:space="preserve"> </w:t>
      </w:r>
      <w:proofErr w:type="spellStart"/>
      <w:r w:rsidRPr="00134353">
        <w:t>opérationnelles</w:t>
      </w:r>
      <w:proofErr w:type="spellEnd"/>
      <w:r w:rsidRPr="00134353">
        <w:t xml:space="preserve"> qui </w:t>
      </w:r>
      <w:proofErr w:type="spellStart"/>
      <w:r w:rsidRPr="00134353">
        <w:t>pourront</w:t>
      </w:r>
      <w:proofErr w:type="spellEnd"/>
      <w:r w:rsidRPr="00134353">
        <w:t xml:space="preserve"> encourager le </w:t>
      </w:r>
      <w:proofErr w:type="spellStart"/>
      <w:r w:rsidRPr="00134353">
        <w:t>développement</w:t>
      </w:r>
      <w:proofErr w:type="spellEnd"/>
      <w:r w:rsidRPr="00134353">
        <w:t xml:space="preserve"> et la </w:t>
      </w:r>
      <w:proofErr w:type="spellStart"/>
      <w:r w:rsidRPr="00134353">
        <w:t>croissance</w:t>
      </w:r>
      <w:proofErr w:type="spellEnd"/>
      <w:r w:rsidRPr="00134353">
        <w:t xml:space="preserve"> des services </w:t>
      </w:r>
      <w:proofErr w:type="spellStart"/>
      <w:r w:rsidRPr="00134353">
        <w:t>issus</w:t>
      </w:r>
      <w:proofErr w:type="spellEnd"/>
      <w:r w:rsidRPr="00134353">
        <w:t xml:space="preserve"> de la convergence</w:t>
      </w:r>
      <w:r w:rsidRPr="00134353">
        <w:rPr>
          <w:vertAlign w:val="superscript"/>
        </w:rPr>
        <w:footnoteReference w:id="57"/>
      </w:r>
      <w:r w:rsidRPr="00134353">
        <w:t>.</w:t>
      </w:r>
    </w:p>
    <w:p w:rsidR="00943AEF" w:rsidRPr="00134353" w:rsidRDefault="00943AEF" w:rsidP="00943AEF">
      <w:pPr>
        <w:pStyle w:val="Enumlevel1"/>
      </w:pPr>
      <w:r w:rsidRPr="00134353">
        <w:rPr>
          <w:color w:val="E36C0A"/>
        </w:rPr>
        <w:t>•</w:t>
      </w:r>
      <w:r w:rsidRPr="00134353">
        <w:rPr>
          <w:color w:val="E36C0A"/>
        </w:rPr>
        <w:tab/>
      </w:r>
      <w:proofErr w:type="spellStart"/>
      <w:r w:rsidRPr="00134353">
        <w:t>Procéder</w:t>
      </w:r>
      <w:proofErr w:type="spellEnd"/>
      <w:r w:rsidRPr="00134353">
        <w:t xml:space="preserve"> </w:t>
      </w:r>
      <w:proofErr w:type="spellStart"/>
      <w:r w:rsidRPr="00134353">
        <w:t>systématiquement</w:t>
      </w:r>
      <w:proofErr w:type="spellEnd"/>
      <w:r w:rsidRPr="00134353">
        <w:t xml:space="preserve"> à des </w:t>
      </w:r>
      <w:proofErr w:type="spellStart"/>
      <w:r w:rsidRPr="00134353">
        <w:t>évaluations</w:t>
      </w:r>
      <w:proofErr w:type="spellEnd"/>
      <w:r w:rsidRPr="00134353">
        <w:t xml:space="preserve"> </w:t>
      </w:r>
      <w:proofErr w:type="spellStart"/>
      <w:r w:rsidRPr="00134353">
        <w:t>d'impact</w:t>
      </w:r>
      <w:proofErr w:type="spellEnd"/>
      <w:r w:rsidRPr="00134353">
        <w:t xml:space="preserve">, </w:t>
      </w:r>
      <w:proofErr w:type="spellStart"/>
      <w:r w:rsidRPr="00134353">
        <w:t>afin</w:t>
      </w:r>
      <w:proofErr w:type="spellEnd"/>
      <w:r w:rsidRPr="00134353">
        <w:t xml:space="preserve"> de </w:t>
      </w:r>
      <w:proofErr w:type="spellStart"/>
      <w:r w:rsidRPr="00134353">
        <w:t>favoriser</w:t>
      </w:r>
      <w:proofErr w:type="spellEnd"/>
      <w:r w:rsidRPr="00134353">
        <w:t xml:space="preserve"> </w:t>
      </w:r>
      <w:proofErr w:type="spellStart"/>
      <w:r w:rsidRPr="00134353">
        <w:t>l'élaboration</w:t>
      </w:r>
      <w:proofErr w:type="spellEnd"/>
      <w:r w:rsidRPr="00134353">
        <w:t xml:space="preserve"> de </w:t>
      </w:r>
      <w:proofErr w:type="spellStart"/>
      <w:r w:rsidRPr="00134353">
        <w:t>politiques</w:t>
      </w:r>
      <w:proofErr w:type="spellEnd"/>
      <w:r w:rsidRPr="00134353">
        <w:t xml:space="preserve"> </w:t>
      </w:r>
      <w:proofErr w:type="spellStart"/>
      <w:r w:rsidRPr="00134353">
        <w:t>fondées</w:t>
      </w:r>
      <w:proofErr w:type="spellEnd"/>
      <w:r w:rsidRPr="00134353">
        <w:t xml:space="preserve"> </w:t>
      </w:r>
      <w:proofErr w:type="spellStart"/>
      <w:r w:rsidRPr="00134353">
        <w:t>sur</w:t>
      </w:r>
      <w:proofErr w:type="spellEnd"/>
      <w:r w:rsidRPr="00134353">
        <w:t xml:space="preserve"> des </w:t>
      </w:r>
      <w:proofErr w:type="spellStart"/>
      <w:r w:rsidRPr="00134353">
        <w:t>données</w:t>
      </w:r>
      <w:proofErr w:type="spellEnd"/>
      <w:r w:rsidRPr="00134353">
        <w:t xml:space="preserve"> </w:t>
      </w:r>
      <w:proofErr w:type="spellStart"/>
      <w:r w:rsidRPr="00134353">
        <w:t>probantes</w:t>
      </w:r>
      <w:proofErr w:type="spellEnd"/>
      <w:r w:rsidRPr="00134353">
        <w:t xml:space="preserve">. </w:t>
      </w:r>
      <w:proofErr w:type="spellStart"/>
      <w:r w:rsidRPr="00134353">
        <w:t>Recueillir</w:t>
      </w:r>
      <w:proofErr w:type="spellEnd"/>
      <w:r w:rsidRPr="00134353">
        <w:t xml:space="preserve"> des </w:t>
      </w:r>
      <w:proofErr w:type="spellStart"/>
      <w:r w:rsidRPr="00134353">
        <w:t>informations</w:t>
      </w:r>
      <w:proofErr w:type="spellEnd"/>
      <w:r w:rsidRPr="00134353">
        <w:t xml:space="preserve"> </w:t>
      </w:r>
      <w:proofErr w:type="spellStart"/>
      <w:r w:rsidRPr="00134353">
        <w:t>auprès</w:t>
      </w:r>
      <w:proofErr w:type="spellEnd"/>
      <w:r w:rsidRPr="00134353">
        <w:t xml:space="preserve"> des </w:t>
      </w:r>
      <w:proofErr w:type="spellStart"/>
      <w:r w:rsidRPr="00134353">
        <w:t>consommateurs</w:t>
      </w:r>
      <w:proofErr w:type="spellEnd"/>
      <w:r w:rsidRPr="00134353">
        <w:t xml:space="preserve"> </w:t>
      </w:r>
      <w:proofErr w:type="spellStart"/>
      <w:r w:rsidRPr="00134353">
        <w:t>concernant</w:t>
      </w:r>
      <w:proofErr w:type="spellEnd"/>
      <w:r w:rsidRPr="00134353">
        <w:t xml:space="preserve"> </w:t>
      </w:r>
      <w:proofErr w:type="spellStart"/>
      <w:r w:rsidRPr="00134353">
        <w:t>leurs</w:t>
      </w:r>
      <w:proofErr w:type="spellEnd"/>
      <w:r w:rsidRPr="00134353">
        <w:t xml:space="preserve"> </w:t>
      </w:r>
      <w:proofErr w:type="spellStart"/>
      <w:r w:rsidRPr="00134353">
        <w:t>expériences</w:t>
      </w:r>
      <w:proofErr w:type="spellEnd"/>
      <w:r w:rsidRPr="00134353">
        <w:t xml:space="preserve"> </w:t>
      </w:r>
      <w:proofErr w:type="gramStart"/>
      <w:r w:rsidRPr="00134353">
        <w:t>et</w:t>
      </w:r>
      <w:proofErr w:type="gramEnd"/>
      <w:r w:rsidRPr="00134353">
        <w:t xml:space="preserve"> se </w:t>
      </w:r>
      <w:proofErr w:type="spellStart"/>
      <w:r w:rsidRPr="00134353">
        <w:t>tenir</w:t>
      </w:r>
      <w:proofErr w:type="spellEnd"/>
      <w:r w:rsidRPr="00134353">
        <w:t xml:space="preserve"> au fait de </w:t>
      </w:r>
      <w:proofErr w:type="spellStart"/>
      <w:r w:rsidRPr="00134353">
        <w:t>leurs</w:t>
      </w:r>
      <w:proofErr w:type="spellEnd"/>
      <w:r w:rsidRPr="00134353">
        <w:t xml:space="preserve"> modes de </w:t>
      </w:r>
      <w:proofErr w:type="spellStart"/>
      <w:r w:rsidRPr="00134353">
        <w:t>comportement</w:t>
      </w:r>
      <w:proofErr w:type="spellEnd"/>
      <w:r w:rsidRPr="00134353">
        <w:t xml:space="preserve">. Observer les </w:t>
      </w:r>
      <w:proofErr w:type="spellStart"/>
      <w:r w:rsidRPr="00134353">
        <w:t>tendances</w:t>
      </w:r>
      <w:proofErr w:type="spellEnd"/>
      <w:r w:rsidRPr="00134353">
        <w:t xml:space="preserve"> </w:t>
      </w:r>
      <w:proofErr w:type="spellStart"/>
      <w:r w:rsidRPr="00134353">
        <w:t>changeantes</w:t>
      </w:r>
      <w:proofErr w:type="spellEnd"/>
      <w:r w:rsidRPr="00134353">
        <w:t xml:space="preserve"> </w:t>
      </w:r>
      <w:proofErr w:type="spellStart"/>
      <w:r w:rsidRPr="00134353">
        <w:t>sur</w:t>
      </w:r>
      <w:proofErr w:type="spellEnd"/>
      <w:r w:rsidRPr="00134353">
        <w:t xml:space="preserve"> </w:t>
      </w:r>
      <w:proofErr w:type="spellStart"/>
      <w:r w:rsidRPr="00134353">
        <w:t>toutes</w:t>
      </w:r>
      <w:proofErr w:type="spellEnd"/>
      <w:r w:rsidRPr="00134353">
        <w:t xml:space="preserve"> les plate</w:t>
      </w:r>
      <w:r>
        <w:t>s</w:t>
      </w:r>
      <w:r>
        <w:noBreakHyphen/>
      </w:r>
      <w:proofErr w:type="spellStart"/>
      <w:r w:rsidRPr="00134353">
        <w:t>formes</w:t>
      </w:r>
      <w:proofErr w:type="spellEnd"/>
      <w:r w:rsidRPr="00134353">
        <w:t xml:space="preserve"> </w:t>
      </w:r>
      <w:proofErr w:type="gramStart"/>
      <w:r w:rsidRPr="00134353">
        <w:t>et</w:t>
      </w:r>
      <w:proofErr w:type="gramEnd"/>
      <w:r w:rsidRPr="00134353">
        <w:t xml:space="preserve"> pour </w:t>
      </w:r>
      <w:proofErr w:type="spellStart"/>
      <w:r w:rsidRPr="00134353">
        <w:t>chaque</w:t>
      </w:r>
      <w:proofErr w:type="spellEnd"/>
      <w:r w:rsidRPr="00134353">
        <w:t xml:space="preserve"> type de </w:t>
      </w:r>
      <w:proofErr w:type="spellStart"/>
      <w:r w:rsidRPr="00134353">
        <w:t>produit</w:t>
      </w:r>
      <w:proofErr w:type="spellEnd"/>
      <w:r w:rsidRPr="00134353">
        <w:t xml:space="preserve"> (</w:t>
      </w:r>
      <w:proofErr w:type="spellStart"/>
      <w:r w:rsidRPr="00134353">
        <w:t>c'est</w:t>
      </w:r>
      <w:proofErr w:type="spellEnd"/>
      <w:r w:rsidRPr="00134353">
        <w:t xml:space="preserve">-à-dire </w:t>
      </w:r>
      <w:proofErr w:type="spellStart"/>
      <w:r w:rsidRPr="00134353">
        <w:t>séparé</w:t>
      </w:r>
      <w:proofErr w:type="spellEnd"/>
      <w:r w:rsidRPr="00134353">
        <w:t xml:space="preserve"> </w:t>
      </w:r>
      <w:proofErr w:type="spellStart"/>
      <w:r w:rsidRPr="00134353">
        <w:t>ou</w:t>
      </w:r>
      <w:proofErr w:type="spellEnd"/>
      <w:r w:rsidRPr="00134353">
        <w:t xml:space="preserve"> </w:t>
      </w:r>
      <w:proofErr w:type="spellStart"/>
      <w:r w:rsidRPr="00134353">
        <w:t>groupé</w:t>
      </w:r>
      <w:proofErr w:type="spellEnd"/>
      <w:r w:rsidRPr="00134353">
        <w:t xml:space="preserve">). </w:t>
      </w:r>
      <w:proofErr w:type="spellStart"/>
      <w:r w:rsidRPr="00134353">
        <w:t>Déterminer</w:t>
      </w:r>
      <w:proofErr w:type="spellEnd"/>
      <w:r w:rsidRPr="00134353">
        <w:t xml:space="preserve"> les </w:t>
      </w:r>
      <w:proofErr w:type="spellStart"/>
      <w:r w:rsidRPr="00134353">
        <w:t>attentes</w:t>
      </w:r>
      <w:proofErr w:type="spellEnd"/>
      <w:r w:rsidRPr="00134353">
        <w:t xml:space="preserve"> </w:t>
      </w:r>
      <w:proofErr w:type="gramStart"/>
      <w:r w:rsidRPr="00134353">
        <w:t>et</w:t>
      </w:r>
      <w:proofErr w:type="gramEnd"/>
      <w:r w:rsidRPr="00134353">
        <w:t xml:space="preserve"> les </w:t>
      </w:r>
      <w:proofErr w:type="spellStart"/>
      <w:r w:rsidRPr="00134353">
        <w:t>besoins</w:t>
      </w:r>
      <w:proofErr w:type="spellEnd"/>
      <w:r w:rsidRPr="00134353">
        <w:t xml:space="preserve"> </w:t>
      </w:r>
      <w:proofErr w:type="spellStart"/>
      <w:r w:rsidRPr="00134353">
        <w:t>effectifs</w:t>
      </w:r>
      <w:proofErr w:type="spellEnd"/>
      <w:r w:rsidRPr="00134353">
        <w:t xml:space="preserve"> des </w:t>
      </w:r>
      <w:proofErr w:type="spellStart"/>
      <w:r w:rsidRPr="00134353">
        <w:t>consommateurs</w:t>
      </w:r>
      <w:proofErr w:type="spellEnd"/>
      <w:r w:rsidRPr="00134353">
        <w:t xml:space="preserve">, </w:t>
      </w:r>
      <w:proofErr w:type="spellStart"/>
      <w:r w:rsidRPr="00134353">
        <w:t>plutôt</w:t>
      </w:r>
      <w:proofErr w:type="spellEnd"/>
      <w:r w:rsidRPr="00134353">
        <w:t xml:space="preserve"> </w:t>
      </w:r>
      <w:proofErr w:type="spellStart"/>
      <w:r w:rsidRPr="00134353">
        <w:t>que</w:t>
      </w:r>
      <w:proofErr w:type="spellEnd"/>
      <w:r w:rsidRPr="00134353">
        <w:t xml:space="preserve"> de se </w:t>
      </w:r>
      <w:proofErr w:type="spellStart"/>
      <w:r w:rsidRPr="00134353">
        <w:t>fier</w:t>
      </w:r>
      <w:proofErr w:type="spellEnd"/>
      <w:r w:rsidRPr="00134353">
        <w:t xml:space="preserve"> à </w:t>
      </w:r>
      <w:proofErr w:type="spellStart"/>
      <w:r w:rsidRPr="00134353">
        <w:t>l'idée</w:t>
      </w:r>
      <w:proofErr w:type="spellEnd"/>
      <w:r w:rsidRPr="00134353">
        <w:t xml:space="preserve"> </w:t>
      </w:r>
      <w:proofErr w:type="spellStart"/>
      <w:r w:rsidRPr="00134353">
        <w:t>qu'on</w:t>
      </w:r>
      <w:proofErr w:type="spellEnd"/>
      <w:r w:rsidRPr="00134353">
        <w:t xml:space="preserve"> en a, en se </w:t>
      </w:r>
      <w:proofErr w:type="spellStart"/>
      <w:r w:rsidRPr="00134353">
        <w:t>basant</w:t>
      </w:r>
      <w:proofErr w:type="spellEnd"/>
      <w:r w:rsidRPr="00134353">
        <w:t xml:space="preserve"> </w:t>
      </w:r>
      <w:proofErr w:type="spellStart"/>
      <w:r w:rsidRPr="00134353">
        <w:t>sur</w:t>
      </w:r>
      <w:proofErr w:type="spellEnd"/>
      <w:r w:rsidRPr="00134353">
        <w:t xml:space="preserve"> des </w:t>
      </w:r>
      <w:proofErr w:type="spellStart"/>
      <w:r w:rsidRPr="00134353">
        <w:t>études</w:t>
      </w:r>
      <w:proofErr w:type="spellEnd"/>
      <w:r w:rsidRPr="00134353">
        <w:t xml:space="preserve"> de </w:t>
      </w:r>
      <w:proofErr w:type="spellStart"/>
      <w:r w:rsidRPr="00134353">
        <w:t>consommation</w:t>
      </w:r>
      <w:proofErr w:type="spellEnd"/>
      <w:r w:rsidRPr="00134353">
        <w:t xml:space="preserve"> et des </w:t>
      </w:r>
      <w:proofErr w:type="spellStart"/>
      <w:r w:rsidRPr="00134353">
        <w:t>enquêtes</w:t>
      </w:r>
      <w:proofErr w:type="spellEnd"/>
      <w:r w:rsidRPr="00134353">
        <w:t xml:space="preserve"> </w:t>
      </w:r>
      <w:proofErr w:type="spellStart"/>
      <w:r w:rsidRPr="00134353">
        <w:t>d'utilisation</w:t>
      </w:r>
      <w:proofErr w:type="spellEnd"/>
      <w:r w:rsidRPr="00134353">
        <w:t xml:space="preserve">, </w:t>
      </w:r>
      <w:proofErr w:type="spellStart"/>
      <w:r w:rsidRPr="00134353">
        <w:t>ainsi</w:t>
      </w:r>
      <w:proofErr w:type="spellEnd"/>
      <w:r w:rsidRPr="00134353">
        <w:t xml:space="preserve"> </w:t>
      </w:r>
      <w:proofErr w:type="spellStart"/>
      <w:r w:rsidRPr="00134353">
        <w:t>que</w:t>
      </w:r>
      <w:proofErr w:type="spellEnd"/>
      <w:r w:rsidRPr="00134353">
        <w:t xml:space="preserve"> </w:t>
      </w:r>
      <w:proofErr w:type="spellStart"/>
      <w:r w:rsidRPr="00134353">
        <w:t>sur</w:t>
      </w:r>
      <w:proofErr w:type="spellEnd"/>
      <w:r w:rsidRPr="00134353">
        <w:t xml:space="preserve"> les </w:t>
      </w:r>
      <w:proofErr w:type="spellStart"/>
      <w:r w:rsidRPr="00134353">
        <w:t>données</w:t>
      </w:r>
      <w:proofErr w:type="spellEnd"/>
      <w:r w:rsidRPr="00134353">
        <w:t xml:space="preserve"> relatives aux </w:t>
      </w:r>
      <w:proofErr w:type="spellStart"/>
      <w:r w:rsidRPr="00134353">
        <w:t>réclamations</w:t>
      </w:r>
      <w:proofErr w:type="spellEnd"/>
      <w:r w:rsidRPr="00134353">
        <w:t xml:space="preserve"> des </w:t>
      </w:r>
      <w:proofErr w:type="spellStart"/>
      <w:r w:rsidRPr="00134353">
        <w:t>consommateurs</w:t>
      </w:r>
      <w:proofErr w:type="spellEnd"/>
      <w:r w:rsidRPr="00134353">
        <w:t>.</w:t>
      </w:r>
    </w:p>
    <w:p w:rsidR="00943AEF" w:rsidRPr="00134353" w:rsidRDefault="00943AEF" w:rsidP="00943AEF">
      <w:pPr>
        <w:pStyle w:val="Enumlevel1"/>
      </w:pPr>
      <w:r w:rsidRPr="00134353">
        <w:rPr>
          <w:color w:val="E36C0A"/>
        </w:rPr>
        <w:t>•</w:t>
      </w:r>
      <w:r w:rsidRPr="00134353">
        <w:tab/>
        <w:t xml:space="preserve">Identifier les zones de </w:t>
      </w:r>
      <w:proofErr w:type="spellStart"/>
      <w:r w:rsidRPr="00134353">
        <w:t>chevauchement</w:t>
      </w:r>
      <w:proofErr w:type="spellEnd"/>
      <w:r w:rsidRPr="00134353">
        <w:t xml:space="preserve"> entre </w:t>
      </w:r>
      <w:proofErr w:type="spellStart"/>
      <w:r w:rsidRPr="00134353">
        <w:t>l'utilisation</w:t>
      </w:r>
      <w:proofErr w:type="spellEnd"/>
      <w:r w:rsidRPr="00134353">
        <w:t xml:space="preserve"> </w:t>
      </w:r>
      <w:proofErr w:type="gramStart"/>
      <w:r w:rsidRPr="00134353">
        <w:t>et</w:t>
      </w:r>
      <w:proofErr w:type="gramEnd"/>
      <w:r w:rsidRPr="00134353">
        <w:t xml:space="preserve"> </w:t>
      </w:r>
      <w:proofErr w:type="spellStart"/>
      <w:r w:rsidRPr="00134353">
        <w:t>l'exploitation</w:t>
      </w:r>
      <w:proofErr w:type="spellEnd"/>
      <w:r w:rsidRPr="00134353">
        <w:t xml:space="preserve"> des </w:t>
      </w:r>
      <w:proofErr w:type="spellStart"/>
      <w:r w:rsidRPr="00134353">
        <w:t>données</w:t>
      </w:r>
      <w:proofErr w:type="spellEnd"/>
      <w:r w:rsidRPr="00134353">
        <w:t xml:space="preserve"> (par </w:t>
      </w:r>
      <w:proofErr w:type="spellStart"/>
      <w:r w:rsidRPr="00134353">
        <w:t>exemple</w:t>
      </w:r>
      <w:proofErr w:type="spellEnd"/>
      <w:r w:rsidRPr="00134353">
        <w:t xml:space="preserve"> entre la </w:t>
      </w:r>
      <w:proofErr w:type="spellStart"/>
      <w:r w:rsidRPr="00134353">
        <w:t>réglementation</w:t>
      </w:r>
      <w:proofErr w:type="spellEnd"/>
      <w:r w:rsidRPr="00134353">
        <w:t xml:space="preserve"> de la </w:t>
      </w:r>
      <w:proofErr w:type="spellStart"/>
      <w:r w:rsidRPr="00134353">
        <w:t>publicité</w:t>
      </w:r>
      <w:proofErr w:type="spellEnd"/>
      <w:r w:rsidRPr="00134353">
        <w:t xml:space="preserve"> et la </w:t>
      </w:r>
      <w:proofErr w:type="spellStart"/>
      <w:r w:rsidRPr="00134353">
        <w:t>réglementation</w:t>
      </w:r>
      <w:proofErr w:type="spellEnd"/>
      <w:r w:rsidRPr="00134353">
        <w:t xml:space="preserve"> de la </w:t>
      </w:r>
      <w:proofErr w:type="spellStart"/>
      <w:r w:rsidRPr="00134353">
        <w:t>confidentialité</w:t>
      </w:r>
      <w:proofErr w:type="spellEnd"/>
      <w:r w:rsidRPr="00134353">
        <w:t xml:space="preserve">), qui </w:t>
      </w:r>
      <w:proofErr w:type="spellStart"/>
      <w:r w:rsidRPr="00134353">
        <w:t>sont</w:t>
      </w:r>
      <w:proofErr w:type="spellEnd"/>
      <w:r w:rsidRPr="00134353">
        <w:t xml:space="preserve"> </w:t>
      </w:r>
      <w:proofErr w:type="spellStart"/>
      <w:r w:rsidRPr="00134353">
        <w:t>susceptibles</w:t>
      </w:r>
      <w:proofErr w:type="spellEnd"/>
      <w:r w:rsidRPr="00134353">
        <w:t xml:space="preserve"> </w:t>
      </w:r>
      <w:proofErr w:type="spellStart"/>
      <w:r w:rsidRPr="00134353">
        <w:t>d'échapper</w:t>
      </w:r>
      <w:proofErr w:type="spellEnd"/>
      <w:r w:rsidRPr="00134353">
        <w:t xml:space="preserve"> aux </w:t>
      </w:r>
      <w:proofErr w:type="spellStart"/>
      <w:r w:rsidRPr="00134353">
        <w:t>réseaux</w:t>
      </w:r>
      <w:proofErr w:type="spellEnd"/>
      <w:r w:rsidRPr="00134353">
        <w:t xml:space="preserve"> </w:t>
      </w:r>
      <w:proofErr w:type="spellStart"/>
      <w:r w:rsidRPr="00134353">
        <w:t>traditionnels</w:t>
      </w:r>
      <w:proofErr w:type="spellEnd"/>
      <w:r w:rsidRPr="00134353">
        <w:t xml:space="preserve"> de </w:t>
      </w:r>
      <w:proofErr w:type="spellStart"/>
      <w:r w:rsidRPr="00134353">
        <w:t>réglementation</w:t>
      </w:r>
      <w:proofErr w:type="spellEnd"/>
      <w:r w:rsidRPr="00134353">
        <w:t xml:space="preserve"> des communications, et </w:t>
      </w:r>
      <w:proofErr w:type="spellStart"/>
      <w:r w:rsidRPr="00134353">
        <w:t>travailler</w:t>
      </w:r>
      <w:proofErr w:type="spellEnd"/>
      <w:r w:rsidRPr="00134353">
        <w:t xml:space="preserve"> plus </w:t>
      </w:r>
      <w:proofErr w:type="spellStart"/>
      <w:r w:rsidRPr="00134353">
        <w:t>étroitement</w:t>
      </w:r>
      <w:proofErr w:type="spellEnd"/>
      <w:r w:rsidRPr="00134353">
        <w:t xml:space="preserve"> et </w:t>
      </w:r>
      <w:proofErr w:type="spellStart"/>
      <w:r w:rsidRPr="00134353">
        <w:t>efficacement</w:t>
      </w:r>
      <w:proofErr w:type="spellEnd"/>
      <w:r w:rsidRPr="00134353">
        <w:t xml:space="preserve"> avec </w:t>
      </w:r>
      <w:proofErr w:type="spellStart"/>
      <w:r w:rsidRPr="00134353">
        <w:t>d'autres</w:t>
      </w:r>
      <w:proofErr w:type="spellEnd"/>
      <w:r w:rsidRPr="00134353">
        <w:t xml:space="preserve"> </w:t>
      </w:r>
      <w:proofErr w:type="spellStart"/>
      <w:r w:rsidRPr="00134353">
        <w:t>organismes</w:t>
      </w:r>
      <w:proofErr w:type="spellEnd"/>
      <w:r w:rsidRPr="00134353">
        <w:t xml:space="preserve"> </w:t>
      </w:r>
      <w:proofErr w:type="spellStart"/>
      <w:r w:rsidRPr="00134353">
        <w:t>afin</w:t>
      </w:r>
      <w:proofErr w:type="spellEnd"/>
      <w:r w:rsidRPr="00134353">
        <w:t xml:space="preserve"> </w:t>
      </w:r>
      <w:proofErr w:type="spellStart"/>
      <w:r w:rsidRPr="00134353">
        <w:t>d'assurer</w:t>
      </w:r>
      <w:proofErr w:type="spellEnd"/>
      <w:r w:rsidRPr="00134353">
        <w:t xml:space="preserve"> la protection des </w:t>
      </w:r>
      <w:proofErr w:type="spellStart"/>
      <w:r w:rsidRPr="00134353">
        <w:t>consommateurs</w:t>
      </w:r>
      <w:proofErr w:type="spellEnd"/>
      <w:r w:rsidRPr="00134353">
        <w:t xml:space="preserve"> et la </w:t>
      </w:r>
      <w:proofErr w:type="spellStart"/>
      <w:r w:rsidRPr="00134353">
        <w:t>prospérité</w:t>
      </w:r>
      <w:proofErr w:type="spellEnd"/>
      <w:r w:rsidRPr="00134353">
        <w:t xml:space="preserve"> du </w:t>
      </w:r>
      <w:proofErr w:type="spellStart"/>
      <w:r w:rsidRPr="00134353">
        <w:t>marché</w:t>
      </w:r>
      <w:proofErr w:type="spellEnd"/>
      <w:r w:rsidRPr="00134353">
        <w:t xml:space="preserve"> des TIC.</w:t>
      </w:r>
    </w:p>
    <w:p w:rsidR="00526BDB" w:rsidRPr="003F265B" w:rsidRDefault="00943AEF" w:rsidP="00943AEF">
      <w:pPr>
        <w:pStyle w:val="Enumlevel1"/>
      </w:pPr>
      <w:r w:rsidRPr="00134353">
        <w:rPr>
          <w:color w:val="E36C0A"/>
        </w:rPr>
        <w:t>•</w:t>
      </w:r>
      <w:r w:rsidRPr="00134353">
        <w:rPr>
          <w:color w:val="E36C0A"/>
        </w:rPr>
        <w:tab/>
      </w:r>
      <w:r w:rsidRPr="00134353">
        <w:t xml:space="preserve">Adopter des dispositions </w:t>
      </w:r>
      <w:proofErr w:type="spellStart"/>
      <w:r w:rsidRPr="00134353">
        <w:t>réglementaires</w:t>
      </w:r>
      <w:proofErr w:type="spellEnd"/>
      <w:r w:rsidRPr="00134353">
        <w:t xml:space="preserve"> à </w:t>
      </w:r>
      <w:proofErr w:type="spellStart"/>
      <w:r w:rsidRPr="00134353">
        <w:t>l'épreuve</w:t>
      </w:r>
      <w:proofErr w:type="spellEnd"/>
      <w:r w:rsidRPr="00134353">
        <w:t xml:space="preserve"> du </w:t>
      </w:r>
      <w:proofErr w:type="spellStart"/>
      <w:r w:rsidRPr="00134353">
        <w:t>futur</w:t>
      </w:r>
      <w:proofErr w:type="spellEnd"/>
      <w:r w:rsidRPr="00134353">
        <w:t xml:space="preserve">, de </w:t>
      </w:r>
      <w:proofErr w:type="spellStart"/>
      <w:r w:rsidRPr="00134353">
        <w:t>façon</w:t>
      </w:r>
      <w:proofErr w:type="spellEnd"/>
      <w:r w:rsidRPr="00134353">
        <w:t xml:space="preserve"> </w:t>
      </w:r>
      <w:proofErr w:type="spellStart"/>
      <w:r w:rsidRPr="00134353">
        <w:t>qu'elles</w:t>
      </w:r>
      <w:proofErr w:type="spellEnd"/>
      <w:r w:rsidRPr="00134353">
        <w:t xml:space="preserve"> </w:t>
      </w:r>
      <w:proofErr w:type="spellStart"/>
      <w:r w:rsidRPr="00134353">
        <w:t>puissent</w:t>
      </w:r>
      <w:proofErr w:type="spellEnd"/>
      <w:r w:rsidRPr="00134353">
        <w:t xml:space="preserve"> </w:t>
      </w:r>
      <w:proofErr w:type="spellStart"/>
      <w:r w:rsidRPr="00134353">
        <w:t>suivre</w:t>
      </w:r>
      <w:proofErr w:type="spellEnd"/>
      <w:r w:rsidRPr="00134353">
        <w:t xml:space="preserve"> </w:t>
      </w:r>
      <w:proofErr w:type="spellStart"/>
      <w:r w:rsidRPr="00134353">
        <w:t>l'</w:t>
      </w:r>
      <w:r>
        <w:t>évolution</w:t>
      </w:r>
      <w:proofErr w:type="spellEnd"/>
      <w:r>
        <w:t xml:space="preserve"> </w:t>
      </w:r>
      <w:proofErr w:type="spellStart"/>
      <w:r>
        <w:t>rapide</w:t>
      </w:r>
      <w:proofErr w:type="spellEnd"/>
      <w:r>
        <w:t xml:space="preserve"> des technologie</w:t>
      </w:r>
      <w:r w:rsidRPr="00134353">
        <w:t>s.</w:t>
      </w:r>
    </w:p>
    <w:p w:rsidR="00526BDB" w:rsidRPr="003F265B" w:rsidRDefault="00943AEF" w:rsidP="00526BDB">
      <w:pPr>
        <w:rPr>
          <w:i/>
          <w:lang w:val="en-GB"/>
        </w:rPr>
      </w:pPr>
      <w:r w:rsidRPr="00134353">
        <w:rPr>
          <w:i/>
          <w:sz w:val="22"/>
        </w:rPr>
        <w:t>Education et information des consommateurs</w:t>
      </w:r>
    </w:p>
    <w:p w:rsidR="00943AEF" w:rsidRPr="00943AEF" w:rsidRDefault="00943AEF" w:rsidP="00943AEF">
      <w:pPr>
        <w:pStyle w:val="Enumlevel1"/>
      </w:pPr>
      <w:r w:rsidRPr="00134353">
        <w:rPr>
          <w:color w:val="E36C0A"/>
          <w:lang w:val="fr-FR"/>
        </w:rPr>
        <w:t>•</w:t>
      </w:r>
      <w:r w:rsidRPr="00134353">
        <w:rPr>
          <w:color w:val="E36C0A"/>
          <w:lang w:val="fr-FR"/>
        </w:rPr>
        <w:tab/>
      </w:r>
      <w:r w:rsidRPr="00134353">
        <w:rPr>
          <w:lang w:val="fr-FR"/>
        </w:rPr>
        <w:t xml:space="preserve">Faire en sorte que le </w:t>
      </w:r>
      <w:proofErr w:type="spellStart"/>
      <w:r w:rsidRPr="00134353">
        <w:rPr>
          <w:lang w:val="fr-FR"/>
        </w:rPr>
        <w:t>cad</w:t>
      </w:r>
      <w:proofErr w:type="spellEnd"/>
      <w:r w:rsidRPr="00943AEF">
        <w:t xml:space="preserve">re </w:t>
      </w:r>
      <w:proofErr w:type="spellStart"/>
      <w:r w:rsidRPr="00943AEF">
        <w:t>réglementaire</w:t>
      </w:r>
      <w:proofErr w:type="spellEnd"/>
      <w:r w:rsidRPr="00943AEF">
        <w:t xml:space="preserve"> </w:t>
      </w:r>
      <w:proofErr w:type="spellStart"/>
      <w:r w:rsidRPr="00943AEF">
        <w:t>favorise</w:t>
      </w:r>
      <w:proofErr w:type="spellEnd"/>
      <w:r w:rsidRPr="00943AEF">
        <w:t xml:space="preserve"> un </w:t>
      </w:r>
      <w:proofErr w:type="spellStart"/>
      <w:r w:rsidRPr="00943AEF">
        <w:t>niveau</w:t>
      </w:r>
      <w:proofErr w:type="spellEnd"/>
      <w:r w:rsidRPr="00943AEF">
        <w:t xml:space="preserve"> de concurrence </w:t>
      </w:r>
      <w:proofErr w:type="spellStart"/>
      <w:r w:rsidRPr="00943AEF">
        <w:t>satisfaisant</w:t>
      </w:r>
      <w:proofErr w:type="spellEnd"/>
      <w:r w:rsidRPr="00943AEF">
        <w:t xml:space="preserve"> et un </w:t>
      </w:r>
      <w:proofErr w:type="spellStart"/>
      <w:r w:rsidRPr="00943AEF">
        <w:t>choix</w:t>
      </w:r>
      <w:proofErr w:type="spellEnd"/>
      <w:r w:rsidRPr="00943AEF">
        <w:t xml:space="preserve"> </w:t>
      </w:r>
      <w:proofErr w:type="spellStart"/>
      <w:r w:rsidRPr="00943AEF">
        <w:t>suffisamment</w:t>
      </w:r>
      <w:proofErr w:type="spellEnd"/>
      <w:r w:rsidRPr="00943AEF">
        <w:t xml:space="preserve"> large pour les </w:t>
      </w:r>
      <w:proofErr w:type="spellStart"/>
      <w:r w:rsidRPr="00943AEF">
        <w:t>consommateurs</w:t>
      </w:r>
      <w:proofErr w:type="spellEnd"/>
      <w:r w:rsidRPr="00943AEF">
        <w:t xml:space="preserve">, et </w:t>
      </w:r>
      <w:proofErr w:type="spellStart"/>
      <w:r w:rsidRPr="00943AEF">
        <w:t>que</w:t>
      </w:r>
      <w:proofErr w:type="spellEnd"/>
      <w:r w:rsidRPr="00943AEF">
        <w:t xml:space="preserve"> </w:t>
      </w:r>
      <w:proofErr w:type="spellStart"/>
      <w:r w:rsidRPr="00943AEF">
        <w:t>ceux-ci</w:t>
      </w:r>
      <w:proofErr w:type="spellEnd"/>
      <w:r w:rsidRPr="00943AEF">
        <w:t xml:space="preserve"> </w:t>
      </w:r>
      <w:proofErr w:type="spellStart"/>
      <w:r w:rsidRPr="00943AEF">
        <w:t>puissent</w:t>
      </w:r>
      <w:proofErr w:type="spellEnd"/>
      <w:r w:rsidRPr="00943AEF">
        <w:t xml:space="preserve"> passer </w:t>
      </w:r>
      <w:proofErr w:type="spellStart"/>
      <w:r w:rsidRPr="00943AEF">
        <w:t>facilement</w:t>
      </w:r>
      <w:proofErr w:type="spellEnd"/>
      <w:r w:rsidRPr="00943AEF">
        <w:t xml:space="preserve"> d'un </w:t>
      </w:r>
      <w:proofErr w:type="spellStart"/>
      <w:r w:rsidRPr="00943AEF">
        <w:t>fournisseur</w:t>
      </w:r>
      <w:proofErr w:type="spellEnd"/>
      <w:r w:rsidRPr="00943AEF">
        <w:t xml:space="preserve"> à un </w:t>
      </w:r>
      <w:proofErr w:type="spellStart"/>
      <w:r w:rsidRPr="00943AEF">
        <w:t>autre</w:t>
      </w:r>
      <w:proofErr w:type="spellEnd"/>
      <w:r w:rsidRPr="00943AEF">
        <w:t xml:space="preserve"> </w:t>
      </w:r>
      <w:proofErr w:type="spellStart"/>
      <w:r w:rsidRPr="00943AEF">
        <w:t>s'ils</w:t>
      </w:r>
      <w:proofErr w:type="spellEnd"/>
      <w:r w:rsidRPr="00943AEF">
        <w:t xml:space="preserve"> le </w:t>
      </w:r>
      <w:proofErr w:type="spellStart"/>
      <w:r w:rsidRPr="00943AEF">
        <w:t>souhaitent</w:t>
      </w:r>
      <w:proofErr w:type="spellEnd"/>
      <w:r w:rsidRPr="00943AEF">
        <w:t xml:space="preserve">. Bien </w:t>
      </w:r>
      <w:proofErr w:type="spellStart"/>
      <w:r w:rsidRPr="00943AEF">
        <w:t>que</w:t>
      </w:r>
      <w:proofErr w:type="spellEnd"/>
      <w:r w:rsidRPr="00943AEF">
        <w:t xml:space="preserve"> </w:t>
      </w:r>
      <w:proofErr w:type="spellStart"/>
      <w:r w:rsidRPr="00943AEF">
        <w:t>l'achat</w:t>
      </w:r>
      <w:proofErr w:type="spellEnd"/>
      <w:r w:rsidRPr="00943AEF">
        <w:t xml:space="preserve"> de </w:t>
      </w:r>
      <w:proofErr w:type="spellStart"/>
      <w:r w:rsidRPr="00943AEF">
        <w:t>produits</w:t>
      </w:r>
      <w:proofErr w:type="spellEnd"/>
      <w:r w:rsidRPr="00943AEF">
        <w:t xml:space="preserve"> </w:t>
      </w:r>
      <w:proofErr w:type="spellStart"/>
      <w:r w:rsidRPr="00943AEF">
        <w:t>groupés</w:t>
      </w:r>
      <w:proofErr w:type="spellEnd"/>
      <w:r w:rsidRPr="00943AEF">
        <w:t xml:space="preserve"> </w:t>
      </w:r>
      <w:proofErr w:type="spellStart"/>
      <w:r w:rsidRPr="00943AEF">
        <w:t>présente</w:t>
      </w:r>
      <w:proofErr w:type="spellEnd"/>
      <w:r w:rsidRPr="00943AEF">
        <w:t xml:space="preserve"> </w:t>
      </w:r>
      <w:proofErr w:type="spellStart"/>
      <w:r w:rsidRPr="00943AEF">
        <w:t>clairement</w:t>
      </w:r>
      <w:proofErr w:type="spellEnd"/>
      <w:r w:rsidRPr="00943AEF">
        <w:t xml:space="preserve"> des </w:t>
      </w:r>
      <w:proofErr w:type="spellStart"/>
      <w:r w:rsidRPr="00943AEF">
        <w:t>avantages</w:t>
      </w:r>
      <w:proofErr w:type="spellEnd"/>
      <w:r w:rsidRPr="00943AEF">
        <w:t xml:space="preserve"> pour les </w:t>
      </w:r>
      <w:proofErr w:type="spellStart"/>
      <w:r w:rsidRPr="00943AEF">
        <w:t>consommateurs</w:t>
      </w:r>
      <w:proofErr w:type="spellEnd"/>
      <w:r w:rsidRPr="00943AEF">
        <w:t xml:space="preserve"> en </w:t>
      </w:r>
      <w:proofErr w:type="spellStart"/>
      <w:r w:rsidRPr="00943AEF">
        <w:t>termes</w:t>
      </w:r>
      <w:proofErr w:type="spellEnd"/>
      <w:r w:rsidRPr="00943AEF">
        <w:t xml:space="preserve"> de prix et de </w:t>
      </w:r>
      <w:proofErr w:type="spellStart"/>
      <w:r w:rsidRPr="00943AEF">
        <w:t>commodité</w:t>
      </w:r>
      <w:proofErr w:type="spellEnd"/>
      <w:r w:rsidRPr="00943AEF">
        <w:t xml:space="preserve">, </w:t>
      </w:r>
      <w:proofErr w:type="spellStart"/>
      <w:r w:rsidRPr="00943AEF">
        <w:t>il</w:t>
      </w:r>
      <w:proofErr w:type="spellEnd"/>
      <w:r w:rsidRPr="00943AEF">
        <w:t xml:space="preserve"> rend plus </w:t>
      </w:r>
      <w:proofErr w:type="spellStart"/>
      <w:r w:rsidRPr="00943AEF">
        <w:t>difficile</w:t>
      </w:r>
      <w:proofErr w:type="spellEnd"/>
      <w:r w:rsidRPr="00943AEF">
        <w:t xml:space="preserve"> la </w:t>
      </w:r>
      <w:proofErr w:type="spellStart"/>
      <w:r w:rsidRPr="00943AEF">
        <w:t>comparaison</w:t>
      </w:r>
      <w:proofErr w:type="spellEnd"/>
      <w:r w:rsidRPr="00943AEF">
        <w:t xml:space="preserve"> entre les </w:t>
      </w:r>
      <w:proofErr w:type="spellStart"/>
      <w:r w:rsidRPr="00943AEF">
        <w:t>différentes</w:t>
      </w:r>
      <w:proofErr w:type="spellEnd"/>
      <w:r w:rsidRPr="00943AEF">
        <w:t xml:space="preserve"> </w:t>
      </w:r>
      <w:proofErr w:type="spellStart"/>
      <w:r w:rsidRPr="00943AEF">
        <w:t>offres</w:t>
      </w:r>
      <w:proofErr w:type="spellEnd"/>
      <w:r w:rsidRPr="00943AEF">
        <w:t xml:space="preserve"> et le passage de </w:t>
      </w:r>
      <w:proofErr w:type="spellStart"/>
      <w:r w:rsidRPr="00943AEF">
        <w:t>l'une</w:t>
      </w:r>
      <w:proofErr w:type="spellEnd"/>
      <w:r w:rsidRPr="00943AEF">
        <w:t xml:space="preserve"> à </w:t>
      </w:r>
      <w:proofErr w:type="spellStart"/>
      <w:r w:rsidRPr="00943AEF">
        <w:t>l'autre</w:t>
      </w:r>
      <w:proofErr w:type="spellEnd"/>
      <w:r w:rsidRPr="00943AEF">
        <w:t>.</w:t>
      </w:r>
    </w:p>
    <w:p w:rsidR="00943AEF" w:rsidRPr="00943AEF" w:rsidRDefault="00943AEF" w:rsidP="00943AEF">
      <w:pPr>
        <w:pStyle w:val="Enumlevel1"/>
      </w:pPr>
      <w:r w:rsidRPr="00943AEF">
        <w:rPr>
          <w:color w:val="E36C0A"/>
        </w:rPr>
        <w:t>•</w:t>
      </w:r>
      <w:r w:rsidRPr="00943AEF">
        <w:tab/>
        <w:t xml:space="preserve">Faire en </w:t>
      </w:r>
      <w:proofErr w:type="spellStart"/>
      <w:r w:rsidRPr="00943AEF">
        <w:t>sorte</w:t>
      </w:r>
      <w:proofErr w:type="spellEnd"/>
      <w:r w:rsidRPr="00943AEF">
        <w:t xml:space="preserve"> </w:t>
      </w:r>
      <w:proofErr w:type="spellStart"/>
      <w:r w:rsidRPr="00943AEF">
        <w:t>que</w:t>
      </w:r>
      <w:proofErr w:type="spellEnd"/>
      <w:r w:rsidRPr="00943AEF">
        <w:t xml:space="preserve"> les </w:t>
      </w:r>
      <w:proofErr w:type="spellStart"/>
      <w:r w:rsidRPr="00943AEF">
        <w:t>consommateurs</w:t>
      </w:r>
      <w:proofErr w:type="spellEnd"/>
      <w:r w:rsidRPr="00943AEF">
        <w:t xml:space="preserve"> </w:t>
      </w:r>
      <w:proofErr w:type="spellStart"/>
      <w:r w:rsidRPr="00943AEF">
        <w:t>puissent</w:t>
      </w:r>
      <w:proofErr w:type="spellEnd"/>
      <w:r w:rsidRPr="00943AEF">
        <w:t xml:space="preserve"> </w:t>
      </w:r>
      <w:proofErr w:type="spellStart"/>
      <w:r w:rsidRPr="00943AEF">
        <w:t>accéder</w:t>
      </w:r>
      <w:proofErr w:type="spellEnd"/>
      <w:r w:rsidRPr="00943AEF">
        <w:t xml:space="preserve"> </w:t>
      </w:r>
      <w:proofErr w:type="spellStart"/>
      <w:r w:rsidRPr="00943AEF">
        <w:t>rapidement</w:t>
      </w:r>
      <w:proofErr w:type="spellEnd"/>
      <w:r w:rsidRPr="00943AEF">
        <w:t xml:space="preserve"> à des </w:t>
      </w:r>
      <w:proofErr w:type="spellStart"/>
      <w:r w:rsidRPr="00943AEF">
        <w:t>informations</w:t>
      </w:r>
      <w:proofErr w:type="spellEnd"/>
      <w:r w:rsidRPr="00943AEF">
        <w:t xml:space="preserve"> </w:t>
      </w:r>
      <w:proofErr w:type="spellStart"/>
      <w:r w:rsidRPr="00943AEF">
        <w:t>exactes</w:t>
      </w:r>
      <w:proofErr w:type="spellEnd"/>
      <w:r w:rsidRPr="00943AEF">
        <w:t xml:space="preserve">, relatives </w:t>
      </w:r>
      <w:proofErr w:type="spellStart"/>
      <w:r w:rsidRPr="00943AEF">
        <w:t>notamment</w:t>
      </w:r>
      <w:proofErr w:type="spellEnd"/>
      <w:r w:rsidRPr="00943AEF">
        <w:t xml:space="preserve"> au </w:t>
      </w:r>
      <w:proofErr w:type="spellStart"/>
      <w:r w:rsidRPr="00943AEF">
        <w:t>débit</w:t>
      </w:r>
      <w:proofErr w:type="spellEnd"/>
      <w:r w:rsidRPr="00943AEF">
        <w:t xml:space="preserve"> </w:t>
      </w:r>
      <w:proofErr w:type="gramStart"/>
      <w:r w:rsidRPr="00943AEF">
        <w:t>et</w:t>
      </w:r>
      <w:proofErr w:type="gramEnd"/>
      <w:r w:rsidRPr="00943AEF">
        <w:t xml:space="preserve"> à la </w:t>
      </w:r>
      <w:proofErr w:type="spellStart"/>
      <w:r w:rsidRPr="00943AEF">
        <w:t>gestion</w:t>
      </w:r>
      <w:proofErr w:type="spellEnd"/>
      <w:r w:rsidRPr="00943AEF">
        <w:t xml:space="preserve"> du </w:t>
      </w:r>
      <w:proofErr w:type="spellStart"/>
      <w:r w:rsidRPr="00943AEF">
        <w:t>trafic</w:t>
      </w:r>
      <w:proofErr w:type="spellEnd"/>
      <w:r w:rsidRPr="00943AEF">
        <w:t xml:space="preserve"> des </w:t>
      </w:r>
      <w:proofErr w:type="spellStart"/>
      <w:r w:rsidRPr="00943AEF">
        <w:t>données</w:t>
      </w:r>
      <w:proofErr w:type="spellEnd"/>
      <w:r w:rsidRPr="00943AEF">
        <w:t xml:space="preserve">. En </w:t>
      </w:r>
      <w:proofErr w:type="spellStart"/>
      <w:proofErr w:type="gramStart"/>
      <w:r w:rsidRPr="00943AEF">
        <w:t>cas</w:t>
      </w:r>
      <w:proofErr w:type="spellEnd"/>
      <w:proofErr w:type="gramEnd"/>
      <w:r w:rsidRPr="00943AEF">
        <w:t xml:space="preserve"> de discrimination entre les services et/</w:t>
      </w:r>
      <w:proofErr w:type="spellStart"/>
      <w:r w:rsidRPr="00943AEF">
        <w:t>ou</w:t>
      </w:r>
      <w:proofErr w:type="spellEnd"/>
      <w:r w:rsidRPr="00943AEF">
        <w:t xml:space="preserve"> de </w:t>
      </w:r>
      <w:proofErr w:type="spellStart"/>
      <w:r w:rsidRPr="00943AEF">
        <w:t>pratiques</w:t>
      </w:r>
      <w:proofErr w:type="spellEnd"/>
      <w:r w:rsidRPr="00943AEF">
        <w:t xml:space="preserve"> </w:t>
      </w:r>
      <w:proofErr w:type="spellStart"/>
      <w:r w:rsidRPr="00943AEF">
        <w:t>telles</w:t>
      </w:r>
      <w:proofErr w:type="spellEnd"/>
      <w:r w:rsidRPr="00943AEF">
        <w:t xml:space="preserve"> </w:t>
      </w:r>
      <w:proofErr w:type="spellStart"/>
      <w:r w:rsidRPr="00943AEF">
        <w:t>que</w:t>
      </w:r>
      <w:proofErr w:type="spellEnd"/>
      <w:r w:rsidRPr="00943AEF">
        <w:t xml:space="preserve"> le </w:t>
      </w:r>
      <w:proofErr w:type="spellStart"/>
      <w:r w:rsidRPr="00943AEF">
        <w:t>blocage</w:t>
      </w:r>
      <w:proofErr w:type="spellEnd"/>
      <w:r w:rsidRPr="00943AEF">
        <w:t xml:space="preserve"> du web, les </w:t>
      </w:r>
      <w:proofErr w:type="spellStart"/>
      <w:r w:rsidRPr="00943AEF">
        <w:t>consommateurs</w:t>
      </w:r>
      <w:proofErr w:type="spellEnd"/>
      <w:r w:rsidRPr="00943AEF">
        <w:t xml:space="preserve"> en </w:t>
      </w:r>
      <w:proofErr w:type="spellStart"/>
      <w:r w:rsidRPr="00943AEF">
        <w:t>sont</w:t>
      </w:r>
      <w:proofErr w:type="spellEnd"/>
      <w:r w:rsidRPr="00943AEF">
        <w:t xml:space="preserve"> </w:t>
      </w:r>
      <w:proofErr w:type="spellStart"/>
      <w:r w:rsidRPr="00943AEF">
        <w:t>informés</w:t>
      </w:r>
      <w:proofErr w:type="spellEnd"/>
      <w:r w:rsidRPr="00943AEF">
        <w:t xml:space="preserve"> et les services </w:t>
      </w:r>
      <w:proofErr w:type="spellStart"/>
      <w:r w:rsidRPr="00943AEF">
        <w:t>sont</w:t>
      </w:r>
      <w:proofErr w:type="spellEnd"/>
      <w:r w:rsidRPr="00943AEF">
        <w:t xml:space="preserve"> </w:t>
      </w:r>
      <w:proofErr w:type="spellStart"/>
      <w:r w:rsidRPr="00943AEF">
        <w:t>facturés</w:t>
      </w:r>
      <w:proofErr w:type="spellEnd"/>
      <w:r w:rsidRPr="00943AEF">
        <w:t xml:space="preserve"> en </w:t>
      </w:r>
      <w:proofErr w:type="spellStart"/>
      <w:r w:rsidRPr="00943AEF">
        <w:t>conséquence</w:t>
      </w:r>
      <w:proofErr w:type="spellEnd"/>
      <w:r w:rsidRPr="00943AEF">
        <w:t>.</w:t>
      </w:r>
    </w:p>
    <w:p w:rsidR="00526BDB" w:rsidRPr="003F265B" w:rsidRDefault="00943AEF" w:rsidP="00943AEF">
      <w:pPr>
        <w:pStyle w:val="Enumlevel1"/>
      </w:pPr>
      <w:r w:rsidRPr="00943AEF">
        <w:rPr>
          <w:color w:val="E36C0A"/>
        </w:rPr>
        <w:t>•</w:t>
      </w:r>
      <w:r w:rsidRPr="00943AEF">
        <w:tab/>
        <w:t xml:space="preserve">Faire en </w:t>
      </w:r>
      <w:proofErr w:type="spellStart"/>
      <w:r w:rsidRPr="00943AEF">
        <w:t>sorte</w:t>
      </w:r>
      <w:proofErr w:type="spellEnd"/>
      <w:r w:rsidRPr="00943AEF">
        <w:t xml:space="preserve"> </w:t>
      </w:r>
      <w:proofErr w:type="spellStart"/>
      <w:r w:rsidRPr="00943AEF">
        <w:t>que</w:t>
      </w:r>
      <w:proofErr w:type="spellEnd"/>
      <w:r w:rsidRPr="00943AEF">
        <w:t xml:space="preserve"> les </w:t>
      </w:r>
      <w:proofErr w:type="spellStart"/>
      <w:r w:rsidRPr="00943AEF">
        <w:t>consommateurs</w:t>
      </w:r>
      <w:proofErr w:type="spellEnd"/>
      <w:r w:rsidRPr="00943AEF">
        <w:t xml:space="preserve"> </w:t>
      </w:r>
      <w:proofErr w:type="spellStart"/>
      <w:r w:rsidRPr="00943AEF">
        <w:t>soient</w:t>
      </w:r>
      <w:proofErr w:type="spellEnd"/>
      <w:r w:rsidRPr="00943AEF">
        <w:t xml:space="preserve"> </w:t>
      </w:r>
      <w:proofErr w:type="spellStart"/>
      <w:r w:rsidRPr="00943AEF">
        <w:t>informés</w:t>
      </w:r>
      <w:proofErr w:type="spellEnd"/>
      <w:r w:rsidRPr="00943AEF">
        <w:t xml:space="preserve"> des </w:t>
      </w:r>
      <w:proofErr w:type="spellStart"/>
      <w:r w:rsidRPr="00943AEF">
        <w:t>problèmes</w:t>
      </w:r>
      <w:proofErr w:type="spellEnd"/>
      <w:r w:rsidRPr="00943AEF">
        <w:t xml:space="preserve"> de </w:t>
      </w:r>
      <w:proofErr w:type="spellStart"/>
      <w:r w:rsidRPr="00943AEF">
        <w:t>sécurité</w:t>
      </w:r>
      <w:proofErr w:type="spellEnd"/>
      <w:r w:rsidRPr="00943AEF">
        <w:t xml:space="preserve"> </w:t>
      </w:r>
      <w:proofErr w:type="gramStart"/>
      <w:r w:rsidRPr="00943AEF">
        <w:t>et</w:t>
      </w:r>
      <w:proofErr w:type="gramEnd"/>
      <w:r w:rsidRPr="00943AEF">
        <w:t xml:space="preserve"> de </w:t>
      </w:r>
      <w:proofErr w:type="spellStart"/>
      <w:r w:rsidRPr="00943AEF">
        <w:t>confidentialité</w:t>
      </w:r>
      <w:proofErr w:type="spellEnd"/>
      <w:r w:rsidRPr="00943AEF">
        <w:t xml:space="preserve"> </w:t>
      </w:r>
      <w:proofErr w:type="spellStart"/>
      <w:r w:rsidRPr="00943AEF">
        <w:t>qu'ils</w:t>
      </w:r>
      <w:proofErr w:type="spellEnd"/>
      <w:r w:rsidRPr="00943AEF">
        <w:t xml:space="preserve"> </w:t>
      </w:r>
      <w:proofErr w:type="spellStart"/>
      <w:r w:rsidRPr="00943AEF">
        <w:t>sont</w:t>
      </w:r>
      <w:proofErr w:type="spellEnd"/>
      <w:r w:rsidRPr="00943AEF">
        <w:t xml:space="preserve"> </w:t>
      </w:r>
      <w:proofErr w:type="spellStart"/>
      <w:r w:rsidRPr="00943AEF">
        <w:t>susceptibles</w:t>
      </w:r>
      <w:proofErr w:type="spellEnd"/>
      <w:r w:rsidRPr="00943AEF">
        <w:t xml:space="preserve"> de </w:t>
      </w:r>
      <w:proofErr w:type="spellStart"/>
      <w:r w:rsidRPr="00943AEF">
        <w:t>rencontrer</w:t>
      </w:r>
      <w:proofErr w:type="spellEnd"/>
      <w:r w:rsidRPr="00943AEF">
        <w:t xml:space="preserve"> </w:t>
      </w:r>
      <w:proofErr w:type="spellStart"/>
      <w:r w:rsidRPr="00943AEF">
        <w:t>dans</w:t>
      </w:r>
      <w:proofErr w:type="spellEnd"/>
      <w:r w:rsidRPr="00134353">
        <w:rPr>
          <w:lang w:val="fr-FR"/>
        </w:rPr>
        <w:t xml:space="preserve"> le cadre des services de commerce électronique et de commerce sur mobile, et qu'ils aient connaissance des mesures qui peuvent être utilisées afin de limiter les risques.</w:t>
      </w:r>
    </w:p>
    <w:p w:rsidR="00526BDB" w:rsidRPr="003F265B" w:rsidRDefault="00771A15" w:rsidP="004E42BE">
      <w:pPr>
        <w:keepNext/>
        <w:keepLines/>
        <w:rPr>
          <w:lang w:val="en-GB"/>
        </w:rPr>
      </w:pPr>
      <w:r w:rsidRPr="00134353">
        <w:rPr>
          <w:i/>
          <w:sz w:val="22"/>
        </w:rPr>
        <w:t>Instaurer la confiance des consommateurs dans les services issus de la convergence</w:t>
      </w:r>
    </w:p>
    <w:p w:rsidR="00771A15" w:rsidRPr="00134353" w:rsidRDefault="00771A15" w:rsidP="00771A15">
      <w:pPr>
        <w:pStyle w:val="Enumlevel1"/>
        <w:widowControl w:val="0"/>
        <w:ind w:left="850" w:hanging="493"/>
        <w:rPr>
          <w:sz w:val="22"/>
          <w:szCs w:val="22"/>
          <w:lang w:val="fr-FR"/>
        </w:rPr>
      </w:pPr>
      <w:r w:rsidRPr="00134353">
        <w:rPr>
          <w:color w:val="E36C0A"/>
          <w:sz w:val="22"/>
          <w:szCs w:val="22"/>
          <w:lang w:val="fr-FR"/>
        </w:rPr>
        <w:t>•</w:t>
      </w:r>
      <w:r w:rsidRPr="00134353">
        <w:rPr>
          <w:color w:val="E36C0A"/>
          <w:sz w:val="22"/>
          <w:szCs w:val="22"/>
          <w:lang w:val="fr-FR"/>
        </w:rPr>
        <w:tab/>
      </w:r>
      <w:r w:rsidRPr="00134353">
        <w:rPr>
          <w:sz w:val="22"/>
          <w:szCs w:val="22"/>
          <w:lang w:val="fr-FR"/>
        </w:rPr>
        <w:t>Promouvoir et préserver le commerce électronique et le commerce sur mobile à l'aide de mesures visant à instaurer la confiance chez les consommateurs</w:t>
      </w:r>
      <w:r w:rsidRPr="00134353">
        <w:rPr>
          <w:sz w:val="22"/>
          <w:szCs w:val="22"/>
          <w:vertAlign w:val="superscript"/>
          <w:lang w:val="fr-FR"/>
        </w:rPr>
        <w:footnoteReference w:id="58"/>
      </w:r>
      <w:r w:rsidRPr="00134353">
        <w:rPr>
          <w:sz w:val="22"/>
          <w:szCs w:val="22"/>
          <w:lang w:val="fr-FR"/>
        </w:rPr>
        <w:t>.</w:t>
      </w:r>
    </w:p>
    <w:p w:rsidR="00771A15" w:rsidRPr="00134353" w:rsidRDefault="00771A15" w:rsidP="00771A15">
      <w:pPr>
        <w:pStyle w:val="Enumlevel1"/>
        <w:rPr>
          <w:sz w:val="22"/>
          <w:szCs w:val="22"/>
          <w:lang w:val="fr-FR"/>
        </w:rPr>
      </w:pPr>
      <w:r w:rsidRPr="00134353">
        <w:rPr>
          <w:color w:val="E36C0A"/>
          <w:sz w:val="22"/>
          <w:szCs w:val="22"/>
          <w:lang w:val="fr-FR"/>
        </w:rPr>
        <w:lastRenderedPageBreak/>
        <w:t>•</w:t>
      </w:r>
      <w:r w:rsidRPr="00134353">
        <w:rPr>
          <w:color w:val="E36C0A"/>
          <w:sz w:val="22"/>
          <w:szCs w:val="22"/>
          <w:lang w:val="fr-FR"/>
        </w:rPr>
        <w:tab/>
      </w:r>
      <w:r w:rsidRPr="00134353">
        <w:rPr>
          <w:sz w:val="22"/>
          <w:szCs w:val="22"/>
          <w:lang w:val="fr-FR"/>
        </w:rPr>
        <w:t>Encourager les opérateurs à prendre des mesures de sécurité, et notamment à prévoir des fonctionnalités de sécurité intégrées, afin d'empêcher les transactions non autorisées et la violation des données</w:t>
      </w:r>
      <w:r w:rsidRPr="00134353">
        <w:rPr>
          <w:sz w:val="22"/>
          <w:szCs w:val="22"/>
          <w:vertAlign w:val="superscript"/>
          <w:lang w:val="fr-FR"/>
        </w:rPr>
        <w:footnoteReference w:id="59"/>
      </w:r>
      <w:r w:rsidRPr="00134353">
        <w:rPr>
          <w:sz w:val="22"/>
          <w:szCs w:val="22"/>
          <w:lang w:val="fr-FR"/>
        </w:rPr>
        <w:t>.</w:t>
      </w:r>
    </w:p>
    <w:p w:rsidR="00771A15" w:rsidRPr="00134353" w:rsidRDefault="00771A15" w:rsidP="00771A15">
      <w:pPr>
        <w:pStyle w:val="Enumlevel1"/>
        <w:rPr>
          <w:sz w:val="22"/>
          <w:szCs w:val="22"/>
          <w:lang w:val="fr-FR"/>
        </w:rPr>
      </w:pPr>
      <w:r w:rsidRPr="00134353">
        <w:rPr>
          <w:color w:val="E36C0A"/>
          <w:sz w:val="22"/>
          <w:szCs w:val="22"/>
          <w:lang w:val="fr-FR"/>
        </w:rPr>
        <w:t>•</w:t>
      </w:r>
      <w:r w:rsidRPr="00134353">
        <w:rPr>
          <w:color w:val="E36C0A"/>
          <w:sz w:val="22"/>
          <w:szCs w:val="22"/>
          <w:lang w:val="fr-FR"/>
        </w:rPr>
        <w:tab/>
      </w:r>
      <w:r w:rsidRPr="00134353">
        <w:rPr>
          <w:sz w:val="22"/>
          <w:szCs w:val="22"/>
          <w:lang w:val="fr-FR"/>
        </w:rPr>
        <w:t>Faire en sorte que les consommateurs se sentent en sécurité lorsqu'ils utilisent des services en ligne. Les consommateurs devraient pouvoir compter sur un niveau de sécurité raisonnable en ce qui concerne leurs données. Par ailleurs, celles-ci devraient porter uniquement sur des informations pertinentes, être conservées pour une durée déterminée et faire l'objet de procédures rationnelles visant à en garantir l'exactitude. Les consommateurs devraient être à même de comprendre quelles informations sont partagées, de quelle manière et avec qui, et avoir la possibilité de ne pas participer au suivi en ligne.</w:t>
      </w:r>
    </w:p>
    <w:p w:rsidR="00526BDB" w:rsidRPr="003F265B" w:rsidRDefault="00771A15" w:rsidP="00771A15">
      <w:pPr>
        <w:pStyle w:val="Enumlevel1"/>
      </w:pPr>
      <w:r w:rsidRPr="00134353">
        <w:rPr>
          <w:color w:val="E36C0A"/>
          <w:sz w:val="22"/>
          <w:szCs w:val="22"/>
          <w:lang w:val="fr-FR"/>
        </w:rPr>
        <w:t>•</w:t>
      </w:r>
      <w:r w:rsidRPr="00134353">
        <w:rPr>
          <w:color w:val="E36C0A"/>
          <w:sz w:val="22"/>
          <w:szCs w:val="22"/>
          <w:lang w:val="fr-FR"/>
        </w:rPr>
        <w:tab/>
      </w:r>
      <w:r w:rsidRPr="00134353">
        <w:rPr>
          <w:sz w:val="22"/>
          <w:szCs w:val="22"/>
          <w:lang w:val="fr-FR"/>
        </w:rPr>
        <w:t>Reconnaître la nécessité de protéger et d'éduquer des consommateurs qui n'ont pas tous les mêmes besoins en matière d'accès, et peuvent s'avérer particulièrement vulnérables aux pratiques commerciales trompeuses ou éprouver des difficultés à comprendre les mécanismes de paiement.</w:t>
      </w:r>
    </w:p>
    <w:p w:rsidR="00526BDB" w:rsidRPr="003F265B" w:rsidRDefault="00771A15" w:rsidP="00526BDB">
      <w:pPr>
        <w:rPr>
          <w:lang w:val="en-GB"/>
        </w:rPr>
      </w:pPr>
      <w:r w:rsidRPr="00134353">
        <w:rPr>
          <w:i/>
          <w:iCs/>
          <w:sz w:val="22"/>
        </w:rPr>
        <w:t>Application</w:t>
      </w:r>
    </w:p>
    <w:p w:rsidR="00771A15" w:rsidRPr="00134353" w:rsidRDefault="00771A15" w:rsidP="00771A15">
      <w:pPr>
        <w:pStyle w:val="Enumlevel1"/>
        <w:rPr>
          <w:sz w:val="22"/>
          <w:szCs w:val="22"/>
          <w:lang w:val="fr-FR"/>
        </w:rPr>
      </w:pPr>
      <w:r w:rsidRPr="00134353">
        <w:rPr>
          <w:color w:val="E36C0A"/>
          <w:sz w:val="22"/>
          <w:szCs w:val="22"/>
          <w:lang w:val="fr-FR"/>
        </w:rPr>
        <w:t>•</w:t>
      </w:r>
      <w:r w:rsidRPr="00134353">
        <w:rPr>
          <w:color w:val="E36C0A"/>
          <w:sz w:val="22"/>
          <w:szCs w:val="22"/>
          <w:lang w:val="fr-FR"/>
        </w:rPr>
        <w:tab/>
      </w:r>
      <w:r w:rsidRPr="00134353">
        <w:rPr>
          <w:sz w:val="22"/>
          <w:szCs w:val="22"/>
          <w:lang w:val="fr-FR"/>
        </w:rPr>
        <w:t>Prévoir un service ou un organisme séparé s</w:t>
      </w:r>
      <w:r>
        <w:rPr>
          <w:sz w:val="22"/>
          <w:szCs w:val="22"/>
          <w:lang w:val="fr-FR"/>
        </w:rPr>
        <w:t>'</w:t>
      </w:r>
      <w:r w:rsidRPr="00134353">
        <w:rPr>
          <w:sz w:val="22"/>
          <w:szCs w:val="22"/>
          <w:lang w:val="fr-FR"/>
        </w:rPr>
        <w:t>occupant des questions de réglementation relatives à la protection des consommateurs, qui soit investi des compétences et pourvu des moyens nécessaires, et dispose de compétences particulières en matière de communication.</w:t>
      </w:r>
    </w:p>
    <w:p w:rsidR="00771A15" w:rsidRPr="00134353" w:rsidRDefault="00771A15" w:rsidP="00771A15">
      <w:pPr>
        <w:pStyle w:val="Enumlevel1"/>
        <w:rPr>
          <w:sz w:val="22"/>
          <w:szCs w:val="22"/>
          <w:lang w:val="fr-FR"/>
        </w:rPr>
      </w:pPr>
      <w:r w:rsidRPr="00134353">
        <w:rPr>
          <w:color w:val="E36C0A"/>
          <w:sz w:val="22"/>
          <w:szCs w:val="22"/>
          <w:lang w:val="fr-FR"/>
        </w:rPr>
        <w:t>•</w:t>
      </w:r>
      <w:r w:rsidRPr="00134353">
        <w:rPr>
          <w:color w:val="E36C0A"/>
          <w:sz w:val="22"/>
          <w:szCs w:val="22"/>
          <w:lang w:val="fr-FR"/>
        </w:rPr>
        <w:tab/>
      </w:r>
      <w:r w:rsidRPr="00134353">
        <w:rPr>
          <w:sz w:val="22"/>
          <w:szCs w:val="22"/>
          <w:lang w:val="fr-FR"/>
        </w:rPr>
        <w:t>Adopter une répartition claire des responsabilités entre les différentes autorités de régulation concernées, éventuellement par la signature d</w:t>
      </w:r>
      <w:r>
        <w:rPr>
          <w:sz w:val="22"/>
          <w:szCs w:val="22"/>
          <w:lang w:val="fr-FR"/>
        </w:rPr>
        <w:t>'</w:t>
      </w:r>
      <w:r w:rsidRPr="00134353">
        <w:rPr>
          <w:sz w:val="22"/>
          <w:szCs w:val="22"/>
          <w:lang w:val="fr-FR"/>
        </w:rPr>
        <w:t>un mémorandum d</w:t>
      </w:r>
      <w:r>
        <w:rPr>
          <w:sz w:val="22"/>
          <w:szCs w:val="22"/>
          <w:lang w:val="fr-FR"/>
        </w:rPr>
        <w:t>'</w:t>
      </w:r>
      <w:r w:rsidRPr="00134353">
        <w:rPr>
          <w:sz w:val="22"/>
          <w:szCs w:val="22"/>
          <w:lang w:val="fr-FR"/>
        </w:rPr>
        <w:t>entente (</w:t>
      </w:r>
      <w:proofErr w:type="spellStart"/>
      <w:r w:rsidRPr="00134353">
        <w:rPr>
          <w:sz w:val="22"/>
          <w:szCs w:val="22"/>
          <w:lang w:val="fr-FR"/>
        </w:rPr>
        <w:t>MoU</w:t>
      </w:r>
      <w:proofErr w:type="spellEnd"/>
      <w:r w:rsidRPr="00134353">
        <w:rPr>
          <w:sz w:val="22"/>
          <w:szCs w:val="22"/>
          <w:lang w:val="fr-FR"/>
        </w:rPr>
        <w:t>), dans lequel seraient prévus des arrangements en matière de partage des informations et des ressources, si nécessaire.</w:t>
      </w:r>
    </w:p>
    <w:p w:rsidR="00771A15" w:rsidRPr="00134353" w:rsidRDefault="00771A15" w:rsidP="00771A15">
      <w:pPr>
        <w:pStyle w:val="Enumlevel1"/>
        <w:rPr>
          <w:sz w:val="22"/>
          <w:szCs w:val="22"/>
          <w:lang w:val="fr-FR"/>
        </w:rPr>
      </w:pPr>
      <w:r w:rsidRPr="00134353">
        <w:rPr>
          <w:color w:val="E36C0A"/>
          <w:sz w:val="22"/>
          <w:szCs w:val="22"/>
          <w:lang w:val="fr-FR"/>
        </w:rPr>
        <w:t>•</w:t>
      </w:r>
      <w:r w:rsidRPr="00134353">
        <w:rPr>
          <w:sz w:val="22"/>
          <w:szCs w:val="22"/>
          <w:lang w:val="fr-FR"/>
        </w:rPr>
        <w:tab/>
        <w:t>Etablir une distinction entre les échecs/insuffisances/obstacles relatifs à la mise en œuvre et les problèmes liés à la législation/réglementation actuelles.</w:t>
      </w:r>
    </w:p>
    <w:p w:rsidR="00526BDB" w:rsidRPr="003F265B" w:rsidRDefault="00771A15" w:rsidP="00771A15">
      <w:pPr>
        <w:pStyle w:val="Enumlevel1"/>
      </w:pPr>
      <w:r w:rsidRPr="00134353">
        <w:rPr>
          <w:color w:val="E36C0A"/>
          <w:sz w:val="22"/>
          <w:szCs w:val="22"/>
          <w:lang w:val="fr-FR"/>
        </w:rPr>
        <w:t>•</w:t>
      </w:r>
      <w:r w:rsidRPr="00134353">
        <w:rPr>
          <w:color w:val="E36C0A"/>
          <w:sz w:val="22"/>
          <w:szCs w:val="22"/>
          <w:lang w:val="fr-FR"/>
        </w:rPr>
        <w:tab/>
      </w:r>
      <w:r w:rsidRPr="00134353">
        <w:rPr>
          <w:sz w:val="22"/>
          <w:szCs w:val="22"/>
          <w:lang w:val="fr-FR"/>
        </w:rPr>
        <w:t>Elaborer un éventail de méthodes de repérage des infractions potentielles et effectives à la réglementation. Parmi les méthodes utilisables, on peut citer les activités de surveillance, les déclarations volontaires (par exemple de fournisseurs de services ayant repéré des infractions à la sécurité), la création de mécanismes de résolution des réclamations et des différends couvrant tous les aspects des services issus de la convergence, et des dispositions allant dans le sens de la coopération transfrontière et de la coordination des principes réglementaires, lorsque cela est possible.</w:t>
      </w:r>
      <w:r w:rsidR="00526BDB" w:rsidRPr="003F265B">
        <w:t xml:space="preserve"> </w:t>
      </w:r>
    </w:p>
    <w:p w:rsidR="00526BDB" w:rsidRPr="003F265B" w:rsidRDefault="00771A15" w:rsidP="004E42BE">
      <w:pPr>
        <w:pStyle w:val="Heading1"/>
        <w:rPr>
          <w:lang w:val="en-GB"/>
        </w:rPr>
      </w:pPr>
      <w:bookmarkStart w:id="47" w:name="_Toc354053104"/>
      <w:bookmarkStart w:id="48" w:name="_Toc367349748"/>
      <w:r w:rsidRPr="00C63093">
        <w:t xml:space="preserve">Section 6: Résumé </w:t>
      </w:r>
      <w:proofErr w:type="gramStart"/>
      <w:r w:rsidRPr="00C63093">
        <w:t>et</w:t>
      </w:r>
      <w:proofErr w:type="gramEnd"/>
      <w:r w:rsidRPr="00C63093">
        <w:t xml:space="preserve"> conclusions</w:t>
      </w:r>
      <w:bookmarkEnd w:id="47"/>
      <w:bookmarkEnd w:id="48"/>
    </w:p>
    <w:p w:rsidR="00771A15" w:rsidRPr="00C63093" w:rsidRDefault="00771A15" w:rsidP="00771A15">
      <w:r w:rsidRPr="00C63093">
        <w:t xml:space="preserve">Le fait de placer le consommateur au centre des processus décisionnels du régulateur permet de maintenir un haut niveau de concurrence dans l'intérêt </w:t>
      </w:r>
      <w:proofErr w:type="gramStart"/>
      <w:r w:rsidRPr="00C63093">
        <w:t>du premier</w:t>
      </w:r>
      <w:proofErr w:type="gramEnd"/>
      <w:r w:rsidRPr="00C63093">
        <w:t xml:space="preserve"> cité, et de fournir des améliorations dans les domaines où le marché ne remplit pas entièrement son rôle.</w:t>
      </w:r>
    </w:p>
    <w:p w:rsidR="00771A15" w:rsidRPr="00C63093" w:rsidRDefault="00771A15" w:rsidP="00771A15">
      <w:r w:rsidRPr="00C63093">
        <w:t xml:space="preserve">La majeure partie des pays ayant participé à l'enquête sont dotés de politiques de protection des consommateurs, soit qu'ils jouent un rôle direct dans le traitement des réclamations des consommateurs, soit qu'ils disposent d'un organisme séparé chargé de la protection des consommateurs dans le secteur des télécommunications. Cependant, bon nombre de ces pays ont des difficultés à appliquer et/ou à </w:t>
      </w:r>
      <w:r w:rsidRPr="00C63093">
        <w:lastRenderedPageBreak/>
        <w:t>encourager les mesures de protection des consommateurs, en raison bien souvent d'un manque de moyens et de compétences. Très peu de participants avaient mis à jour leur réglementation/législation afin de traiter les problèmes liés à la convergence, bien que les services issus de la convergence fussent largement accessibles. La majorité d'entre eux ont encore des régulateurs distincts pour les services de télécommunication et de radiodiffusion.</w:t>
      </w:r>
    </w:p>
    <w:p w:rsidR="00771A15" w:rsidRPr="00C63093" w:rsidRDefault="00771A15" w:rsidP="00771A15">
      <w:r w:rsidRPr="00C63093">
        <w:t xml:space="preserve">Que peut-on faire, alors, pour instaurer et/ou maintenir un cadre de protection des consommateurs efficace à l'ère de la convergence? Les </w:t>
      </w:r>
      <w:r w:rsidRPr="00C63093">
        <w:rPr>
          <w:rFonts w:cs="Calibri"/>
        </w:rPr>
        <w:t>"</w:t>
      </w:r>
      <w:r w:rsidRPr="00C63093">
        <w:t>règles d'or de la convergence</w:t>
      </w:r>
      <w:r w:rsidRPr="00C63093">
        <w:rPr>
          <w:rFonts w:cs="Calibri"/>
        </w:rPr>
        <w:t>"</w:t>
      </w:r>
      <w:r w:rsidRPr="00C63093">
        <w:t>, bien que n'étant pas la panacée, constituent un bon point de départ.</w:t>
      </w:r>
    </w:p>
    <w:p w:rsidR="00771A15" w:rsidRPr="00C63093" w:rsidRDefault="00771A15" w:rsidP="00771A15">
      <w:r w:rsidRPr="00C63093">
        <w:t xml:space="preserve">Au vu de la rapidité des évolutions et du temps nécessaire à l'introduction et à la mise en œuvre d'une nouvelle législation ou de nouveaux règlements, il est difficile (et néanmoins important) d'essayer de rendre la réglementation </w:t>
      </w:r>
      <w:r w:rsidRPr="00C63093">
        <w:rPr>
          <w:rFonts w:cs="Calibri"/>
        </w:rPr>
        <w:t>"</w:t>
      </w:r>
      <w:r w:rsidRPr="00C63093">
        <w:t>à l'épreuve du futur</w:t>
      </w:r>
      <w:r w:rsidRPr="00C63093">
        <w:rPr>
          <w:rFonts w:cs="Calibri"/>
        </w:rPr>
        <w:t>"</w:t>
      </w:r>
      <w:r w:rsidRPr="00C63093">
        <w:t>. L'approche idéale ne consiste pas à revoir le cadre existant de fond en comble, mais à envisager des modifications successives visant à désamorcer les principales menaces (par exemple l'utilisation abusive des données à caractère personnel), tout en conservant les avantages (par exemple les contenus personnalisés).</w:t>
      </w:r>
    </w:p>
    <w:p w:rsidR="00771A15" w:rsidRPr="00C63093" w:rsidRDefault="00771A15" w:rsidP="00771A15">
      <w:r w:rsidRPr="00C63093">
        <w:t>Il faut chercher à mettre en place un cadre réglementaire fondé sur l'équilibre entre les intérêts des fournisseurs et ceux des utilisateurs, dans des domaines tels que la protection des droits de propriété intellectuelle et la gestion des droits numériques, sans nuire aux modèles de commerce électronique novateurs. Par exemple, le commerce électronique et le commerce sur mobile ouvrent de vastes perspectives en matière de commerce transfrontière, en permettant à des communautés jusque-là non desservies d'accéder à certains biens et services.</w:t>
      </w:r>
    </w:p>
    <w:p w:rsidR="00526BDB" w:rsidRPr="003F265B" w:rsidRDefault="00771A15" w:rsidP="00771A15">
      <w:pPr>
        <w:rPr>
          <w:lang w:val="en-GB"/>
        </w:rPr>
      </w:pPr>
      <w:r w:rsidRPr="00C63093">
        <w:t>L'un des défis majeurs pour les régulateurs est de créer une culture de la sécurité qui favorise la confiance dans les applications TIC, et dans laquelle soit véritablement assurée la protection de la confidentialité et des consommateurs. La dimension mondiale des services issus de la convergence rend d'autant plus grande la nécessité de renforcer la coopération transfrontière.</w:t>
      </w:r>
    </w:p>
    <w:bookmarkEnd w:id="30"/>
    <w:p w:rsidR="000A71D3" w:rsidRPr="003F265B" w:rsidRDefault="000A71D3" w:rsidP="00133CDA">
      <w:pPr>
        <w:rPr>
          <w:lang w:val="en-GB"/>
        </w:rPr>
      </w:pPr>
    </w:p>
    <w:sectPr w:rsidR="000A71D3" w:rsidRPr="003F265B" w:rsidSect="004D36A6">
      <w:footerReference w:type="even" r:id="rId33"/>
      <w:footerReference w:type="default" r:id="rId34"/>
      <w:endnotePr>
        <w:numFmt w:val="decimal"/>
      </w:endnotePr>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2B4" w:rsidRPr="0034180A" w:rsidRDefault="00FD42B4" w:rsidP="00837668">
      <w:pPr>
        <w:pStyle w:val="Footer"/>
      </w:pPr>
    </w:p>
    <w:p w:rsidR="00FD42B4" w:rsidRDefault="00FD42B4"/>
  </w:endnote>
  <w:endnote w:type="continuationSeparator" w:id="0">
    <w:p w:rsidR="00FD42B4" w:rsidRPr="0034180A" w:rsidRDefault="00FD42B4" w:rsidP="00837668">
      <w:pPr>
        <w:pStyle w:val="Footer"/>
      </w:pPr>
    </w:p>
    <w:p w:rsidR="00FD42B4" w:rsidRDefault="00FD42B4"/>
  </w:endnote>
  <w:endnote w:type="continuationNotice" w:id="1">
    <w:p w:rsidR="00FD42B4" w:rsidRDefault="00FD42B4"/>
    <w:p w:rsidR="00FD42B4" w:rsidRDefault="00FD42B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Zurich UBlkEx BT">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Webdings">
    <w:panose1 w:val="05030102010509060703"/>
    <w:charset w:val="02"/>
    <w:family w:val="roman"/>
    <w:pitch w:val="variable"/>
    <w:sig w:usb0="00000000" w:usb1="10000000" w:usb2="00000000" w:usb3="00000000" w:csb0="80000000" w:csb1="00000000"/>
    <w:embedRegular r:id="rId1" w:subsetted="1" w:fontKey="{77088C2B-C536-4905-AFCE-8011902F7BB9}"/>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D9" w:rsidRPr="00234E6B" w:rsidRDefault="00C954D9" w:rsidP="007633E7">
    <w:pPr>
      <w:pBdr>
        <w:top w:val="single" w:sz="8" w:space="1" w:color="CC0099"/>
      </w:pBdr>
      <w:tabs>
        <w:tab w:val="right" w:pos="9071"/>
      </w:tabs>
      <w:ind w:left="6804"/>
      <w:jc w:val="right"/>
    </w:pPr>
    <w:r w:rsidRPr="009E2BB9">
      <w:tab/>
    </w:r>
    <w:fldSimple w:instr=" PAGE ">
      <w:r w:rsidR="00D72813">
        <w:rPr>
          <w:noProof/>
        </w:rPr>
        <w:t>iii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D9" w:rsidRDefault="00C954D9" w:rsidP="00C21D57">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D9" w:rsidRPr="005965AD" w:rsidRDefault="002C6A7A" w:rsidP="00C638B2">
    <w:pPr>
      <w:pBdr>
        <w:top w:val="single" w:sz="8" w:space="1" w:color="E36C0A" w:themeColor="accent6" w:themeShade="BF"/>
      </w:pBdr>
      <w:spacing w:before="200"/>
      <w:ind w:right="6804"/>
      <w:jc w:val="left"/>
    </w:pPr>
    <w:fldSimple w:instr=" PAGE ">
      <w:r w:rsidR="00C954D9">
        <w:rPr>
          <w:noProof/>
        </w:rPr>
        <w:t>ii</w:t>
      </w:r>
    </w:fldSimple>
    <w:r w:rsidR="00C954D9">
      <w:tab/>
    </w:r>
    <w:r w:rsidR="00C954D9">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759326"/>
      <w:docPartObj>
        <w:docPartGallery w:val="Page Numbers (Bottom of Page)"/>
        <w:docPartUnique/>
      </w:docPartObj>
    </w:sdtPr>
    <w:sdtEndPr>
      <w:rPr>
        <w:noProof/>
      </w:rPr>
    </w:sdtEndPr>
    <w:sdtContent>
      <w:p w:rsidR="00C954D9" w:rsidRDefault="00C954D9" w:rsidP="00344375">
        <w:pPr>
          <w:pBdr>
            <w:top w:val="single" w:sz="4" w:space="1" w:color="E36C0A" w:themeColor="accent6" w:themeShade="BF"/>
          </w:pBdr>
          <w:tabs>
            <w:tab w:val="right" w:pos="9071"/>
          </w:tabs>
          <w:ind w:left="6804"/>
          <w:jc w:val="right"/>
        </w:pPr>
        <w:r w:rsidRPr="009E2BB9">
          <w:tab/>
        </w:r>
        <w:fldSimple w:instr=" PAGE ">
          <w:r>
            <w:rPr>
              <w:noProof/>
            </w:rPr>
            <w:t>iii</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16838"/>
      <w:docPartObj>
        <w:docPartGallery w:val="Page Numbers (Bottom of Page)"/>
        <w:docPartUnique/>
      </w:docPartObj>
    </w:sdtPr>
    <w:sdtEndPr>
      <w:rPr>
        <w:noProof/>
      </w:rPr>
    </w:sdtEndPr>
    <w:sdtContent>
      <w:p w:rsidR="00C954D9" w:rsidRDefault="00C954D9" w:rsidP="003C795F">
        <w:pPr>
          <w:pBdr>
            <w:top w:val="single" w:sz="4" w:space="1" w:color="E36C0A" w:themeColor="accent6" w:themeShade="BF"/>
          </w:pBdr>
          <w:tabs>
            <w:tab w:val="right" w:pos="9071"/>
          </w:tabs>
          <w:ind w:left="6804"/>
          <w:jc w:val="right"/>
        </w:pPr>
        <w:r w:rsidRPr="009E2BB9">
          <w:tab/>
        </w:r>
        <w:r>
          <w:t>i</w:t>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57833"/>
      <w:docPartObj>
        <w:docPartGallery w:val="Page Numbers (Bottom of Page)"/>
        <w:docPartUnique/>
      </w:docPartObj>
    </w:sdtPr>
    <w:sdtEndPr>
      <w:rPr>
        <w:noProof/>
      </w:rPr>
    </w:sdtEndPr>
    <w:sdtContent>
      <w:p w:rsidR="00C954D9" w:rsidRDefault="00C954D9" w:rsidP="003C795F">
        <w:pPr>
          <w:pBdr>
            <w:top w:val="single" w:sz="4" w:space="1" w:color="E36C0A" w:themeColor="accent6" w:themeShade="BF"/>
          </w:pBdr>
          <w:tabs>
            <w:tab w:val="right" w:pos="9071"/>
          </w:tabs>
          <w:ind w:left="6804"/>
          <w:jc w:val="right"/>
        </w:pPr>
        <w:r w:rsidRPr="009E2BB9">
          <w:tab/>
        </w:r>
        <w:r>
          <w:t>iii</w:t>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D9" w:rsidRDefault="002C6A7A" w:rsidP="000C7AA4">
    <w:pPr>
      <w:pBdr>
        <w:top w:val="single" w:sz="8" w:space="1" w:color="E36C0A" w:themeColor="accent6" w:themeShade="BF"/>
      </w:pBdr>
      <w:spacing w:before="200"/>
      <w:ind w:right="6804"/>
      <w:jc w:val="left"/>
    </w:pPr>
    <w:fldSimple w:instr=" PAGE ">
      <w:r w:rsidR="002B58E6">
        <w:rPr>
          <w:noProof/>
        </w:rPr>
        <w:t>26</w:t>
      </w:r>
    </w:fldSimple>
    <w:r w:rsidR="00C954D9">
      <w:tab/>
    </w:r>
    <w:r w:rsidR="00C954D9">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834105"/>
      <w:docPartObj>
        <w:docPartGallery w:val="Page Numbers (Bottom of Page)"/>
        <w:docPartUnique/>
      </w:docPartObj>
    </w:sdtPr>
    <w:sdtEndPr>
      <w:rPr>
        <w:noProof/>
      </w:rPr>
    </w:sdtEndPr>
    <w:sdtContent>
      <w:p w:rsidR="00C954D9" w:rsidRDefault="00C954D9" w:rsidP="009B0B5A">
        <w:pPr>
          <w:pBdr>
            <w:top w:val="single" w:sz="4" w:space="1" w:color="E36C0A" w:themeColor="accent6" w:themeShade="BF"/>
          </w:pBdr>
          <w:tabs>
            <w:tab w:val="right" w:pos="9071"/>
          </w:tabs>
          <w:ind w:left="6804"/>
          <w:jc w:val="right"/>
        </w:pPr>
        <w:r w:rsidRPr="009E2BB9">
          <w:tab/>
        </w:r>
        <w:fldSimple w:instr=" PAGE ">
          <w:r w:rsidR="002B58E6">
            <w:rPr>
              <w:noProof/>
            </w:rPr>
            <w:t>25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2B4" w:rsidRDefault="00FD42B4" w:rsidP="00E07081">
      <w:r>
        <w:separator/>
      </w:r>
    </w:p>
  </w:footnote>
  <w:footnote w:type="continuationSeparator" w:id="0">
    <w:p w:rsidR="00FD42B4" w:rsidRDefault="00FD42B4">
      <w:r>
        <w:continuationSeparator/>
      </w:r>
    </w:p>
    <w:p w:rsidR="00FD42B4" w:rsidRDefault="00FD42B4"/>
    <w:p w:rsidR="00FD42B4" w:rsidRDefault="00FD42B4"/>
    <w:p w:rsidR="00FD42B4" w:rsidRDefault="00FD42B4"/>
    <w:p w:rsidR="00FD42B4" w:rsidRDefault="00FD42B4"/>
  </w:footnote>
  <w:footnote w:type="continuationNotice" w:id="1">
    <w:p w:rsidR="00FD42B4" w:rsidRDefault="00FD42B4"/>
  </w:footnote>
  <w:footnote w:id="2">
    <w:p w:rsidR="00C954D9" w:rsidRPr="00ED2928" w:rsidRDefault="00C954D9" w:rsidP="00624061">
      <w:pPr>
        <w:pStyle w:val="FootnoteText"/>
        <w:ind w:left="284" w:hanging="284"/>
        <w:rPr>
          <w:lang w:val="fr-CH"/>
        </w:rPr>
      </w:pPr>
      <w:r w:rsidRPr="00ED2928">
        <w:rPr>
          <w:rStyle w:val="FootnoteReference"/>
        </w:rPr>
        <w:footnoteRef/>
      </w:r>
      <w:r w:rsidRPr="00ED2928">
        <w:rPr>
          <w:lang w:val="fr-CH"/>
        </w:rPr>
        <w:tab/>
        <w:t>Contribution qu'il est proposé d'inclure dans l'introduction du projet de Rapport sur la Question 18</w:t>
      </w:r>
      <w:r>
        <w:rPr>
          <w:lang w:val="fr-CH"/>
        </w:rPr>
        <w:t>-</w:t>
      </w:r>
      <w:r w:rsidR="001C4D43">
        <w:rPr>
          <w:lang w:val="fr-CH"/>
        </w:rPr>
        <w:t>2/1, Document </w:t>
      </w:r>
      <w:r w:rsidRPr="00ED2928">
        <w:rPr>
          <w:lang w:val="fr-CH"/>
        </w:rPr>
        <w:t>1/167-</w:t>
      </w:r>
      <w:r>
        <w:rPr>
          <w:lang w:val="fr-CH"/>
        </w:rPr>
        <w:t>F</w:t>
      </w:r>
      <w:r w:rsidRPr="00ED2928">
        <w:rPr>
          <w:lang w:val="fr-CH"/>
        </w:rPr>
        <w:t xml:space="preserve">, </w:t>
      </w:r>
      <w:r>
        <w:rPr>
          <w:lang w:val="fr-CH"/>
        </w:rPr>
        <w:t>Origine</w:t>
      </w:r>
      <w:r w:rsidRPr="00ED2928">
        <w:rPr>
          <w:lang w:val="fr-CH"/>
        </w:rPr>
        <w:t xml:space="preserve">: Coordonnateur du BDT pour la Question 18-2/1, </w:t>
      </w:r>
      <w:r>
        <w:rPr>
          <w:lang w:val="fr-CH"/>
        </w:rPr>
        <w:t>Troisième réunion de la Commission d'études 1 de l'UIT-D</w:t>
      </w:r>
      <w:r w:rsidRPr="00ED2928">
        <w:rPr>
          <w:lang w:val="fr-CH"/>
        </w:rPr>
        <w:t xml:space="preserve">, </w:t>
      </w:r>
      <w:r>
        <w:rPr>
          <w:lang w:val="fr-CH"/>
        </w:rPr>
        <w:t>Genève</w:t>
      </w:r>
      <w:r w:rsidRPr="00ED2928">
        <w:rPr>
          <w:lang w:val="fr-CH"/>
        </w:rPr>
        <w:t xml:space="preserve">, 10-14 </w:t>
      </w:r>
      <w:r>
        <w:rPr>
          <w:lang w:val="fr-CH"/>
        </w:rPr>
        <w:t>septembre</w:t>
      </w:r>
      <w:r w:rsidRPr="00ED2928">
        <w:rPr>
          <w:lang w:val="fr-CH"/>
        </w:rPr>
        <w:t xml:space="preserve"> 2012.</w:t>
      </w:r>
    </w:p>
  </w:footnote>
  <w:footnote w:id="3">
    <w:p w:rsidR="00C954D9" w:rsidRPr="00ED2928" w:rsidRDefault="00C954D9" w:rsidP="0081018A">
      <w:pPr>
        <w:pStyle w:val="FootnoteText"/>
        <w:ind w:left="284" w:hanging="284"/>
        <w:rPr>
          <w:lang w:val="fr-CH"/>
        </w:rPr>
      </w:pPr>
      <w:r w:rsidRPr="00ED2928">
        <w:rPr>
          <w:rStyle w:val="FootnoteReference"/>
        </w:rPr>
        <w:footnoteRef/>
      </w:r>
      <w:r w:rsidRPr="00ED2928">
        <w:rPr>
          <w:lang w:val="fr-CH"/>
        </w:rPr>
        <w:tab/>
        <w:t xml:space="preserve">Source: </w:t>
      </w:r>
      <w:r>
        <w:rPr>
          <w:lang w:val="fr-CH"/>
        </w:rPr>
        <w:t>Réponses à l'enquête UIT et contributions sur la Question </w:t>
      </w:r>
      <w:r w:rsidRPr="00ED2928">
        <w:rPr>
          <w:lang w:val="fr-CH"/>
        </w:rPr>
        <w:t>18-2/1</w:t>
      </w:r>
      <w:r w:rsidRPr="009F481C">
        <w:rPr>
          <w:lang w:val="fr-CH"/>
        </w:rPr>
        <w:t xml:space="preserve"> </w:t>
      </w:r>
      <w:r>
        <w:rPr>
          <w:lang w:val="fr-CH"/>
        </w:rPr>
        <w:t>soumises à la Commission d'études 1 de l'UIT</w:t>
      </w:r>
      <w:r>
        <w:rPr>
          <w:lang w:val="fr-CH"/>
        </w:rPr>
        <w:noBreakHyphen/>
        <w:t>D</w:t>
      </w:r>
      <w:r w:rsidRPr="00ED2928">
        <w:rPr>
          <w:lang w:val="fr-CH"/>
        </w:rPr>
        <w:t>.</w:t>
      </w:r>
    </w:p>
  </w:footnote>
  <w:footnote w:id="4">
    <w:p w:rsidR="00C954D9" w:rsidRPr="00ED2928" w:rsidRDefault="00C954D9" w:rsidP="0081018A">
      <w:pPr>
        <w:pStyle w:val="FootnoteText"/>
        <w:rPr>
          <w:lang w:val="fr-CH"/>
        </w:rPr>
      </w:pPr>
      <w:r w:rsidRPr="00ED2928">
        <w:rPr>
          <w:rStyle w:val="FootnoteReference"/>
        </w:rPr>
        <w:footnoteRef/>
      </w:r>
      <w:r w:rsidRPr="00ED2928">
        <w:rPr>
          <w:lang w:val="fr-CH"/>
        </w:rPr>
        <w:tab/>
      </w:r>
      <w:proofErr w:type="spellStart"/>
      <w:r w:rsidRPr="00ED2928">
        <w:rPr>
          <w:lang w:val="fr-CH"/>
        </w:rPr>
        <w:t>Turk</w:t>
      </w:r>
      <w:proofErr w:type="spellEnd"/>
      <w:r w:rsidRPr="00ED2928">
        <w:rPr>
          <w:lang w:val="fr-CH"/>
        </w:rPr>
        <w:t> Telekom, U‐COM Burundi, ARCTEL‐CPLP, </w:t>
      </w:r>
      <w:r w:rsidRPr="00B770DF">
        <w:rPr>
          <w:lang w:val="fr-CH"/>
        </w:rPr>
        <w:t>Réseau des Consommateurs TIC Africains (</w:t>
      </w:r>
      <w:proofErr w:type="spellStart"/>
      <w:r w:rsidRPr="00B770DF">
        <w:rPr>
          <w:lang w:val="fr-CH"/>
        </w:rPr>
        <w:t>RéCATIC</w:t>
      </w:r>
      <w:proofErr w:type="spellEnd"/>
      <w:r>
        <w:rPr>
          <w:lang w:val="fr-CH"/>
        </w:rPr>
        <w:t>).</w:t>
      </w:r>
    </w:p>
  </w:footnote>
  <w:footnote w:id="5">
    <w:p w:rsidR="00C954D9" w:rsidRPr="00ED2928" w:rsidRDefault="00C954D9" w:rsidP="00D15E50">
      <w:pPr>
        <w:pStyle w:val="FootnoteText"/>
        <w:ind w:left="284" w:hanging="284"/>
        <w:rPr>
          <w:lang w:val="fr-CH"/>
        </w:rPr>
      </w:pPr>
      <w:r w:rsidRPr="00ED2928">
        <w:rPr>
          <w:rStyle w:val="FootnoteReference"/>
        </w:rPr>
        <w:footnoteRef/>
      </w:r>
      <w:r w:rsidRPr="00ED2928">
        <w:rPr>
          <w:lang w:val="fr-CH"/>
        </w:rPr>
        <w:tab/>
      </w:r>
      <w:r>
        <w:rPr>
          <w:lang w:val="fr-CH"/>
        </w:rPr>
        <w:t>Les pays suivants ont répondu à l'enquête: République</w:t>
      </w:r>
      <w:r w:rsidRPr="00ED2928">
        <w:rPr>
          <w:lang w:val="fr-CH"/>
        </w:rPr>
        <w:t xml:space="preserve"> Azerba</w:t>
      </w:r>
      <w:r>
        <w:rPr>
          <w:lang w:val="fr-CH"/>
        </w:rPr>
        <w:t>ïd</w:t>
      </w:r>
      <w:r w:rsidRPr="00ED2928">
        <w:rPr>
          <w:lang w:val="fr-CH"/>
        </w:rPr>
        <w:t>jan</w:t>
      </w:r>
      <w:r>
        <w:rPr>
          <w:lang w:val="fr-CH"/>
        </w:rPr>
        <w:t>aise</w:t>
      </w:r>
      <w:r w:rsidRPr="00ED2928">
        <w:rPr>
          <w:lang w:val="fr-CH"/>
        </w:rPr>
        <w:t>, Bahr</w:t>
      </w:r>
      <w:r>
        <w:rPr>
          <w:lang w:val="fr-CH"/>
        </w:rPr>
        <w:t>eï</w:t>
      </w:r>
      <w:r w:rsidRPr="00ED2928">
        <w:rPr>
          <w:lang w:val="fr-CH"/>
        </w:rPr>
        <w:t>n, Belgi</w:t>
      </w:r>
      <w:r>
        <w:rPr>
          <w:lang w:val="fr-CH"/>
        </w:rPr>
        <w:t>que</w:t>
      </w:r>
      <w:r w:rsidRPr="00ED2928">
        <w:rPr>
          <w:lang w:val="fr-CH"/>
        </w:rPr>
        <w:t>, Bh</w:t>
      </w:r>
      <w:r>
        <w:rPr>
          <w:lang w:val="fr-CH"/>
        </w:rPr>
        <w:t>o</w:t>
      </w:r>
      <w:r w:rsidRPr="00ED2928">
        <w:rPr>
          <w:lang w:val="fr-CH"/>
        </w:rPr>
        <w:t>utan, Bolivi</w:t>
      </w:r>
      <w:r>
        <w:rPr>
          <w:lang w:val="fr-CH"/>
        </w:rPr>
        <w:t>e</w:t>
      </w:r>
      <w:r w:rsidRPr="00ED2928">
        <w:rPr>
          <w:lang w:val="fr-CH"/>
        </w:rPr>
        <w:t xml:space="preserve">, </w:t>
      </w:r>
      <w:r>
        <w:rPr>
          <w:lang w:val="fr-CH"/>
        </w:rPr>
        <w:t>Brésil</w:t>
      </w:r>
      <w:r w:rsidRPr="00ED2928">
        <w:rPr>
          <w:lang w:val="fr-CH"/>
        </w:rPr>
        <w:t>, Bulgari</w:t>
      </w:r>
      <w:r>
        <w:rPr>
          <w:lang w:val="fr-CH"/>
        </w:rPr>
        <w:t>e</w:t>
      </w:r>
      <w:r w:rsidRPr="00ED2928">
        <w:rPr>
          <w:lang w:val="fr-CH"/>
        </w:rPr>
        <w:t>, Colombi</w:t>
      </w:r>
      <w:r>
        <w:rPr>
          <w:lang w:val="fr-CH"/>
        </w:rPr>
        <w:t>e</w:t>
      </w:r>
      <w:r w:rsidRPr="00ED2928">
        <w:rPr>
          <w:lang w:val="fr-CH"/>
        </w:rPr>
        <w:t xml:space="preserve">, Côte d'Ivoire, </w:t>
      </w:r>
      <w:r>
        <w:rPr>
          <w:lang w:val="fr-CH"/>
        </w:rPr>
        <w:t>Chypre</w:t>
      </w:r>
      <w:r w:rsidRPr="00ED2928">
        <w:rPr>
          <w:lang w:val="fr-CH"/>
        </w:rPr>
        <w:t>, El Salvador, Honduras, Ital</w:t>
      </w:r>
      <w:r>
        <w:rPr>
          <w:lang w:val="fr-CH"/>
        </w:rPr>
        <w:t>ie, Lit</w:t>
      </w:r>
      <w:r w:rsidRPr="00ED2928">
        <w:rPr>
          <w:lang w:val="fr-CH"/>
        </w:rPr>
        <w:t>uani</w:t>
      </w:r>
      <w:r>
        <w:rPr>
          <w:lang w:val="fr-CH"/>
        </w:rPr>
        <w:t>e</w:t>
      </w:r>
      <w:r w:rsidRPr="00ED2928">
        <w:rPr>
          <w:lang w:val="fr-CH"/>
        </w:rPr>
        <w:t>, Mali, Mexi</w:t>
      </w:r>
      <w:r>
        <w:rPr>
          <w:lang w:val="fr-CH"/>
        </w:rPr>
        <w:t>que</w:t>
      </w:r>
      <w:r w:rsidRPr="00ED2928">
        <w:rPr>
          <w:lang w:val="fr-CH"/>
        </w:rPr>
        <w:t>, Mongoli</w:t>
      </w:r>
      <w:r>
        <w:rPr>
          <w:lang w:val="fr-CH"/>
        </w:rPr>
        <w:t>e</w:t>
      </w:r>
      <w:r w:rsidRPr="00ED2928">
        <w:rPr>
          <w:lang w:val="fr-CH"/>
        </w:rPr>
        <w:t xml:space="preserve">, Oman, </w:t>
      </w:r>
      <w:r>
        <w:rPr>
          <w:lang w:val="fr-CH"/>
        </w:rPr>
        <w:t>Por</w:t>
      </w:r>
      <w:r w:rsidRPr="00ED2928">
        <w:rPr>
          <w:lang w:val="fr-CH"/>
        </w:rPr>
        <w:t>tugal, Qatar, Rwanda, S</w:t>
      </w:r>
      <w:r>
        <w:rPr>
          <w:lang w:val="fr-CH"/>
        </w:rPr>
        <w:t>é</w:t>
      </w:r>
      <w:r w:rsidRPr="00ED2928">
        <w:rPr>
          <w:lang w:val="fr-CH"/>
        </w:rPr>
        <w:t>n</w:t>
      </w:r>
      <w:r>
        <w:rPr>
          <w:lang w:val="fr-CH"/>
        </w:rPr>
        <w:t>é</w:t>
      </w:r>
      <w:r w:rsidRPr="00ED2928">
        <w:rPr>
          <w:lang w:val="fr-CH"/>
        </w:rPr>
        <w:t xml:space="preserve">gal, </w:t>
      </w:r>
      <w:r>
        <w:rPr>
          <w:lang w:val="fr-CH"/>
        </w:rPr>
        <w:t xml:space="preserve">République </w:t>
      </w:r>
      <w:proofErr w:type="spellStart"/>
      <w:r>
        <w:rPr>
          <w:lang w:val="fr-CH"/>
        </w:rPr>
        <w:t>sudafricaine</w:t>
      </w:r>
      <w:proofErr w:type="spellEnd"/>
      <w:r w:rsidRPr="00ED2928">
        <w:rPr>
          <w:lang w:val="fr-CH"/>
        </w:rPr>
        <w:t>, S</w:t>
      </w:r>
      <w:r>
        <w:rPr>
          <w:lang w:val="fr-CH"/>
        </w:rPr>
        <w:t>o</w:t>
      </w:r>
      <w:r w:rsidRPr="00ED2928">
        <w:rPr>
          <w:lang w:val="fr-CH"/>
        </w:rPr>
        <w:t xml:space="preserve">udan, Swaziland, </w:t>
      </w:r>
      <w:r>
        <w:rPr>
          <w:lang w:val="fr-CH"/>
        </w:rPr>
        <w:t>Suisse</w:t>
      </w:r>
      <w:r w:rsidRPr="00ED2928">
        <w:rPr>
          <w:lang w:val="fr-CH"/>
        </w:rPr>
        <w:t xml:space="preserve">, </w:t>
      </w:r>
      <w:r>
        <w:rPr>
          <w:lang w:val="fr-CH"/>
        </w:rPr>
        <w:t>République arabe syrienne, Thaï</w:t>
      </w:r>
      <w:r w:rsidRPr="00ED2928">
        <w:rPr>
          <w:lang w:val="fr-CH"/>
        </w:rPr>
        <w:t>land</w:t>
      </w:r>
      <w:r>
        <w:rPr>
          <w:lang w:val="fr-CH"/>
        </w:rPr>
        <w:t>e</w:t>
      </w:r>
      <w:r w:rsidRPr="00ED2928">
        <w:rPr>
          <w:lang w:val="fr-CH"/>
        </w:rPr>
        <w:t>, Tunisi</w:t>
      </w:r>
      <w:r>
        <w:rPr>
          <w:lang w:val="fr-CH"/>
        </w:rPr>
        <w:t>e, Ou</w:t>
      </w:r>
      <w:r w:rsidRPr="00ED2928">
        <w:rPr>
          <w:lang w:val="fr-CH"/>
        </w:rPr>
        <w:t xml:space="preserve">ganda, Uruguay, Vanuatu </w:t>
      </w:r>
      <w:r>
        <w:rPr>
          <w:lang w:val="fr-CH"/>
        </w:rPr>
        <w:t>et</w:t>
      </w:r>
      <w:r w:rsidRPr="00ED2928">
        <w:rPr>
          <w:lang w:val="fr-CH"/>
        </w:rPr>
        <w:t xml:space="preserve"> Venezuela. </w:t>
      </w:r>
    </w:p>
  </w:footnote>
  <w:footnote w:id="6">
    <w:p w:rsidR="00C954D9" w:rsidRPr="00ED2928" w:rsidRDefault="00C954D9" w:rsidP="00D15E50">
      <w:pPr>
        <w:pStyle w:val="FootnoteText"/>
        <w:rPr>
          <w:lang w:val="fr-CH"/>
        </w:rPr>
      </w:pPr>
      <w:r w:rsidRPr="00ED2928">
        <w:rPr>
          <w:rStyle w:val="FootnoteReference"/>
        </w:rPr>
        <w:footnoteRef/>
      </w:r>
      <w:r w:rsidRPr="00ED2928">
        <w:rPr>
          <w:lang w:val="fr-CH"/>
        </w:rPr>
        <w:tab/>
      </w:r>
      <w:r>
        <w:rPr>
          <w:lang w:val="fr-CH"/>
        </w:rPr>
        <w:t xml:space="preserve">Selon </w:t>
      </w:r>
      <w:r w:rsidRPr="000F249E">
        <w:rPr>
          <w:lang w:val="fr-CH"/>
        </w:rPr>
        <w:t>l'Organisation des Nations Unies</w:t>
      </w:r>
      <w:r>
        <w:rPr>
          <w:lang w:val="fr-CH"/>
        </w:rPr>
        <w:t>, 49 pays appartiennent à la catégorie</w:t>
      </w:r>
      <w:r w:rsidRPr="000F249E">
        <w:rPr>
          <w:lang w:val="fr-CH"/>
        </w:rPr>
        <w:t xml:space="preserve"> </w:t>
      </w:r>
      <w:r>
        <w:rPr>
          <w:lang w:val="fr-CH"/>
        </w:rPr>
        <w:t xml:space="preserve">des </w:t>
      </w:r>
      <w:r w:rsidRPr="000F249E">
        <w:rPr>
          <w:lang w:val="fr-CH"/>
        </w:rPr>
        <w:t>pays les moins avancés</w:t>
      </w:r>
      <w:r w:rsidRPr="00ED2928">
        <w:rPr>
          <w:lang w:val="fr-CH"/>
        </w:rPr>
        <w:t>.</w:t>
      </w:r>
    </w:p>
  </w:footnote>
  <w:footnote w:id="7">
    <w:p w:rsidR="00C954D9" w:rsidRPr="004346ED" w:rsidRDefault="00C954D9" w:rsidP="00F12BC6">
      <w:pPr>
        <w:pStyle w:val="FootnoteText"/>
        <w:rPr>
          <w:lang w:val="fr-CH"/>
        </w:rPr>
      </w:pPr>
      <w:r w:rsidRPr="004630FB">
        <w:rPr>
          <w:rStyle w:val="FootnoteReference"/>
          <w:lang w:val="es-ES"/>
        </w:rPr>
        <w:footnoteRef/>
      </w:r>
      <w:r w:rsidRPr="004346ED">
        <w:rPr>
          <w:lang w:val="fr-CH"/>
        </w:rPr>
        <w:tab/>
      </w:r>
      <w:r>
        <w:rPr>
          <w:lang w:val="fr-CH"/>
        </w:rPr>
        <w:t>Les données portent uniquement sur les participants à l'enquête.</w:t>
      </w:r>
    </w:p>
  </w:footnote>
  <w:footnote w:id="8">
    <w:p w:rsidR="00C954D9" w:rsidRPr="00ED2928" w:rsidRDefault="00C954D9" w:rsidP="00AC0B2B">
      <w:pPr>
        <w:pStyle w:val="FootnoteText"/>
        <w:ind w:left="284" w:hanging="284"/>
        <w:rPr>
          <w:lang w:val="fr-CH"/>
        </w:rPr>
      </w:pPr>
      <w:r w:rsidRPr="00ED2928">
        <w:rPr>
          <w:rStyle w:val="FootnoteReference"/>
        </w:rPr>
        <w:footnoteRef/>
      </w:r>
      <w:r w:rsidRPr="00ED2928">
        <w:rPr>
          <w:lang w:val="fr-CH"/>
        </w:rPr>
        <w:tab/>
        <w:t xml:space="preserve">Six </w:t>
      </w:r>
      <w:r>
        <w:rPr>
          <w:lang w:val="fr-CH"/>
        </w:rPr>
        <w:t>pays développés, un pays dont l'économie est en transition, huit pays en développement et quatre pays appartenant à la catégorie des pays les moins avancés.</w:t>
      </w:r>
    </w:p>
  </w:footnote>
  <w:footnote w:id="9">
    <w:p w:rsidR="00C954D9" w:rsidRPr="00ED2928" w:rsidRDefault="00C954D9" w:rsidP="00BE47B2">
      <w:pPr>
        <w:pStyle w:val="FootnoteText"/>
        <w:ind w:left="284" w:hanging="284"/>
        <w:rPr>
          <w:lang w:val="fr-CH"/>
        </w:rPr>
      </w:pPr>
      <w:r w:rsidRPr="00ED2928">
        <w:rPr>
          <w:rStyle w:val="FootnoteReference"/>
        </w:rPr>
        <w:footnoteRef/>
      </w:r>
      <w:r w:rsidRPr="00ED2928">
        <w:rPr>
          <w:lang w:val="fr-CH"/>
        </w:rPr>
        <w:tab/>
      </w:r>
      <w:r>
        <w:rPr>
          <w:lang w:val="fr-CH"/>
        </w:rPr>
        <w:t>Trois pays développés sur quatre, deux pays en développement sur dix-sept et un pays sur les cinq appartenant à la catégorie des pays les moins avancés.</w:t>
      </w:r>
    </w:p>
  </w:footnote>
  <w:footnote w:id="10">
    <w:p w:rsidR="00C954D9" w:rsidRPr="00ED2928" w:rsidRDefault="00C954D9" w:rsidP="00BE47B2">
      <w:pPr>
        <w:pStyle w:val="FootnoteText"/>
        <w:ind w:left="284" w:hanging="284"/>
        <w:rPr>
          <w:lang w:val="fr-CH"/>
        </w:rPr>
      </w:pPr>
      <w:r w:rsidRPr="00ED2928">
        <w:rPr>
          <w:rStyle w:val="FootnoteReference"/>
        </w:rPr>
        <w:footnoteRef/>
      </w:r>
      <w:r w:rsidRPr="00ED2928">
        <w:rPr>
          <w:lang w:val="fr-CH"/>
        </w:rPr>
        <w:tab/>
      </w:r>
      <w:r>
        <w:rPr>
          <w:lang w:val="fr-CH"/>
        </w:rPr>
        <w:t>D'après les réponses reçues dans le cadre de l'enquête annuelle de l'UIT sur la réglementation des télécommunications/TIC.</w:t>
      </w:r>
    </w:p>
  </w:footnote>
  <w:footnote w:id="11">
    <w:p w:rsidR="00C954D9" w:rsidRPr="004346ED" w:rsidRDefault="00C954D9" w:rsidP="00316488">
      <w:pPr>
        <w:pStyle w:val="FootnoteText"/>
        <w:ind w:left="284" w:hanging="284"/>
        <w:rPr>
          <w:lang w:val="fr-CH"/>
        </w:rPr>
      </w:pPr>
      <w:r w:rsidRPr="004630FB">
        <w:rPr>
          <w:rStyle w:val="FootnoteReference"/>
          <w:lang w:val="es-ES"/>
        </w:rPr>
        <w:footnoteRef/>
      </w:r>
      <w:r w:rsidRPr="004346ED">
        <w:rPr>
          <w:lang w:val="fr-CH"/>
        </w:rPr>
        <w:tab/>
      </w:r>
      <w:r w:rsidRPr="0030761E">
        <w:rPr>
          <w:lang w:val="fr-CH"/>
        </w:rPr>
        <w:t xml:space="preserve">Rapport de la Commission </w:t>
      </w:r>
      <w:r>
        <w:rPr>
          <w:lang w:val="fr-CH"/>
        </w:rPr>
        <w:t xml:space="preserve">UIT </w:t>
      </w:r>
      <w:r w:rsidRPr="0030761E">
        <w:rPr>
          <w:lang w:val="fr-CH"/>
        </w:rPr>
        <w:t>sur le large bande</w:t>
      </w:r>
      <w:r>
        <w:rPr>
          <w:lang w:val="fr-CH"/>
        </w:rPr>
        <w:t xml:space="preserve"> </w:t>
      </w:r>
      <w:r w:rsidRPr="00ED2928">
        <w:rPr>
          <w:lang w:val="fr-CH"/>
        </w:rPr>
        <w:t>–</w:t>
      </w:r>
      <w:r>
        <w:rPr>
          <w:lang w:val="fr-CH"/>
        </w:rPr>
        <w:t xml:space="preserve"> </w:t>
      </w:r>
      <w:r w:rsidRPr="0030761E">
        <w:rPr>
          <w:lang w:val="fr-CH"/>
        </w:rPr>
        <w:t xml:space="preserve">"Situation du large bande en 2012: assurer l'inclusion numérique pour tous", </w:t>
      </w:r>
      <w:r w:rsidRPr="00ED2928">
        <w:rPr>
          <w:lang w:val="fr-CH"/>
        </w:rPr>
        <w:t>p.</w:t>
      </w:r>
      <w:r>
        <w:rPr>
          <w:lang w:val="fr-CH"/>
        </w:rPr>
        <w:t xml:space="preserve"> </w:t>
      </w:r>
      <w:r w:rsidRPr="00ED2928">
        <w:rPr>
          <w:lang w:val="fr-CH"/>
        </w:rPr>
        <w:t>70</w:t>
      </w:r>
      <w:r>
        <w:rPr>
          <w:lang w:val="fr-CH"/>
        </w:rPr>
        <w:t>,</w:t>
      </w:r>
      <w:r w:rsidRPr="00ED2928">
        <w:rPr>
          <w:lang w:val="fr-CH"/>
        </w:rPr>
        <w:t xml:space="preserve"> </w:t>
      </w:r>
      <w:hyperlink r:id="rId1" w:history="1">
        <w:r w:rsidRPr="00ED2928">
          <w:rPr>
            <w:rStyle w:val="Hyperlink"/>
            <w:lang w:val="fr-CH"/>
          </w:rPr>
          <w:t>www.broadbandcommission.org/Documents/bb-annualreport2012.pdf</w:t>
        </w:r>
      </w:hyperlink>
      <w:r w:rsidRPr="00D74AEC">
        <w:t>.</w:t>
      </w:r>
    </w:p>
  </w:footnote>
  <w:footnote w:id="12">
    <w:p w:rsidR="00C954D9" w:rsidRPr="00ED2928" w:rsidRDefault="00C954D9" w:rsidP="00AD0CFD">
      <w:pPr>
        <w:pStyle w:val="FootnoteText"/>
        <w:ind w:left="284" w:hanging="284"/>
        <w:rPr>
          <w:lang w:val="fr-CH"/>
        </w:rPr>
      </w:pPr>
      <w:r w:rsidRPr="00ED2928">
        <w:rPr>
          <w:rStyle w:val="FootnoteReference"/>
        </w:rPr>
        <w:footnoteRef/>
      </w:r>
      <w:r w:rsidRPr="00ED2928">
        <w:rPr>
          <w:lang w:val="fr-CH"/>
        </w:rPr>
        <w:tab/>
      </w:r>
      <w:r>
        <w:rPr>
          <w:lang w:val="fr-CH"/>
        </w:rPr>
        <w:t>Il s'agit des autorités suivantes: Autorité de régulation des communications de Tanzanie</w:t>
      </w:r>
      <w:r w:rsidRPr="00ED2928">
        <w:rPr>
          <w:lang w:val="fr-CH"/>
        </w:rPr>
        <w:t xml:space="preserve"> (2003); </w:t>
      </w:r>
      <w:r>
        <w:rPr>
          <w:lang w:val="fr-CH"/>
        </w:rPr>
        <w:t>Autorité des communications et du marché de l'Australie</w:t>
      </w:r>
      <w:r w:rsidRPr="00ED2928">
        <w:rPr>
          <w:lang w:val="fr-CH"/>
        </w:rPr>
        <w:t xml:space="preserve"> (ACMA) </w:t>
      </w:r>
      <w:r>
        <w:rPr>
          <w:lang w:val="fr-CH"/>
        </w:rPr>
        <w:t>(</w:t>
      </w:r>
      <w:r w:rsidRPr="00ED2928">
        <w:rPr>
          <w:lang w:val="fr-CH"/>
        </w:rPr>
        <w:t>2005</w:t>
      </w:r>
      <w:r>
        <w:rPr>
          <w:lang w:val="fr-CH"/>
        </w:rPr>
        <w:t>);</w:t>
      </w:r>
      <w:r w:rsidRPr="00ED2928">
        <w:rPr>
          <w:lang w:val="fr-CH"/>
        </w:rPr>
        <w:t xml:space="preserve"> </w:t>
      </w:r>
      <w:r>
        <w:rPr>
          <w:lang w:val="fr-CH"/>
        </w:rPr>
        <w:t xml:space="preserve">Commission de l'information et autorité des médias du Bhoutan </w:t>
      </w:r>
      <w:r w:rsidRPr="00ED2928">
        <w:rPr>
          <w:lang w:val="fr-CH"/>
        </w:rPr>
        <w:t>(2000)</w:t>
      </w:r>
      <w:r>
        <w:rPr>
          <w:lang w:val="fr-CH"/>
        </w:rPr>
        <w:t>; Commission des communications et du multimédia de la Malaisie (1998); Bureau des communications du Royaume-Uni</w:t>
      </w:r>
      <w:r w:rsidRPr="00ED2928">
        <w:rPr>
          <w:lang w:val="fr-CH"/>
        </w:rPr>
        <w:t xml:space="preserve"> (</w:t>
      </w:r>
      <w:proofErr w:type="spellStart"/>
      <w:r w:rsidRPr="00ED2928">
        <w:rPr>
          <w:lang w:val="fr-CH"/>
        </w:rPr>
        <w:t>Ofcom</w:t>
      </w:r>
      <w:proofErr w:type="spellEnd"/>
      <w:r w:rsidRPr="00ED2928">
        <w:rPr>
          <w:lang w:val="fr-CH"/>
        </w:rPr>
        <w:t xml:space="preserve">) (2003); </w:t>
      </w:r>
      <w:r>
        <w:rPr>
          <w:lang w:val="fr-CH"/>
        </w:rPr>
        <w:t xml:space="preserve">Autorité indépendante des communications de la République </w:t>
      </w:r>
      <w:proofErr w:type="spellStart"/>
      <w:r>
        <w:rPr>
          <w:lang w:val="fr-CH"/>
        </w:rPr>
        <w:t>sudafricaine</w:t>
      </w:r>
      <w:proofErr w:type="spellEnd"/>
      <w:r w:rsidRPr="00ED2928">
        <w:rPr>
          <w:lang w:val="fr-CH"/>
        </w:rPr>
        <w:t xml:space="preserve"> (ICASA) (2005). </w:t>
      </w:r>
    </w:p>
  </w:footnote>
  <w:footnote w:id="13">
    <w:p w:rsidR="00C954D9" w:rsidRPr="00ED2928" w:rsidRDefault="00C954D9" w:rsidP="00FE4A19">
      <w:pPr>
        <w:pStyle w:val="FootnoteText"/>
        <w:ind w:left="284" w:hanging="284"/>
        <w:rPr>
          <w:lang w:val="fr-CH"/>
        </w:rPr>
      </w:pPr>
      <w:r w:rsidRPr="00ED2928">
        <w:rPr>
          <w:rStyle w:val="FootnoteReference"/>
        </w:rPr>
        <w:footnoteRef/>
      </w:r>
      <w:r w:rsidRPr="00ED2928">
        <w:rPr>
          <w:lang w:val="fr-CH"/>
        </w:rPr>
        <w:tab/>
      </w:r>
      <w:r>
        <w:rPr>
          <w:lang w:val="fr-CH"/>
        </w:rPr>
        <w:t>Opérateurs de réseaux qui retransmettent des signaux de radiodiffusion et les proposent au public, par exemple, câblo-opérateurs ou opérateurs de services par satellite, opérateurs mobiles, fournisseurs de services de TVIP.</w:t>
      </w:r>
    </w:p>
  </w:footnote>
  <w:footnote w:id="14">
    <w:p w:rsidR="00C954D9" w:rsidRPr="00ED2928" w:rsidRDefault="00C954D9" w:rsidP="006B2DEC">
      <w:pPr>
        <w:pStyle w:val="FootnoteText"/>
        <w:ind w:left="284" w:hanging="284"/>
        <w:rPr>
          <w:lang w:val="fr-CH"/>
        </w:rPr>
      </w:pPr>
      <w:r w:rsidRPr="00ED2928">
        <w:rPr>
          <w:rStyle w:val="FootnoteReference"/>
        </w:rPr>
        <w:footnoteRef/>
      </w:r>
      <w:r w:rsidRPr="00ED2928">
        <w:rPr>
          <w:lang w:val="fr-CH"/>
        </w:rPr>
        <w:tab/>
      </w:r>
      <w:r>
        <w:rPr>
          <w:lang w:val="fr-CH"/>
        </w:rPr>
        <w:t>Enquête UIT en vue de la création d'un recueil d'études de cas sur la protection du consommateur de télécommunications/TIC dans le contexte de la convergence, juillet 2012.</w:t>
      </w:r>
    </w:p>
  </w:footnote>
  <w:footnote w:id="15">
    <w:p w:rsidR="00C954D9" w:rsidRPr="00ED2928" w:rsidRDefault="00C954D9" w:rsidP="006B2DEC">
      <w:pPr>
        <w:pStyle w:val="FootnoteText"/>
        <w:ind w:left="284" w:hanging="284"/>
        <w:rPr>
          <w:lang w:val="fr-CH"/>
        </w:rPr>
      </w:pPr>
      <w:r w:rsidRPr="00ED2928">
        <w:rPr>
          <w:rStyle w:val="FootnoteReference"/>
        </w:rPr>
        <w:footnoteRef/>
      </w:r>
      <w:r w:rsidRPr="00ED2928">
        <w:rPr>
          <w:lang w:val="fr-CH"/>
        </w:rPr>
        <w:tab/>
      </w:r>
      <w:r>
        <w:rPr>
          <w:lang w:val="fr-CH"/>
        </w:rPr>
        <w:t>Selon un sondage enquête Eurobaromètre mené récemment, 40% des utilisateurs craignent que les données les concernant soient compromises en ligne et 38% ont des inquiétudes concernant la sécurité des paiements en ligne (Rapport Eurobaromètre spécial 390 "</w:t>
      </w:r>
      <w:proofErr w:type="spellStart"/>
      <w:r>
        <w:rPr>
          <w:lang w:val="fr-CH"/>
        </w:rPr>
        <w:t>Cybersécurité</w:t>
      </w:r>
      <w:proofErr w:type="spellEnd"/>
      <w:r>
        <w:rPr>
          <w:lang w:val="fr-CH"/>
        </w:rPr>
        <w:t>").</w:t>
      </w:r>
    </w:p>
  </w:footnote>
  <w:footnote w:id="16">
    <w:p w:rsidR="00C954D9" w:rsidRPr="00E46C8F" w:rsidRDefault="00C954D9" w:rsidP="0025636A">
      <w:pPr>
        <w:pStyle w:val="FootnoteText"/>
        <w:spacing w:before="0"/>
        <w:ind w:left="284" w:hanging="284"/>
      </w:pPr>
      <w:r>
        <w:rPr>
          <w:rStyle w:val="FootnoteReference"/>
        </w:rPr>
        <w:footnoteRef/>
      </w:r>
      <w:r w:rsidRPr="00E46C8F">
        <w:tab/>
        <w:t xml:space="preserve">Par </w:t>
      </w:r>
      <w:proofErr w:type="spellStart"/>
      <w:r w:rsidRPr="00E46C8F">
        <w:t>exemple</w:t>
      </w:r>
      <w:proofErr w:type="spellEnd"/>
      <w:r w:rsidRPr="00E46C8F">
        <w:t xml:space="preserve">, </w:t>
      </w:r>
      <w:proofErr w:type="spellStart"/>
      <w:proofErr w:type="gramStart"/>
      <w:r w:rsidRPr="00E46C8F">
        <w:t>ils</w:t>
      </w:r>
      <w:proofErr w:type="spellEnd"/>
      <w:proofErr w:type="gramEnd"/>
      <w:r w:rsidRPr="00E46C8F">
        <w:t xml:space="preserve"> </w:t>
      </w:r>
      <w:proofErr w:type="spellStart"/>
      <w:r w:rsidRPr="00E46C8F">
        <w:t>peuvent</w:t>
      </w:r>
      <w:proofErr w:type="spellEnd"/>
      <w:r w:rsidRPr="00E46C8F">
        <w:t xml:space="preserve"> </w:t>
      </w:r>
      <w:proofErr w:type="spellStart"/>
      <w:r w:rsidRPr="00E46C8F">
        <w:t>communiquer</w:t>
      </w:r>
      <w:proofErr w:type="spellEnd"/>
      <w:r w:rsidRPr="00E46C8F">
        <w:t xml:space="preserve"> en mode </w:t>
      </w:r>
      <w:proofErr w:type="spellStart"/>
      <w:r w:rsidRPr="00E46C8F">
        <w:t>synchrone</w:t>
      </w:r>
      <w:proofErr w:type="spellEnd"/>
      <w:r w:rsidRPr="00E46C8F">
        <w:t xml:space="preserve"> (conversations </w:t>
      </w:r>
      <w:proofErr w:type="spellStart"/>
      <w:r w:rsidRPr="00E46C8F">
        <w:t>téléphoniques</w:t>
      </w:r>
      <w:proofErr w:type="spellEnd"/>
      <w:r w:rsidRPr="00E46C8F">
        <w:t xml:space="preserve">, </w:t>
      </w:r>
      <w:proofErr w:type="spellStart"/>
      <w:r w:rsidRPr="00E46C8F">
        <w:t>messagerie</w:t>
      </w:r>
      <w:proofErr w:type="spellEnd"/>
      <w:r w:rsidRPr="00E46C8F">
        <w:t xml:space="preserve"> </w:t>
      </w:r>
      <w:proofErr w:type="spellStart"/>
      <w:r w:rsidRPr="00E46C8F">
        <w:t>instantanée</w:t>
      </w:r>
      <w:proofErr w:type="spellEnd"/>
      <w:r w:rsidRPr="00E46C8F">
        <w:t xml:space="preserve">, salons de discussion, etc.) </w:t>
      </w:r>
      <w:proofErr w:type="spellStart"/>
      <w:r w:rsidRPr="00E46C8F">
        <w:t>ou</w:t>
      </w:r>
      <w:proofErr w:type="spellEnd"/>
      <w:r w:rsidRPr="00E46C8F">
        <w:t xml:space="preserve"> en mode </w:t>
      </w:r>
      <w:proofErr w:type="spellStart"/>
      <w:r w:rsidRPr="00E46C8F">
        <w:t>asynchrone</w:t>
      </w:r>
      <w:proofErr w:type="spellEnd"/>
      <w:r w:rsidRPr="00E46C8F">
        <w:t xml:space="preserve"> (</w:t>
      </w:r>
      <w:proofErr w:type="spellStart"/>
      <w:r w:rsidRPr="00E46C8F">
        <w:t>courriels</w:t>
      </w:r>
      <w:proofErr w:type="spellEnd"/>
      <w:r w:rsidRPr="00E46C8F">
        <w:t xml:space="preserve">, blogs, </w:t>
      </w:r>
      <w:proofErr w:type="spellStart"/>
      <w:r>
        <w:t>messagerie</w:t>
      </w:r>
      <w:proofErr w:type="spellEnd"/>
      <w:r>
        <w:t xml:space="preserve"> </w:t>
      </w:r>
      <w:proofErr w:type="spellStart"/>
      <w:r>
        <w:t>textuelle</w:t>
      </w:r>
      <w:proofErr w:type="spellEnd"/>
      <w:r>
        <w:t>, forums de discussion).</w:t>
      </w:r>
    </w:p>
  </w:footnote>
  <w:footnote w:id="17">
    <w:p w:rsidR="00C954D9" w:rsidRPr="00E46C8F" w:rsidRDefault="00C954D9" w:rsidP="0025636A">
      <w:pPr>
        <w:pStyle w:val="FootnoteText"/>
        <w:spacing w:before="0"/>
      </w:pPr>
      <w:r>
        <w:rPr>
          <w:rStyle w:val="FootnoteReference"/>
        </w:rPr>
        <w:footnoteRef/>
      </w:r>
      <w:r w:rsidRPr="00E46C8F">
        <w:tab/>
      </w:r>
      <w:proofErr w:type="spellStart"/>
      <w:r w:rsidRPr="00E46C8F">
        <w:t>Voix</w:t>
      </w:r>
      <w:proofErr w:type="spellEnd"/>
      <w:r w:rsidRPr="00E46C8F">
        <w:t xml:space="preserve">, </w:t>
      </w:r>
      <w:proofErr w:type="spellStart"/>
      <w:r w:rsidRPr="00E46C8F">
        <w:t>données</w:t>
      </w:r>
      <w:proofErr w:type="spellEnd"/>
      <w:r w:rsidRPr="00E46C8F">
        <w:t xml:space="preserve">, </w:t>
      </w:r>
      <w:proofErr w:type="spellStart"/>
      <w:r w:rsidRPr="00E46C8F">
        <w:t>vidéo</w:t>
      </w:r>
      <w:proofErr w:type="spellEnd"/>
      <w:r w:rsidRPr="00E46C8F">
        <w:t xml:space="preserve"> </w:t>
      </w:r>
      <w:proofErr w:type="gramStart"/>
      <w:r w:rsidRPr="00E46C8F">
        <w:t>et</w:t>
      </w:r>
      <w:proofErr w:type="gramEnd"/>
      <w:r w:rsidRPr="00E46C8F">
        <w:t xml:space="preserve"> images.</w:t>
      </w:r>
    </w:p>
  </w:footnote>
  <w:footnote w:id="18">
    <w:p w:rsidR="00C954D9" w:rsidRPr="008B72AD" w:rsidRDefault="00C954D9" w:rsidP="00C954D9">
      <w:pPr>
        <w:pStyle w:val="FootnoteText"/>
        <w:spacing w:before="0"/>
        <w:ind w:left="284" w:hanging="284"/>
      </w:pPr>
      <w:r>
        <w:rPr>
          <w:rStyle w:val="FootnoteReference"/>
        </w:rPr>
        <w:footnoteRef/>
      </w:r>
      <w:r w:rsidRPr="00592A51">
        <w:tab/>
        <w:t xml:space="preserve">Mot </w:t>
      </w:r>
      <w:proofErr w:type="spellStart"/>
      <w:r w:rsidRPr="00592A51">
        <w:t>employé</w:t>
      </w:r>
      <w:proofErr w:type="spellEnd"/>
      <w:r w:rsidRPr="00592A51">
        <w:t xml:space="preserve"> pour </w:t>
      </w:r>
      <w:proofErr w:type="spellStart"/>
      <w:r w:rsidRPr="00592A51">
        <w:t>désigner</w:t>
      </w:r>
      <w:proofErr w:type="spellEnd"/>
      <w:r w:rsidRPr="00592A51">
        <w:t xml:space="preserve"> les </w:t>
      </w:r>
      <w:proofErr w:type="spellStart"/>
      <w:r w:rsidRPr="00592A51">
        <w:t>utilisateurs</w:t>
      </w:r>
      <w:proofErr w:type="spellEnd"/>
      <w:r w:rsidRPr="00592A51">
        <w:t xml:space="preserve"> </w:t>
      </w:r>
      <w:proofErr w:type="spellStart"/>
      <w:r>
        <w:t>dont</w:t>
      </w:r>
      <w:proofErr w:type="spellEnd"/>
      <w:r>
        <w:t xml:space="preserve"> </w:t>
      </w:r>
      <w:proofErr w:type="spellStart"/>
      <w:r>
        <w:t>l'activité</w:t>
      </w:r>
      <w:proofErr w:type="spellEnd"/>
      <w:r>
        <w:t xml:space="preserve"> </w:t>
      </w:r>
      <w:proofErr w:type="spellStart"/>
      <w:r>
        <w:t>consiste</w:t>
      </w:r>
      <w:proofErr w:type="spellEnd"/>
      <w:r>
        <w:t xml:space="preserve"> à la </w:t>
      </w:r>
      <w:proofErr w:type="spellStart"/>
      <w:r>
        <w:t>fois</w:t>
      </w:r>
      <w:proofErr w:type="spellEnd"/>
      <w:r>
        <w:t xml:space="preserve"> à </w:t>
      </w:r>
      <w:proofErr w:type="spellStart"/>
      <w:r>
        <w:t>consommer</w:t>
      </w:r>
      <w:proofErr w:type="spellEnd"/>
      <w:r>
        <w:t xml:space="preserve"> </w:t>
      </w:r>
      <w:proofErr w:type="gramStart"/>
      <w:r>
        <w:t>et</w:t>
      </w:r>
      <w:proofErr w:type="gramEnd"/>
      <w:r>
        <w:t xml:space="preserve"> à </w:t>
      </w:r>
      <w:proofErr w:type="spellStart"/>
      <w:r>
        <w:t>produire</w:t>
      </w:r>
      <w:proofErr w:type="spellEnd"/>
      <w:r w:rsidRPr="00592A51">
        <w:t xml:space="preserve"> des </w:t>
      </w:r>
      <w:proofErr w:type="spellStart"/>
      <w:r w:rsidRPr="00592A51">
        <w:t>biens</w:t>
      </w:r>
      <w:proofErr w:type="spellEnd"/>
      <w:r w:rsidRPr="00592A51">
        <w:t xml:space="preserve"> et des services, </w:t>
      </w:r>
      <w:proofErr w:type="spellStart"/>
      <w:r w:rsidRPr="00592A51">
        <w:t>attribué</w:t>
      </w:r>
      <w:proofErr w:type="spellEnd"/>
      <w:r w:rsidRPr="00592A51">
        <w:t xml:space="preserve"> à Don </w:t>
      </w:r>
      <w:proofErr w:type="spellStart"/>
      <w:r w:rsidRPr="00592A51">
        <w:t>Tapscott</w:t>
      </w:r>
      <w:proofErr w:type="spellEnd"/>
      <w:r w:rsidRPr="00592A51">
        <w:t xml:space="preserve">, </w:t>
      </w:r>
      <w:r>
        <w:t xml:space="preserve">et </w:t>
      </w:r>
      <w:proofErr w:type="spellStart"/>
      <w:r>
        <w:t>défini</w:t>
      </w:r>
      <w:proofErr w:type="spellEnd"/>
      <w:r>
        <w:t xml:space="preserve"> </w:t>
      </w:r>
      <w:proofErr w:type="spellStart"/>
      <w:r>
        <w:t>dans</w:t>
      </w:r>
      <w:proofErr w:type="spellEnd"/>
      <w:r>
        <w:t xml:space="preserve"> </w:t>
      </w:r>
      <w:proofErr w:type="spellStart"/>
      <w:r>
        <w:t>l'ouvrage</w:t>
      </w:r>
      <w:proofErr w:type="spellEnd"/>
      <w:r w:rsidRPr="00592A51">
        <w:t xml:space="preserve"> </w:t>
      </w:r>
      <w:proofErr w:type="spellStart"/>
      <w:r w:rsidRPr="00565B71">
        <w:rPr>
          <w:i/>
          <w:iCs/>
        </w:rPr>
        <w:t>Wikinomics</w:t>
      </w:r>
      <w:proofErr w:type="spellEnd"/>
      <w:r>
        <w:t xml:space="preserve">. </w:t>
      </w:r>
      <w:r w:rsidRPr="001565B9">
        <w:t xml:space="preserve">Don </w:t>
      </w:r>
      <w:proofErr w:type="spellStart"/>
      <w:r w:rsidRPr="001565B9">
        <w:t>Tapscott</w:t>
      </w:r>
      <w:proofErr w:type="spellEnd"/>
      <w:r w:rsidRPr="001565B9">
        <w:t>, Anthony</w:t>
      </w:r>
      <w:r>
        <w:t> </w:t>
      </w:r>
      <w:r w:rsidRPr="001565B9">
        <w:t>D.</w:t>
      </w:r>
      <w:r>
        <w:t> </w:t>
      </w:r>
      <w:r w:rsidRPr="001565B9">
        <w:t xml:space="preserve">Williams, </w:t>
      </w:r>
      <w:proofErr w:type="spellStart"/>
      <w:proofErr w:type="gramStart"/>
      <w:r w:rsidRPr="001565B9">
        <w:t>Wikinomics</w:t>
      </w:r>
      <w:proofErr w:type="spellEnd"/>
      <w:proofErr w:type="gramEnd"/>
      <w:r w:rsidRPr="001565B9">
        <w:t xml:space="preserve">: How Mass Collaboration Changes Everything, Portfolio Trade, 2006. </w:t>
      </w:r>
      <w:proofErr w:type="gramStart"/>
      <w:r w:rsidRPr="008B72AD">
        <w:t>ISBN 1-59184-367-7.</w:t>
      </w:r>
      <w:proofErr w:type="gramEnd"/>
    </w:p>
  </w:footnote>
  <w:footnote w:id="19">
    <w:p w:rsidR="00C954D9" w:rsidRPr="00ED56D5" w:rsidRDefault="00C954D9" w:rsidP="0025636A">
      <w:pPr>
        <w:pStyle w:val="FootnoteText"/>
        <w:spacing w:before="0"/>
      </w:pPr>
      <w:r>
        <w:rPr>
          <w:rStyle w:val="FootnoteReference"/>
        </w:rPr>
        <w:footnoteRef/>
      </w:r>
      <w:r w:rsidRPr="00ED56D5">
        <w:tab/>
      </w:r>
      <w:proofErr w:type="spellStart"/>
      <w:r>
        <w:t>Entreprise</w:t>
      </w:r>
      <w:proofErr w:type="spellEnd"/>
      <w:r w:rsidRPr="00ED56D5">
        <w:t xml:space="preserve"> en 2011 </w:t>
      </w:r>
      <w:proofErr w:type="gramStart"/>
      <w:r>
        <w:t>et</w:t>
      </w:r>
      <w:proofErr w:type="gramEnd"/>
      <w:r>
        <w:t xml:space="preserve"> </w:t>
      </w:r>
      <w:proofErr w:type="spellStart"/>
      <w:r w:rsidRPr="00ED56D5">
        <w:t>approuvée</w:t>
      </w:r>
      <w:proofErr w:type="spellEnd"/>
      <w:r w:rsidRPr="00ED56D5">
        <w:t xml:space="preserve"> par la </w:t>
      </w:r>
      <w:proofErr w:type="spellStart"/>
      <w:r w:rsidRPr="00ED56D5">
        <w:t>Résolution</w:t>
      </w:r>
      <w:proofErr w:type="spellEnd"/>
      <w:r w:rsidRPr="00ED56D5">
        <w:t xml:space="preserve"> N</w:t>
      </w:r>
      <w:r>
        <w:t>°</w:t>
      </w:r>
      <w:r w:rsidRPr="00ED56D5">
        <w:t xml:space="preserve"> 713/11/CONS</w:t>
      </w:r>
      <w:r>
        <w:t>.</w:t>
      </w:r>
    </w:p>
  </w:footnote>
  <w:footnote w:id="20">
    <w:p w:rsidR="00C954D9" w:rsidRPr="001F68D3" w:rsidRDefault="00C954D9" w:rsidP="0025636A">
      <w:pPr>
        <w:pStyle w:val="FootnoteText"/>
        <w:rPr>
          <w:lang w:val="fr-CH"/>
        </w:rPr>
      </w:pPr>
      <w:r>
        <w:rPr>
          <w:rStyle w:val="FootnoteReference"/>
        </w:rPr>
        <w:footnoteRef/>
      </w:r>
      <w:r>
        <w:t xml:space="preserve"> </w:t>
      </w:r>
      <w:r>
        <w:rPr>
          <w:lang w:val="fr-CH"/>
        </w:rPr>
        <w:tab/>
      </w:r>
      <w:hyperlink r:id="rId2" w:history="1">
        <w:r w:rsidRPr="00CA78AC">
          <w:rPr>
            <w:rStyle w:val="Hyperlink"/>
            <w:lang w:val="fr-CH"/>
          </w:rPr>
          <w:t>www.misurainternet.it/</w:t>
        </w:r>
      </w:hyperlink>
      <w:r>
        <w:rPr>
          <w:lang w:val="fr-CH"/>
        </w:rPr>
        <w:t>.</w:t>
      </w:r>
    </w:p>
  </w:footnote>
  <w:footnote w:id="21">
    <w:p w:rsidR="00C954D9" w:rsidRPr="00B6357A" w:rsidRDefault="00C954D9" w:rsidP="0025636A">
      <w:pPr>
        <w:pStyle w:val="FootnoteText"/>
      </w:pPr>
      <w:r>
        <w:rPr>
          <w:rStyle w:val="FootnoteReference"/>
        </w:rPr>
        <w:footnoteRef/>
      </w:r>
      <w:r w:rsidRPr="00B6357A">
        <w:tab/>
      </w:r>
      <w:proofErr w:type="gramStart"/>
      <w:r w:rsidRPr="00B6357A">
        <w:t>Document 1/162-E</w:t>
      </w:r>
      <w:r>
        <w:t xml:space="preserve"> (</w:t>
      </w:r>
      <w:r w:rsidRPr="00B6357A">
        <w:t xml:space="preserve">18 </w:t>
      </w:r>
      <w:proofErr w:type="spellStart"/>
      <w:r w:rsidRPr="00B6357A">
        <w:t>juillet</w:t>
      </w:r>
      <w:proofErr w:type="spellEnd"/>
      <w:r w:rsidRPr="00B6357A">
        <w:t xml:space="preserve"> 2012), op.cit.</w:t>
      </w:r>
      <w:proofErr w:type="gramEnd"/>
    </w:p>
  </w:footnote>
  <w:footnote w:id="22">
    <w:p w:rsidR="00C954D9" w:rsidRPr="008B72AD" w:rsidRDefault="00C954D9" w:rsidP="0025636A">
      <w:pPr>
        <w:pStyle w:val="FootnoteText"/>
      </w:pPr>
      <w:r>
        <w:rPr>
          <w:rStyle w:val="FootnoteReference"/>
        </w:rPr>
        <w:footnoteRef/>
      </w:r>
      <w:r w:rsidRPr="008B72AD">
        <w:tab/>
      </w:r>
      <w:hyperlink r:id="rId3" w:history="1">
        <w:r w:rsidRPr="008B72AD">
          <w:rPr>
            <w:rStyle w:val="Hyperlink"/>
          </w:rPr>
          <w:t>www.physorg.com/news/2011-06-dutch-parliament-mobile-net-neutrality.html</w:t>
        </w:r>
      </w:hyperlink>
      <w:r w:rsidRPr="00EE3E8D">
        <w:t>.</w:t>
      </w:r>
    </w:p>
  </w:footnote>
  <w:footnote w:id="23">
    <w:p w:rsidR="00C954D9" w:rsidRPr="008B72AD" w:rsidRDefault="00C954D9" w:rsidP="0025636A">
      <w:pPr>
        <w:pStyle w:val="FootnoteText"/>
      </w:pPr>
      <w:r>
        <w:rPr>
          <w:rStyle w:val="FootnoteReference"/>
        </w:rPr>
        <w:footnoteRef/>
      </w:r>
      <w:r w:rsidRPr="008B72AD">
        <w:tab/>
      </w:r>
      <w:hyperlink r:id="rId4" w:history="1">
        <w:r w:rsidRPr="008B72AD">
          <w:rPr>
            <w:rStyle w:val="Hyperlink"/>
          </w:rPr>
          <w:t>www.broadbanduk.org/category/open-internet/</w:t>
        </w:r>
      </w:hyperlink>
    </w:p>
  </w:footnote>
  <w:footnote w:id="24">
    <w:p w:rsidR="00C954D9" w:rsidRPr="00735087" w:rsidRDefault="00C954D9" w:rsidP="0025636A">
      <w:pPr>
        <w:pStyle w:val="FootnoteText"/>
      </w:pPr>
      <w:r>
        <w:rPr>
          <w:rStyle w:val="FootnoteReference"/>
        </w:rPr>
        <w:footnoteRef/>
      </w:r>
      <w:r w:rsidRPr="00466934">
        <w:tab/>
      </w:r>
      <w:proofErr w:type="spellStart"/>
      <w:r w:rsidRPr="00466934">
        <w:t>Département</w:t>
      </w:r>
      <w:proofErr w:type="spellEnd"/>
      <w:r w:rsidRPr="00466934">
        <w:t xml:space="preserve"> </w:t>
      </w:r>
      <w:r>
        <w:t xml:space="preserve">des </w:t>
      </w:r>
      <w:proofErr w:type="spellStart"/>
      <w:r>
        <w:t>m</w:t>
      </w:r>
      <w:r w:rsidRPr="00466934">
        <w:t>édias</w:t>
      </w:r>
      <w:proofErr w:type="spellEnd"/>
      <w:r w:rsidRPr="00466934">
        <w:t xml:space="preserve">, de la </w:t>
      </w:r>
      <w:r>
        <w:t>c</w:t>
      </w:r>
      <w:r w:rsidRPr="00466934">
        <w:t xml:space="preserve">ulture </w:t>
      </w:r>
      <w:proofErr w:type="gramStart"/>
      <w:r w:rsidRPr="00466934">
        <w:t>et</w:t>
      </w:r>
      <w:proofErr w:type="gramEnd"/>
      <w:r w:rsidRPr="00466934">
        <w:t xml:space="preserve"> du </w:t>
      </w:r>
      <w:r>
        <w:t>s</w:t>
      </w:r>
      <w:r w:rsidRPr="00466934">
        <w:t>port</w:t>
      </w:r>
      <w:r>
        <w:t xml:space="preserve"> du </w:t>
      </w:r>
      <w:proofErr w:type="spellStart"/>
      <w:r>
        <w:t>Royaume-Uni</w:t>
      </w:r>
      <w:proofErr w:type="spellEnd"/>
      <w:r>
        <w:t>.</w:t>
      </w:r>
      <w:r w:rsidRPr="00466934">
        <w:rPr>
          <w:sz w:val="16"/>
          <w:szCs w:val="16"/>
        </w:rPr>
        <w:t xml:space="preserve"> </w:t>
      </w:r>
      <w:r w:rsidRPr="00735087">
        <w:t>Communications</w:t>
      </w:r>
      <w:r w:rsidRPr="00735087">
        <w:rPr>
          <w:sz w:val="16"/>
          <w:szCs w:val="16"/>
        </w:rPr>
        <w:t xml:space="preserve"> </w:t>
      </w:r>
      <w:r w:rsidRPr="00735087">
        <w:t>Review Seminar Series.</w:t>
      </w:r>
      <w:r w:rsidRPr="00735087">
        <w:rPr>
          <w:sz w:val="16"/>
          <w:szCs w:val="16"/>
        </w:rPr>
        <w:t xml:space="preserve"> </w:t>
      </w:r>
      <w:r w:rsidRPr="00735087">
        <w:t>The Consumer Perspective (</w:t>
      </w:r>
      <w:hyperlink r:id="rId5" w:history="1">
        <w:r w:rsidRPr="00735087">
          <w:rPr>
            <w:rStyle w:val="Hyperlink"/>
          </w:rPr>
          <w:t>http://dcmscommsreview.readandcomment.com/consumers/</w:t>
        </w:r>
      </w:hyperlink>
      <w:r w:rsidRPr="00735087">
        <w:t>).</w:t>
      </w:r>
    </w:p>
  </w:footnote>
  <w:footnote w:id="25">
    <w:p w:rsidR="00C954D9" w:rsidRPr="008B72AD" w:rsidRDefault="00C954D9" w:rsidP="0025636A">
      <w:pPr>
        <w:pStyle w:val="FootnoteText"/>
        <w:spacing w:before="0"/>
      </w:pPr>
      <w:r>
        <w:rPr>
          <w:rStyle w:val="FootnoteReference"/>
        </w:rPr>
        <w:footnoteRef/>
      </w:r>
      <w:r w:rsidRPr="00735087">
        <w:tab/>
      </w:r>
      <w:proofErr w:type="gramStart"/>
      <w:r w:rsidRPr="00735087">
        <w:t>Document 1/162-E 18 (</w:t>
      </w:r>
      <w:proofErr w:type="spellStart"/>
      <w:r w:rsidRPr="00735087">
        <w:t>juillet</w:t>
      </w:r>
      <w:proofErr w:type="spellEnd"/>
      <w:r w:rsidRPr="00735087">
        <w:t xml:space="preserve"> 2012).</w:t>
      </w:r>
      <w:proofErr w:type="gramEnd"/>
      <w:r w:rsidRPr="00735087">
        <w:t xml:space="preserve"> </w:t>
      </w:r>
      <w:proofErr w:type="spellStart"/>
      <w:r w:rsidRPr="00735087">
        <w:t>Türk</w:t>
      </w:r>
      <w:proofErr w:type="spellEnd"/>
      <w:r w:rsidRPr="00735087">
        <w:t xml:space="preserve"> Telekom Group (</w:t>
      </w:r>
      <w:proofErr w:type="spellStart"/>
      <w:r w:rsidRPr="00735087">
        <w:t>Turquie</w:t>
      </w:r>
      <w:proofErr w:type="spellEnd"/>
      <w:r w:rsidRPr="00735087">
        <w:t xml:space="preserve">). </w:t>
      </w:r>
      <w:r w:rsidRPr="00F63BC9">
        <w:t xml:space="preserve">Proposition de </w:t>
      </w:r>
      <w:proofErr w:type="spellStart"/>
      <w:r w:rsidRPr="00F63BC9">
        <w:t>texte</w:t>
      </w:r>
      <w:proofErr w:type="spellEnd"/>
      <w:r w:rsidRPr="00F63BC9">
        <w:t xml:space="preserve"> pour le </w:t>
      </w:r>
      <w:proofErr w:type="spellStart"/>
      <w:r w:rsidRPr="00F63BC9">
        <w:t>projet</w:t>
      </w:r>
      <w:proofErr w:type="spellEnd"/>
      <w:r w:rsidRPr="00F63BC9">
        <w:t xml:space="preserve"> de Rapport </w:t>
      </w:r>
      <w:proofErr w:type="spellStart"/>
      <w:r w:rsidRPr="00F63BC9">
        <w:t>sur</w:t>
      </w:r>
      <w:proofErr w:type="spellEnd"/>
      <w:r w:rsidRPr="00F63BC9">
        <w:t xml:space="preserve"> la Question 18-2/1.</w:t>
      </w:r>
    </w:p>
  </w:footnote>
  <w:footnote w:id="26">
    <w:p w:rsidR="00C954D9" w:rsidRPr="00DD1D76" w:rsidRDefault="00C954D9" w:rsidP="0025636A">
      <w:pPr>
        <w:pStyle w:val="FootnoteText"/>
        <w:ind w:left="284" w:hanging="284"/>
      </w:pPr>
      <w:r>
        <w:rPr>
          <w:rStyle w:val="FootnoteReference"/>
        </w:rPr>
        <w:footnoteRef/>
      </w:r>
      <w:r w:rsidRPr="00DD1D76">
        <w:tab/>
        <w:t xml:space="preserve">Les </w:t>
      </w:r>
      <w:proofErr w:type="spellStart"/>
      <w:r w:rsidRPr="00DD1D76">
        <w:t>principaux</w:t>
      </w:r>
      <w:proofErr w:type="spellEnd"/>
      <w:r w:rsidRPr="00DD1D76">
        <w:t xml:space="preserve"> </w:t>
      </w:r>
      <w:proofErr w:type="spellStart"/>
      <w:r w:rsidRPr="00DD1D76">
        <w:t>opérateurs</w:t>
      </w:r>
      <w:proofErr w:type="spellEnd"/>
      <w:r w:rsidRPr="00DD1D76">
        <w:t xml:space="preserve"> de </w:t>
      </w:r>
      <w:proofErr w:type="spellStart"/>
      <w:r w:rsidRPr="00DD1D76">
        <w:t>télécommunication</w:t>
      </w:r>
      <w:proofErr w:type="spellEnd"/>
      <w:r w:rsidRPr="00DD1D76">
        <w:t xml:space="preserve"> </w:t>
      </w:r>
      <w:proofErr w:type="spellStart"/>
      <w:r w:rsidRPr="00DD1D76">
        <w:t>sont</w:t>
      </w:r>
      <w:proofErr w:type="spellEnd"/>
      <w:r w:rsidRPr="00DD1D76">
        <w:t xml:space="preserve"> </w:t>
      </w:r>
      <w:proofErr w:type="spellStart"/>
      <w:r w:rsidRPr="00DD1D76">
        <w:t>autorisés</w:t>
      </w:r>
      <w:proofErr w:type="spellEnd"/>
      <w:r w:rsidRPr="00DD1D76">
        <w:t xml:space="preserve"> à </w:t>
      </w:r>
      <w:proofErr w:type="spellStart"/>
      <w:r w:rsidRPr="00DD1D76">
        <w:t>offrir</w:t>
      </w:r>
      <w:proofErr w:type="spellEnd"/>
      <w:r w:rsidRPr="00DD1D76">
        <w:t xml:space="preserve"> des services </w:t>
      </w:r>
      <w:proofErr w:type="spellStart"/>
      <w:r w:rsidRPr="00DD1D76">
        <w:t>groupés</w:t>
      </w:r>
      <w:proofErr w:type="spellEnd"/>
      <w:r w:rsidRPr="00DD1D76">
        <w:t xml:space="preserve">, y </w:t>
      </w:r>
      <w:proofErr w:type="spellStart"/>
      <w:r w:rsidRPr="00DD1D76">
        <w:t>compris</w:t>
      </w:r>
      <w:proofErr w:type="spellEnd"/>
      <w:r w:rsidRPr="00DD1D76">
        <w:t xml:space="preserve"> des services </w:t>
      </w:r>
      <w:proofErr w:type="spellStart"/>
      <w:r>
        <w:t>soumis</w:t>
      </w:r>
      <w:proofErr w:type="spellEnd"/>
      <w:r>
        <w:t xml:space="preserve"> à </w:t>
      </w:r>
      <w:proofErr w:type="spellStart"/>
      <w:r>
        <w:t>une</w:t>
      </w:r>
      <w:proofErr w:type="spellEnd"/>
      <w:r w:rsidRPr="00DD1D76">
        <w:t xml:space="preserve"> </w:t>
      </w:r>
      <w:proofErr w:type="spellStart"/>
      <w:r w:rsidRPr="00DD1D76">
        <w:t>réglementation</w:t>
      </w:r>
      <w:proofErr w:type="spellEnd"/>
      <w:r w:rsidRPr="00DD1D76">
        <w:t xml:space="preserve"> </w:t>
      </w:r>
      <w:proofErr w:type="spellStart"/>
      <w:r w:rsidRPr="00DD1D76">
        <w:t>tarifaire</w:t>
      </w:r>
      <w:proofErr w:type="spellEnd"/>
      <w:r w:rsidRPr="00DD1D76">
        <w:t xml:space="preserve">, à </w:t>
      </w:r>
      <w:proofErr w:type="spellStart"/>
      <w:r w:rsidRPr="00DD1D76">
        <w:t>moins</w:t>
      </w:r>
      <w:proofErr w:type="spellEnd"/>
      <w:r w:rsidRPr="00DD1D76">
        <w:t xml:space="preserve"> </w:t>
      </w:r>
      <w:proofErr w:type="spellStart"/>
      <w:r w:rsidRPr="00DD1D76">
        <w:t>que</w:t>
      </w:r>
      <w:proofErr w:type="spellEnd"/>
      <w:r w:rsidRPr="00DD1D76">
        <w:t xml:space="preserve"> </w:t>
      </w:r>
      <w:proofErr w:type="spellStart"/>
      <w:r w:rsidRPr="00DD1D76">
        <w:t>ces</w:t>
      </w:r>
      <w:proofErr w:type="spellEnd"/>
      <w:r w:rsidRPr="00DD1D76">
        <w:t xml:space="preserve"> </w:t>
      </w:r>
      <w:proofErr w:type="spellStart"/>
      <w:r w:rsidRPr="00DD1D76">
        <w:t>offres</w:t>
      </w:r>
      <w:proofErr w:type="spellEnd"/>
      <w:r w:rsidRPr="00DD1D76">
        <w:t xml:space="preserve"> ne </w:t>
      </w:r>
      <w:proofErr w:type="spellStart"/>
      <w:r>
        <w:t>soient</w:t>
      </w:r>
      <w:proofErr w:type="spellEnd"/>
      <w:r>
        <w:t xml:space="preserve"> </w:t>
      </w:r>
      <w:proofErr w:type="spellStart"/>
      <w:r>
        <w:t>susceptibles</w:t>
      </w:r>
      <w:proofErr w:type="spellEnd"/>
      <w:r w:rsidRPr="00DD1D76">
        <w:t xml:space="preserve"> de </w:t>
      </w:r>
      <w:proofErr w:type="spellStart"/>
      <w:r w:rsidRPr="00DD1D76">
        <w:t>nuire</w:t>
      </w:r>
      <w:proofErr w:type="spellEnd"/>
      <w:r w:rsidRPr="00DD1D76">
        <w:t xml:space="preserve"> à la concurrence et/</w:t>
      </w:r>
      <w:proofErr w:type="spellStart"/>
      <w:r w:rsidRPr="00DD1D76">
        <w:t>ou</w:t>
      </w:r>
      <w:proofErr w:type="spellEnd"/>
      <w:r w:rsidRPr="00DD1D76">
        <w:t xml:space="preserve"> aux </w:t>
      </w:r>
      <w:proofErr w:type="spellStart"/>
      <w:r w:rsidRPr="00DD1D76">
        <w:t>consommateurs</w:t>
      </w:r>
      <w:proofErr w:type="spellEnd"/>
      <w:r w:rsidRPr="00DD1D76">
        <w:t>.</w:t>
      </w:r>
    </w:p>
  </w:footnote>
  <w:footnote w:id="27">
    <w:p w:rsidR="00C954D9" w:rsidRPr="00182736" w:rsidRDefault="00C954D9" w:rsidP="007442C6">
      <w:pPr>
        <w:pStyle w:val="FootnoteText"/>
      </w:pPr>
      <w:r>
        <w:rPr>
          <w:rStyle w:val="FootnoteReference"/>
        </w:rPr>
        <w:footnoteRef/>
      </w:r>
      <w:r w:rsidRPr="00182736">
        <w:tab/>
      </w:r>
      <w:proofErr w:type="gramStart"/>
      <w:r w:rsidRPr="00182736">
        <w:t>Document 1/162-E</w:t>
      </w:r>
      <w:r>
        <w:t xml:space="preserve"> </w:t>
      </w:r>
      <w:r w:rsidRPr="00182736">
        <w:t>(18</w:t>
      </w:r>
      <w:r>
        <w:t xml:space="preserve"> </w:t>
      </w:r>
      <w:proofErr w:type="spellStart"/>
      <w:r w:rsidRPr="00182736">
        <w:t>juillet</w:t>
      </w:r>
      <w:proofErr w:type="spellEnd"/>
      <w:r w:rsidRPr="00182736">
        <w:t xml:space="preserve"> 2012), op.cit.</w:t>
      </w:r>
      <w:proofErr w:type="gramEnd"/>
    </w:p>
  </w:footnote>
  <w:footnote w:id="28">
    <w:p w:rsidR="00C954D9" w:rsidRPr="00B3677A" w:rsidRDefault="00C954D9" w:rsidP="007442C6">
      <w:pPr>
        <w:pStyle w:val="FootnoteText"/>
      </w:pPr>
      <w:r>
        <w:rPr>
          <w:rStyle w:val="FootnoteReference"/>
        </w:rPr>
        <w:footnoteRef/>
      </w:r>
      <w:r w:rsidRPr="00B3677A">
        <w:tab/>
      </w:r>
      <w:hyperlink r:id="rId6" w:history="1">
        <w:r w:rsidRPr="00B3677A">
          <w:rPr>
            <w:rStyle w:val="Hyperlink"/>
          </w:rPr>
          <w:t>www.fcc.gov/document/chairman-genachowski-announces-post-superstorm-sandy-field-hearings</w:t>
        </w:r>
      </w:hyperlink>
      <w:r w:rsidRPr="008C6198">
        <w:t>.</w:t>
      </w:r>
    </w:p>
  </w:footnote>
  <w:footnote w:id="29">
    <w:p w:rsidR="00C954D9" w:rsidRPr="00E94C1F" w:rsidRDefault="00C954D9" w:rsidP="007442C6">
      <w:pPr>
        <w:pStyle w:val="FootnoteText"/>
      </w:pPr>
      <w:r>
        <w:rPr>
          <w:rStyle w:val="FootnoteReference"/>
        </w:rPr>
        <w:footnoteRef/>
      </w:r>
      <w:r w:rsidRPr="00E94C1F">
        <w:tab/>
      </w:r>
      <w:r w:rsidRPr="00E94C1F">
        <w:rPr>
          <w:rStyle w:val="Hyperlink"/>
        </w:rPr>
        <w:t>www.garanteprivacy.it</w:t>
      </w:r>
      <w:r>
        <w:t>.</w:t>
      </w:r>
    </w:p>
  </w:footnote>
  <w:footnote w:id="30">
    <w:p w:rsidR="00C954D9" w:rsidRPr="000418FD" w:rsidRDefault="00C954D9" w:rsidP="007442C6">
      <w:pPr>
        <w:pStyle w:val="FootnoteText"/>
        <w:ind w:left="284" w:hanging="284"/>
      </w:pPr>
      <w:r>
        <w:rPr>
          <w:rStyle w:val="FootnoteReference"/>
        </w:rPr>
        <w:footnoteRef/>
      </w:r>
      <w:r w:rsidRPr="00EB3497">
        <w:tab/>
      </w:r>
      <w:r>
        <w:t xml:space="preserve">Le </w:t>
      </w:r>
      <w:r w:rsidRPr="00EB3497">
        <w:t xml:space="preserve">Code de protection des </w:t>
      </w:r>
      <w:proofErr w:type="spellStart"/>
      <w:r w:rsidRPr="00EB3497">
        <w:t>données</w:t>
      </w:r>
      <w:proofErr w:type="spellEnd"/>
      <w:r w:rsidRPr="00EB3497">
        <w:t xml:space="preserve"> </w:t>
      </w:r>
      <w:proofErr w:type="spellStart"/>
      <w:r w:rsidRPr="00EB3497">
        <w:t>personnelles</w:t>
      </w:r>
      <w:proofErr w:type="spellEnd"/>
      <w:r>
        <w:t xml:space="preserve"> (</w:t>
      </w:r>
      <w:proofErr w:type="spellStart"/>
      <w:r>
        <w:t>Décret</w:t>
      </w:r>
      <w:proofErr w:type="spellEnd"/>
      <w:r>
        <w:t xml:space="preserve"> N° 196 du 30 </w:t>
      </w:r>
      <w:proofErr w:type="spellStart"/>
      <w:r>
        <w:t>juin</w:t>
      </w:r>
      <w:proofErr w:type="spellEnd"/>
      <w:r>
        <w:t xml:space="preserve"> 2003) </w:t>
      </w:r>
      <w:proofErr w:type="spellStart"/>
      <w:r>
        <w:t>est</w:t>
      </w:r>
      <w:proofErr w:type="spellEnd"/>
      <w:r>
        <w:t xml:space="preserve"> le </w:t>
      </w:r>
      <w:proofErr w:type="spellStart"/>
      <w:r>
        <w:t>texte</w:t>
      </w:r>
      <w:proofErr w:type="spellEnd"/>
      <w:r>
        <w:t xml:space="preserve"> </w:t>
      </w:r>
      <w:proofErr w:type="spellStart"/>
      <w:r>
        <w:t>législatif</w:t>
      </w:r>
      <w:proofErr w:type="spellEnd"/>
      <w:r>
        <w:t xml:space="preserve"> </w:t>
      </w:r>
      <w:proofErr w:type="spellStart"/>
      <w:r>
        <w:t>consolidé</w:t>
      </w:r>
      <w:proofErr w:type="spellEnd"/>
      <w:r>
        <w:t xml:space="preserve"> de </w:t>
      </w:r>
      <w:proofErr w:type="spellStart"/>
      <w:r>
        <w:t>l'Italie</w:t>
      </w:r>
      <w:proofErr w:type="spellEnd"/>
      <w:r>
        <w:t xml:space="preserve"> </w:t>
      </w:r>
      <w:proofErr w:type="spellStart"/>
      <w:r>
        <w:t>découlant</w:t>
      </w:r>
      <w:proofErr w:type="spellEnd"/>
      <w:r>
        <w:t xml:space="preserve"> de la transposition des Directives 95/46 (protection des </w:t>
      </w:r>
      <w:proofErr w:type="spellStart"/>
      <w:r>
        <w:t>données</w:t>
      </w:r>
      <w:proofErr w:type="spellEnd"/>
      <w:r>
        <w:t xml:space="preserve"> à </w:t>
      </w:r>
      <w:proofErr w:type="spellStart"/>
      <w:r>
        <w:t>caractère</w:t>
      </w:r>
      <w:proofErr w:type="spellEnd"/>
      <w:r>
        <w:t xml:space="preserve"> personnel), 2002/58 (vie </w:t>
      </w:r>
      <w:proofErr w:type="spellStart"/>
      <w:r>
        <w:t>privée</w:t>
      </w:r>
      <w:proofErr w:type="spellEnd"/>
      <w:r>
        <w:t xml:space="preserve"> et communications </w:t>
      </w:r>
      <w:proofErr w:type="spellStart"/>
      <w:r>
        <w:t>personnelles</w:t>
      </w:r>
      <w:proofErr w:type="spellEnd"/>
      <w:r>
        <w:t xml:space="preserve">) et 2006/24 (conservation des </w:t>
      </w:r>
      <w:proofErr w:type="spellStart"/>
      <w:r>
        <w:t>données</w:t>
      </w:r>
      <w:proofErr w:type="spellEnd"/>
      <w:r>
        <w:t xml:space="preserve"> relatives au </w:t>
      </w:r>
      <w:proofErr w:type="spellStart"/>
      <w:r>
        <w:t>trafic</w:t>
      </w:r>
      <w:proofErr w:type="spellEnd"/>
      <w:r>
        <w:t xml:space="preserve"> des communications) de la Commission </w:t>
      </w:r>
      <w:proofErr w:type="spellStart"/>
      <w:r>
        <w:t>européenne</w:t>
      </w:r>
      <w:proofErr w:type="spellEnd"/>
      <w:r>
        <w:t xml:space="preserve">. </w:t>
      </w:r>
      <w:proofErr w:type="gramStart"/>
      <w:r>
        <w:t>Il</w:t>
      </w:r>
      <w:proofErr w:type="gramEnd"/>
      <w:r>
        <w:t xml:space="preserve"> </w:t>
      </w:r>
      <w:proofErr w:type="spellStart"/>
      <w:r>
        <w:t>régit</w:t>
      </w:r>
      <w:proofErr w:type="spellEnd"/>
      <w:r>
        <w:t xml:space="preserve"> </w:t>
      </w:r>
      <w:proofErr w:type="spellStart"/>
      <w:r>
        <w:t>l'application</w:t>
      </w:r>
      <w:proofErr w:type="spellEnd"/>
      <w:r>
        <w:t xml:space="preserve"> des </w:t>
      </w:r>
      <w:proofErr w:type="spellStart"/>
      <w:r>
        <w:t>principes</w:t>
      </w:r>
      <w:proofErr w:type="spellEnd"/>
      <w:r>
        <w:t xml:space="preserve"> </w:t>
      </w:r>
      <w:proofErr w:type="spellStart"/>
      <w:r>
        <w:t>relatifs</w:t>
      </w:r>
      <w:proofErr w:type="spellEnd"/>
      <w:r>
        <w:t xml:space="preserve"> à la protection des </w:t>
      </w:r>
      <w:proofErr w:type="spellStart"/>
      <w:r>
        <w:t>données</w:t>
      </w:r>
      <w:proofErr w:type="spellEnd"/>
      <w:r>
        <w:t xml:space="preserve"> </w:t>
      </w:r>
      <w:proofErr w:type="spellStart"/>
      <w:r>
        <w:t>dans</w:t>
      </w:r>
      <w:proofErr w:type="spellEnd"/>
      <w:r>
        <w:t xml:space="preserve"> </w:t>
      </w:r>
      <w:proofErr w:type="spellStart"/>
      <w:r>
        <w:t>différents</w:t>
      </w:r>
      <w:proofErr w:type="spellEnd"/>
      <w:r>
        <w:t xml:space="preserve"> </w:t>
      </w:r>
      <w:proofErr w:type="spellStart"/>
      <w:r>
        <w:t>secteurs</w:t>
      </w:r>
      <w:proofErr w:type="spellEnd"/>
      <w:r>
        <w:t xml:space="preserve"> et </w:t>
      </w:r>
      <w:proofErr w:type="spellStart"/>
      <w:r>
        <w:t>porte</w:t>
      </w:r>
      <w:proofErr w:type="spellEnd"/>
      <w:r>
        <w:t xml:space="preserve"> </w:t>
      </w:r>
      <w:proofErr w:type="spellStart"/>
      <w:r>
        <w:t>création</w:t>
      </w:r>
      <w:proofErr w:type="spellEnd"/>
      <w:r>
        <w:t xml:space="preserve"> de </w:t>
      </w:r>
      <w:proofErr w:type="spellStart"/>
      <w:r>
        <w:t>l'Autorité</w:t>
      </w:r>
      <w:proofErr w:type="spellEnd"/>
      <w:r>
        <w:t xml:space="preserve"> </w:t>
      </w:r>
      <w:proofErr w:type="spellStart"/>
      <w:r>
        <w:t>italienne</w:t>
      </w:r>
      <w:proofErr w:type="spellEnd"/>
      <w:r>
        <w:t xml:space="preserve"> de protection des </w:t>
      </w:r>
      <w:proofErr w:type="spellStart"/>
      <w:r>
        <w:t>données</w:t>
      </w:r>
      <w:proofErr w:type="spellEnd"/>
      <w:r>
        <w:t xml:space="preserve">, </w:t>
      </w:r>
      <w:proofErr w:type="spellStart"/>
      <w:r>
        <w:t>dont</w:t>
      </w:r>
      <w:proofErr w:type="spellEnd"/>
      <w:r>
        <w:t xml:space="preserve"> </w:t>
      </w:r>
      <w:proofErr w:type="spellStart"/>
      <w:r>
        <w:t>il</w:t>
      </w:r>
      <w:proofErr w:type="spellEnd"/>
      <w:r>
        <w:t xml:space="preserve"> </w:t>
      </w:r>
      <w:proofErr w:type="spellStart"/>
      <w:r>
        <w:t>définit</w:t>
      </w:r>
      <w:proofErr w:type="spellEnd"/>
      <w:r>
        <w:t xml:space="preserve"> les </w:t>
      </w:r>
      <w:proofErr w:type="spellStart"/>
      <w:r>
        <w:t>pouvoirs</w:t>
      </w:r>
      <w:proofErr w:type="spellEnd"/>
      <w:r>
        <w:t xml:space="preserve"> et les </w:t>
      </w:r>
      <w:proofErr w:type="spellStart"/>
      <w:r>
        <w:t>mécanismes</w:t>
      </w:r>
      <w:proofErr w:type="spellEnd"/>
      <w:r>
        <w:t xml:space="preserve"> </w:t>
      </w:r>
      <w:proofErr w:type="spellStart"/>
      <w:r>
        <w:t>d'exécution</w:t>
      </w:r>
      <w:proofErr w:type="spellEnd"/>
      <w:r>
        <w:t>.</w:t>
      </w:r>
    </w:p>
  </w:footnote>
  <w:footnote w:id="31">
    <w:p w:rsidR="00C954D9" w:rsidRPr="00DA7190" w:rsidRDefault="00C954D9" w:rsidP="007442C6">
      <w:pPr>
        <w:pStyle w:val="FootnoteText"/>
        <w:ind w:left="284" w:hanging="284"/>
        <w:rPr>
          <w:lang w:val="fr-CH"/>
        </w:rPr>
      </w:pPr>
      <w:r>
        <w:rPr>
          <w:rStyle w:val="FootnoteReference"/>
        </w:rPr>
        <w:footnoteRef/>
      </w:r>
      <w:r>
        <w:t xml:space="preserve"> </w:t>
      </w:r>
      <w:r>
        <w:rPr>
          <w:lang w:val="fr-CH"/>
        </w:rPr>
        <w:tab/>
        <w:t>Résolution N° 113/2009 portant sur la réglementation de la protection de la confidentialité et du caractère privé des données des bénéficiaires.</w:t>
      </w:r>
    </w:p>
  </w:footnote>
  <w:footnote w:id="32">
    <w:p w:rsidR="00C954D9" w:rsidRPr="00E94C1F" w:rsidRDefault="00C954D9" w:rsidP="007442C6">
      <w:pPr>
        <w:pStyle w:val="FootnoteText"/>
        <w:spacing w:before="0"/>
      </w:pPr>
      <w:r>
        <w:rPr>
          <w:rStyle w:val="FootnoteReference"/>
        </w:rPr>
        <w:footnoteRef/>
      </w:r>
      <w:r w:rsidRPr="000418FD">
        <w:tab/>
      </w:r>
      <w:hyperlink r:id="rId7" w:history="1">
        <w:r w:rsidRPr="00E94C1F">
          <w:rPr>
            <w:rStyle w:val="Hyperlink"/>
          </w:rPr>
          <w:t>www.tra.gov.om/newsite1/NewsDetails.aspx?newsid=273</w:t>
        </w:r>
      </w:hyperlink>
    </w:p>
  </w:footnote>
  <w:footnote w:id="33">
    <w:p w:rsidR="00C954D9" w:rsidRPr="007F6934" w:rsidRDefault="00C954D9" w:rsidP="007442C6">
      <w:pPr>
        <w:pStyle w:val="FootnoteText"/>
        <w:ind w:left="284" w:hanging="284"/>
        <w:rPr>
          <w:lang w:val="fr-CH"/>
        </w:rPr>
      </w:pPr>
      <w:r w:rsidRPr="00050A31">
        <w:rPr>
          <w:rStyle w:val="FootnoteReference"/>
        </w:rPr>
        <w:footnoteRef/>
      </w:r>
      <w:r w:rsidRPr="007F6934">
        <w:rPr>
          <w:lang w:val="fr-CH"/>
        </w:rPr>
        <w:tab/>
        <w:t>Voir, par exemple, l'article du Guardian "</w:t>
      </w:r>
      <w:proofErr w:type="spellStart"/>
      <w:r w:rsidRPr="007F6934">
        <w:rPr>
          <w:lang w:val="fr-CH"/>
        </w:rPr>
        <w:t>Google's</w:t>
      </w:r>
      <w:proofErr w:type="spellEnd"/>
      <w:r w:rsidRPr="007F6934">
        <w:rPr>
          <w:lang w:val="fr-CH"/>
        </w:rPr>
        <w:t xml:space="preserve"> </w:t>
      </w:r>
      <w:proofErr w:type="spellStart"/>
      <w:r w:rsidRPr="007F6934">
        <w:rPr>
          <w:lang w:val="fr-CH"/>
        </w:rPr>
        <w:t>privacy</w:t>
      </w:r>
      <w:proofErr w:type="spellEnd"/>
      <w:r w:rsidRPr="007F6934">
        <w:rPr>
          <w:lang w:val="fr-CH"/>
        </w:rPr>
        <w:t xml:space="preserve"> </w:t>
      </w:r>
      <w:proofErr w:type="spellStart"/>
      <w:r w:rsidRPr="007F6934">
        <w:rPr>
          <w:lang w:val="fr-CH"/>
        </w:rPr>
        <w:t>policy</w:t>
      </w:r>
      <w:proofErr w:type="spellEnd"/>
      <w:r w:rsidRPr="007F6934">
        <w:rPr>
          <w:lang w:val="fr-CH"/>
        </w:rPr>
        <w:t xml:space="preserve">: EU data protection </w:t>
      </w:r>
      <w:proofErr w:type="spellStart"/>
      <w:r w:rsidRPr="007F6934">
        <w:rPr>
          <w:lang w:val="fr-CH"/>
        </w:rPr>
        <w:t>chiefs</w:t>
      </w:r>
      <w:proofErr w:type="spellEnd"/>
      <w:r w:rsidRPr="007F6934">
        <w:rPr>
          <w:lang w:val="fr-CH"/>
        </w:rPr>
        <w:t xml:space="preserve"> to </w:t>
      </w:r>
      <w:proofErr w:type="spellStart"/>
      <w:r w:rsidRPr="007F6934">
        <w:rPr>
          <w:lang w:val="fr-CH"/>
        </w:rPr>
        <w:t>act</w:t>
      </w:r>
      <w:proofErr w:type="spellEnd"/>
      <w:r w:rsidRPr="007F6934">
        <w:rPr>
          <w:lang w:val="fr-CH"/>
        </w:rPr>
        <w:t xml:space="preserve"> </w:t>
      </w:r>
      <w:proofErr w:type="spellStart"/>
      <w:r w:rsidRPr="007F6934">
        <w:rPr>
          <w:lang w:val="fr-CH"/>
        </w:rPr>
        <w:t>within</w:t>
      </w:r>
      <w:proofErr w:type="spellEnd"/>
      <w:r w:rsidRPr="007F6934">
        <w:rPr>
          <w:lang w:val="fr-CH"/>
        </w:rPr>
        <w:t xml:space="preserve"> </w:t>
      </w:r>
      <w:proofErr w:type="spellStart"/>
      <w:r w:rsidRPr="007F6934">
        <w:rPr>
          <w:lang w:val="fr-CH"/>
        </w:rPr>
        <w:t>days</w:t>
      </w:r>
      <w:proofErr w:type="spellEnd"/>
      <w:r w:rsidRPr="007F6934">
        <w:rPr>
          <w:lang w:val="fr-CH"/>
        </w:rPr>
        <w:t>" (8 octobre 2012).</w:t>
      </w:r>
    </w:p>
  </w:footnote>
  <w:footnote w:id="34">
    <w:p w:rsidR="00C954D9" w:rsidRPr="00BD14B6" w:rsidRDefault="00C954D9" w:rsidP="007442C6">
      <w:pPr>
        <w:pStyle w:val="FootnoteText"/>
        <w:ind w:left="284" w:hanging="284"/>
      </w:pPr>
      <w:r>
        <w:rPr>
          <w:rStyle w:val="FootnoteReference"/>
        </w:rPr>
        <w:footnoteRef/>
      </w:r>
      <w:r w:rsidRPr="00BD14B6">
        <w:tab/>
        <w:t xml:space="preserve">Communication de la Commission </w:t>
      </w:r>
      <w:proofErr w:type="spellStart"/>
      <w:r w:rsidRPr="00BD14B6">
        <w:t>européenne</w:t>
      </w:r>
      <w:proofErr w:type="spellEnd"/>
      <w:r w:rsidRPr="00BD14B6">
        <w:t xml:space="preserve"> au </w:t>
      </w:r>
      <w:proofErr w:type="spellStart"/>
      <w:r w:rsidRPr="00BD14B6">
        <w:t>Parlement</w:t>
      </w:r>
      <w:proofErr w:type="spellEnd"/>
      <w:r w:rsidRPr="00BD14B6">
        <w:t xml:space="preserve"> </w:t>
      </w:r>
      <w:proofErr w:type="spellStart"/>
      <w:r w:rsidRPr="00BD14B6">
        <w:t>européen</w:t>
      </w:r>
      <w:proofErr w:type="spellEnd"/>
      <w:r w:rsidRPr="00BD14B6">
        <w:t xml:space="preserve">, au </w:t>
      </w:r>
      <w:proofErr w:type="spellStart"/>
      <w:r w:rsidRPr="00BD14B6">
        <w:t>Conseil</w:t>
      </w:r>
      <w:proofErr w:type="spellEnd"/>
      <w:r w:rsidRPr="00BD14B6">
        <w:t xml:space="preserve">, au </w:t>
      </w:r>
      <w:proofErr w:type="spellStart"/>
      <w:r w:rsidRPr="00BD14B6">
        <w:t>Comité</w:t>
      </w:r>
      <w:proofErr w:type="spellEnd"/>
      <w:r w:rsidRPr="00BD14B6">
        <w:t xml:space="preserve"> </w:t>
      </w:r>
      <w:proofErr w:type="spellStart"/>
      <w:r w:rsidRPr="00BD14B6">
        <w:t>économique</w:t>
      </w:r>
      <w:proofErr w:type="spellEnd"/>
      <w:r w:rsidRPr="00BD14B6">
        <w:t xml:space="preserve"> </w:t>
      </w:r>
      <w:proofErr w:type="gramStart"/>
      <w:r w:rsidRPr="00BD14B6">
        <w:t>et</w:t>
      </w:r>
      <w:proofErr w:type="gramEnd"/>
      <w:r w:rsidRPr="00BD14B6">
        <w:t xml:space="preserve"> social et au </w:t>
      </w:r>
      <w:proofErr w:type="spellStart"/>
      <w:r w:rsidRPr="00BD14B6">
        <w:t>Comité</w:t>
      </w:r>
      <w:proofErr w:type="spellEnd"/>
      <w:r w:rsidRPr="00BD14B6">
        <w:t xml:space="preserve"> des </w:t>
      </w:r>
      <w:proofErr w:type="spellStart"/>
      <w:r w:rsidRPr="00BD14B6">
        <w:t>régions</w:t>
      </w:r>
      <w:proofErr w:type="spellEnd"/>
      <w:r>
        <w:t>.</w:t>
      </w:r>
      <w:r w:rsidRPr="00BD14B6">
        <w:t xml:space="preserve"> </w:t>
      </w:r>
      <w:r w:rsidRPr="00BD14B6">
        <w:rPr>
          <w:rFonts w:cs="Calibri"/>
        </w:rPr>
        <w:t>"</w:t>
      </w:r>
      <w:proofErr w:type="spellStart"/>
      <w:r>
        <w:t>Libérer</w:t>
      </w:r>
      <w:proofErr w:type="spellEnd"/>
      <w:r>
        <w:t xml:space="preserve"> tout le </w:t>
      </w:r>
      <w:proofErr w:type="spellStart"/>
      <w:r w:rsidRPr="00BD14B6">
        <w:t>potentiel</w:t>
      </w:r>
      <w:proofErr w:type="spellEnd"/>
      <w:r w:rsidRPr="00BD14B6">
        <w:t xml:space="preserve"> de </w:t>
      </w:r>
      <w:proofErr w:type="spellStart"/>
      <w:r w:rsidRPr="00BD14B6">
        <w:t>l</w:t>
      </w:r>
      <w:r>
        <w:t>'</w:t>
      </w:r>
      <w:r w:rsidRPr="00BD14B6">
        <w:t>informati</w:t>
      </w:r>
      <w:r>
        <w:t>que</w:t>
      </w:r>
      <w:proofErr w:type="spellEnd"/>
      <w:r>
        <w:t xml:space="preserve"> en</w:t>
      </w:r>
      <w:r w:rsidRPr="00BD14B6">
        <w:t xml:space="preserve"> </w:t>
      </w:r>
      <w:proofErr w:type="spellStart"/>
      <w:r w:rsidRPr="00BD14B6">
        <w:t>nuage</w:t>
      </w:r>
      <w:proofErr w:type="spellEnd"/>
      <w:r w:rsidRPr="00BD14B6">
        <w:t xml:space="preserve"> en</w:t>
      </w:r>
      <w:r>
        <w:t xml:space="preserve"> </w:t>
      </w:r>
      <w:r w:rsidRPr="00BD14B6">
        <w:t>Europe</w:t>
      </w:r>
      <w:r>
        <w:rPr>
          <w:rFonts w:cs="Calibri"/>
        </w:rPr>
        <w:t>"</w:t>
      </w:r>
      <w:r>
        <w:t xml:space="preserve">, </w:t>
      </w:r>
      <w:proofErr w:type="gramStart"/>
      <w:r w:rsidRPr="00BD14B6">
        <w:t>COM(</w:t>
      </w:r>
      <w:proofErr w:type="gramEnd"/>
      <w:r w:rsidRPr="00BD14B6">
        <w:t>2012)</w:t>
      </w:r>
      <w:r>
        <w:t> </w:t>
      </w:r>
      <w:r w:rsidRPr="00BD14B6">
        <w:t>529 final</w:t>
      </w:r>
      <w:r>
        <w:t>,</w:t>
      </w:r>
      <w:r w:rsidRPr="00BD14B6">
        <w:t xml:space="preserve"> </w:t>
      </w:r>
      <w:proofErr w:type="spellStart"/>
      <w:r w:rsidRPr="00BD14B6">
        <w:t>Bruxelles</w:t>
      </w:r>
      <w:proofErr w:type="spellEnd"/>
      <w:r w:rsidRPr="00BD14B6">
        <w:t xml:space="preserve"> (</w:t>
      </w:r>
      <w:r>
        <w:t>27.09.</w:t>
      </w:r>
      <w:r w:rsidRPr="00BD14B6">
        <w:t>2012).</w:t>
      </w:r>
    </w:p>
  </w:footnote>
  <w:footnote w:id="35">
    <w:p w:rsidR="00C954D9" w:rsidRPr="00210C3C" w:rsidRDefault="00C954D9" w:rsidP="007442C6">
      <w:pPr>
        <w:pStyle w:val="FootnoteText"/>
        <w:ind w:left="284" w:hanging="284"/>
      </w:pPr>
      <w:r>
        <w:rPr>
          <w:rStyle w:val="FootnoteReference"/>
        </w:rPr>
        <w:footnoteRef/>
      </w:r>
      <w:r w:rsidRPr="00210C3C">
        <w:tab/>
        <w:t xml:space="preserve">Direction </w:t>
      </w:r>
      <w:proofErr w:type="spellStart"/>
      <w:r w:rsidRPr="00210C3C">
        <w:t>générale</w:t>
      </w:r>
      <w:proofErr w:type="spellEnd"/>
      <w:r w:rsidRPr="00210C3C">
        <w:t xml:space="preserve"> des </w:t>
      </w:r>
      <w:proofErr w:type="spellStart"/>
      <w:r w:rsidRPr="00210C3C">
        <w:t>politiques</w:t>
      </w:r>
      <w:proofErr w:type="spellEnd"/>
      <w:r w:rsidRPr="00210C3C">
        <w:t xml:space="preserve"> </w:t>
      </w:r>
      <w:proofErr w:type="spellStart"/>
      <w:r w:rsidRPr="00210C3C">
        <w:t>internes</w:t>
      </w:r>
      <w:proofErr w:type="spellEnd"/>
      <w:r w:rsidRPr="00210C3C">
        <w:t xml:space="preserve"> de </w:t>
      </w:r>
      <w:proofErr w:type="spellStart"/>
      <w:r w:rsidRPr="00210C3C">
        <w:t>l</w:t>
      </w:r>
      <w:r>
        <w:t>'</w:t>
      </w:r>
      <w:r w:rsidRPr="00210C3C">
        <w:t>Union</w:t>
      </w:r>
      <w:proofErr w:type="spellEnd"/>
      <w:r w:rsidRPr="00210C3C">
        <w:t xml:space="preserve"> </w:t>
      </w:r>
      <w:proofErr w:type="spellStart"/>
      <w:r w:rsidRPr="00210C3C">
        <w:t>européenne</w:t>
      </w:r>
      <w:proofErr w:type="spellEnd"/>
      <w:r w:rsidRPr="00210C3C">
        <w:t xml:space="preserve">, </w:t>
      </w:r>
      <w:proofErr w:type="spellStart"/>
      <w:r>
        <w:t>Département</w:t>
      </w:r>
      <w:proofErr w:type="spellEnd"/>
      <w:r>
        <w:t xml:space="preserve"> </w:t>
      </w:r>
      <w:proofErr w:type="spellStart"/>
      <w:r>
        <w:t>thématique</w:t>
      </w:r>
      <w:proofErr w:type="spellEnd"/>
      <w:r>
        <w:t xml:space="preserve"> C, </w:t>
      </w:r>
      <w:proofErr w:type="spellStart"/>
      <w:r>
        <w:t>étude</w:t>
      </w:r>
      <w:proofErr w:type="spellEnd"/>
      <w:r>
        <w:t xml:space="preserve"> </w:t>
      </w:r>
      <w:proofErr w:type="spellStart"/>
      <w:r>
        <w:t>sur</w:t>
      </w:r>
      <w:proofErr w:type="spellEnd"/>
      <w:r>
        <w:t xml:space="preserve"> la </w:t>
      </w:r>
      <w:proofErr w:type="spellStart"/>
      <w:r>
        <w:t>lutte</w:t>
      </w:r>
      <w:proofErr w:type="spellEnd"/>
      <w:r>
        <w:t xml:space="preserve"> </w:t>
      </w:r>
      <w:proofErr w:type="spellStart"/>
      <w:r>
        <w:t>contre</w:t>
      </w:r>
      <w:proofErr w:type="spellEnd"/>
      <w:r>
        <w:t xml:space="preserve"> la </w:t>
      </w:r>
      <w:proofErr w:type="spellStart"/>
      <w:r>
        <w:t>criminalité</w:t>
      </w:r>
      <w:proofErr w:type="spellEnd"/>
      <w:r>
        <w:t xml:space="preserve"> </w:t>
      </w:r>
      <w:proofErr w:type="spellStart"/>
      <w:r>
        <w:t>électronique</w:t>
      </w:r>
      <w:proofErr w:type="spellEnd"/>
      <w:r>
        <w:t xml:space="preserve"> </w:t>
      </w:r>
      <w:proofErr w:type="gramStart"/>
      <w:r>
        <w:t>et</w:t>
      </w:r>
      <w:proofErr w:type="gramEnd"/>
      <w:r>
        <w:t xml:space="preserve"> la protection de la </w:t>
      </w:r>
      <w:proofErr w:type="spellStart"/>
      <w:r>
        <w:t>confidentialité</w:t>
      </w:r>
      <w:proofErr w:type="spellEnd"/>
      <w:r>
        <w:t xml:space="preserve"> </w:t>
      </w:r>
      <w:proofErr w:type="spellStart"/>
      <w:r>
        <w:t>dans</w:t>
      </w:r>
      <w:proofErr w:type="spellEnd"/>
      <w:r>
        <w:t xml:space="preserve"> le </w:t>
      </w:r>
      <w:proofErr w:type="spellStart"/>
      <w:r>
        <w:t>nuage</w:t>
      </w:r>
      <w:proofErr w:type="spellEnd"/>
      <w:r>
        <w:t xml:space="preserve"> (PE 462.509).</w:t>
      </w:r>
    </w:p>
  </w:footnote>
  <w:footnote w:id="36">
    <w:p w:rsidR="00C954D9" w:rsidRPr="000C2E99" w:rsidRDefault="00C954D9" w:rsidP="007442C6">
      <w:pPr>
        <w:pStyle w:val="FootnoteText"/>
        <w:ind w:left="284" w:hanging="284"/>
      </w:pPr>
      <w:r>
        <w:rPr>
          <w:rStyle w:val="FootnoteReference"/>
        </w:rPr>
        <w:footnoteRef/>
      </w:r>
      <w:r w:rsidRPr="000C2E99">
        <w:tab/>
      </w:r>
      <w:proofErr w:type="spellStart"/>
      <w:r w:rsidRPr="000C2E99">
        <w:t>Agence</w:t>
      </w:r>
      <w:proofErr w:type="spellEnd"/>
      <w:r w:rsidRPr="000C2E99">
        <w:t xml:space="preserve"> </w:t>
      </w:r>
      <w:proofErr w:type="spellStart"/>
      <w:r w:rsidRPr="000C2E99">
        <w:t>européenne</w:t>
      </w:r>
      <w:proofErr w:type="spellEnd"/>
      <w:r w:rsidRPr="000C2E99">
        <w:t xml:space="preserve"> </w:t>
      </w:r>
      <w:proofErr w:type="spellStart"/>
      <w:r w:rsidRPr="000C2E99">
        <w:t>chargée</w:t>
      </w:r>
      <w:proofErr w:type="spellEnd"/>
      <w:r w:rsidRPr="000C2E99">
        <w:t xml:space="preserve"> de la </w:t>
      </w:r>
      <w:proofErr w:type="spellStart"/>
      <w:r w:rsidRPr="000C2E99">
        <w:t>sécurité</w:t>
      </w:r>
      <w:proofErr w:type="spellEnd"/>
      <w:r w:rsidRPr="000C2E99">
        <w:t xml:space="preserve"> des </w:t>
      </w:r>
      <w:proofErr w:type="spellStart"/>
      <w:r w:rsidRPr="000C2E99">
        <w:t>réseaux</w:t>
      </w:r>
      <w:proofErr w:type="spellEnd"/>
      <w:r w:rsidRPr="000C2E99">
        <w:t xml:space="preserve"> </w:t>
      </w:r>
      <w:proofErr w:type="gramStart"/>
      <w:r w:rsidRPr="000C2E99">
        <w:t>et</w:t>
      </w:r>
      <w:proofErr w:type="gramEnd"/>
      <w:r w:rsidRPr="000C2E99">
        <w:t xml:space="preserve"> de </w:t>
      </w:r>
      <w:proofErr w:type="spellStart"/>
      <w:r w:rsidRPr="000C2E99">
        <w:t>l</w:t>
      </w:r>
      <w:r>
        <w:t>'</w:t>
      </w:r>
      <w:r w:rsidRPr="000C2E99">
        <w:t>information</w:t>
      </w:r>
      <w:proofErr w:type="spellEnd"/>
      <w:r w:rsidRPr="000C2E99">
        <w:t xml:space="preserve"> (ENISA)</w:t>
      </w:r>
      <w:r>
        <w:t>,</w:t>
      </w:r>
      <w:r w:rsidRPr="000C2E99">
        <w:t xml:space="preserve"> </w:t>
      </w:r>
      <w:proofErr w:type="spellStart"/>
      <w:r>
        <w:t>L'informatique</w:t>
      </w:r>
      <w:proofErr w:type="spellEnd"/>
      <w:r>
        <w:t xml:space="preserve"> en </w:t>
      </w:r>
      <w:proofErr w:type="spellStart"/>
      <w:r>
        <w:t>nuage</w:t>
      </w:r>
      <w:proofErr w:type="spellEnd"/>
      <w:r>
        <w:t xml:space="preserve">: </w:t>
      </w:r>
      <w:proofErr w:type="spellStart"/>
      <w:r>
        <w:rPr>
          <w:rFonts w:cs="Calibri"/>
        </w:rPr>
        <w:t>avantages</w:t>
      </w:r>
      <w:proofErr w:type="spellEnd"/>
      <w:r>
        <w:rPr>
          <w:rFonts w:cs="Calibri"/>
        </w:rPr>
        <w:t xml:space="preserve">, </w:t>
      </w:r>
      <w:proofErr w:type="spellStart"/>
      <w:r>
        <w:rPr>
          <w:rFonts w:cs="Calibri"/>
        </w:rPr>
        <w:t>risques</w:t>
      </w:r>
      <w:proofErr w:type="spellEnd"/>
      <w:r>
        <w:rPr>
          <w:rFonts w:cs="Calibri"/>
        </w:rPr>
        <w:t xml:space="preserve"> et </w:t>
      </w:r>
      <w:proofErr w:type="spellStart"/>
      <w:r>
        <w:rPr>
          <w:rFonts w:cs="Calibri"/>
        </w:rPr>
        <w:t>recommandations</w:t>
      </w:r>
      <w:proofErr w:type="spellEnd"/>
      <w:r>
        <w:rPr>
          <w:rFonts w:cs="Calibri"/>
        </w:rPr>
        <w:t xml:space="preserve"> en </w:t>
      </w:r>
      <w:proofErr w:type="spellStart"/>
      <w:r>
        <w:rPr>
          <w:rFonts w:cs="Calibri"/>
        </w:rPr>
        <w:t>matière</w:t>
      </w:r>
      <w:proofErr w:type="spellEnd"/>
      <w:r>
        <w:rPr>
          <w:rFonts w:cs="Calibri"/>
        </w:rPr>
        <w:t xml:space="preserve"> de </w:t>
      </w:r>
      <w:proofErr w:type="spellStart"/>
      <w:r>
        <w:rPr>
          <w:rFonts w:cs="Calibri"/>
        </w:rPr>
        <w:t>sécurité</w:t>
      </w:r>
      <w:proofErr w:type="spellEnd"/>
      <w:r>
        <w:rPr>
          <w:rFonts w:cs="Calibri"/>
        </w:rPr>
        <w:t xml:space="preserve"> de </w:t>
      </w:r>
      <w:proofErr w:type="spellStart"/>
      <w:r>
        <w:rPr>
          <w:rFonts w:cs="Calibri"/>
        </w:rPr>
        <w:t>l'information</w:t>
      </w:r>
      <w:proofErr w:type="spellEnd"/>
      <w:r w:rsidRPr="000C2E99">
        <w:t xml:space="preserve">, </w:t>
      </w:r>
      <w:proofErr w:type="spellStart"/>
      <w:r w:rsidRPr="000C2E99">
        <w:t>Heraklion</w:t>
      </w:r>
      <w:proofErr w:type="spellEnd"/>
      <w:r w:rsidRPr="000C2E99">
        <w:t xml:space="preserve"> </w:t>
      </w:r>
      <w:r>
        <w:t>(</w:t>
      </w:r>
      <w:proofErr w:type="spellStart"/>
      <w:r>
        <w:t>novemb</w:t>
      </w:r>
      <w:r w:rsidRPr="000C2E99">
        <w:t>r</w:t>
      </w:r>
      <w:r>
        <w:t>e</w:t>
      </w:r>
      <w:proofErr w:type="spellEnd"/>
      <w:r w:rsidRPr="000C2E99">
        <w:t xml:space="preserve"> 2009</w:t>
      </w:r>
      <w:r>
        <w:t>).</w:t>
      </w:r>
    </w:p>
  </w:footnote>
  <w:footnote w:id="37">
    <w:p w:rsidR="00C954D9" w:rsidRPr="00C574D6" w:rsidRDefault="00C954D9" w:rsidP="007442C6">
      <w:pPr>
        <w:pStyle w:val="FootnoteText"/>
        <w:ind w:left="284" w:hanging="284"/>
      </w:pPr>
      <w:r>
        <w:rPr>
          <w:rStyle w:val="FootnoteReference"/>
        </w:rPr>
        <w:footnoteRef/>
      </w:r>
      <w:r w:rsidRPr="00C574D6">
        <w:tab/>
        <w:t xml:space="preserve">Au </w:t>
      </w:r>
      <w:proofErr w:type="spellStart"/>
      <w:r w:rsidRPr="00C574D6">
        <w:t>Japon</w:t>
      </w:r>
      <w:proofErr w:type="spellEnd"/>
      <w:r w:rsidRPr="00C574D6">
        <w:t xml:space="preserve">, les </w:t>
      </w:r>
      <w:proofErr w:type="spellStart"/>
      <w:r w:rsidRPr="00C574D6">
        <w:t>ventes</w:t>
      </w:r>
      <w:proofErr w:type="spellEnd"/>
      <w:r w:rsidRPr="00C574D6">
        <w:t xml:space="preserve"> de </w:t>
      </w:r>
      <w:proofErr w:type="spellStart"/>
      <w:r w:rsidRPr="00C574D6">
        <w:t>combinés</w:t>
      </w:r>
      <w:proofErr w:type="spellEnd"/>
      <w:r w:rsidRPr="00C574D6">
        <w:t xml:space="preserve"> mobiles </w:t>
      </w:r>
      <w:proofErr w:type="spellStart"/>
      <w:r>
        <w:t>dotés</w:t>
      </w:r>
      <w:proofErr w:type="spellEnd"/>
      <w:r>
        <w:t xml:space="preserve"> </w:t>
      </w:r>
      <w:proofErr w:type="spellStart"/>
      <w:r>
        <w:t>d'une</w:t>
      </w:r>
      <w:proofErr w:type="spellEnd"/>
      <w:r>
        <w:t xml:space="preserve"> </w:t>
      </w:r>
      <w:proofErr w:type="spellStart"/>
      <w:r>
        <w:t>fonctionnalité</w:t>
      </w:r>
      <w:proofErr w:type="spellEnd"/>
      <w:r>
        <w:t xml:space="preserve"> NFC </w:t>
      </w:r>
      <w:proofErr w:type="spellStart"/>
      <w:r w:rsidRPr="00C574D6">
        <w:t>ont</w:t>
      </w:r>
      <w:proofErr w:type="spellEnd"/>
      <w:r w:rsidRPr="00C574D6">
        <w:t xml:space="preserve"> </w:t>
      </w:r>
      <w:proofErr w:type="spellStart"/>
      <w:r w:rsidRPr="00C574D6">
        <w:t>atteint</w:t>
      </w:r>
      <w:proofErr w:type="spellEnd"/>
      <w:r w:rsidRPr="00C574D6">
        <w:t xml:space="preserve"> plus de 64 millions </w:t>
      </w:r>
      <w:proofErr w:type="spellStart"/>
      <w:r>
        <w:t>d'unités</w:t>
      </w:r>
      <w:proofErr w:type="spellEnd"/>
      <w:r>
        <w:t xml:space="preserve"> </w:t>
      </w:r>
      <w:r w:rsidRPr="00C574D6">
        <w:t>à la fin de 2009 (</w:t>
      </w:r>
      <w:proofErr w:type="spellStart"/>
      <w:r w:rsidRPr="00C574D6">
        <w:t>FeliCa</w:t>
      </w:r>
      <w:proofErr w:type="spellEnd"/>
      <w:r w:rsidRPr="00C574D6">
        <w:t>, 2010).</w:t>
      </w:r>
    </w:p>
  </w:footnote>
  <w:footnote w:id="38">
    <w:p w:rsidR="00C954D9" w:rsidRPr="00AA1E69" w:rsidRDefault="00C954D9" w:rsidP="007442C6">
      <w:pPr>
        <w:pStyle w:val="FootnoteText"/>
      </w:pPr>
      <w:r>
        <w:rPr>
          <w:rStyle w:val="FootnoteReference"/>
        </w:rPr>
        <w:footnoteRef/>
      </w:r>
      <w:r w:rsidRPr="00AA1E69">
        <w:tab/>
        <w:t xml:space="preserve">Electronic Financial Transactions Act (EFTA, 2007) </w:t>
      </w:r>
      <w:proofErr w:type="gramStart"/>
      <w:r w:rsidRPr="00AA1E69">
        <w:t>et</w:t>
      </w:r>
      <w:proofErr w:type="gramEnd"/>
      <w:r w:rsidRPr="00AA1E69">
        <w:t xml:space="preserve"> E-commerce Consumer Protection Act (ECPA).</w:t>
      </w:r>
    </w:p>
  </w:footnote>
  <w:footnote w:id="39">
    <w:p w:rsidR="00C954D9" w:rsidRPr="00FE3708" w:rsidRDefault="00C954D9" w:rsidP="007442C6">
      <w:pPr>
        <w:pStyle w:val="FootnoteText"/>
        <w:ind w:left="284" w:hanging="284"/>
      </w:pPr>
      <w:r>
        <w:rPr>
          <w:rStyle w:val="FootnoteReference"/>
        </w:rPr>
        <w:footnoteRef/>
      </w:r>
      <w:r w:rsidRPr="00FE3708">
        <w:tab/>
        <w:t xml:space="preserve">Rapport de </w:t>
      </w:r>
      <w:proofErr w:type="spellStart"/>
      <w:r w:rsidRPr="00FE3708">
        <w:t>l</w:t>
      </w:r>
      <w:r>
        <w:t>'</w:t>
      </w:r>
      <w:r w:rsidRPr="00FE3708">
        <w:t>OCDE</w:t>
      </w:r>
      <w:proofErr w:type="spellEnd"/>
      <w:r w:rsidRPr="00FE3708">
        <w:t xml:space="preserve"> </w:t>
      </w:r>
      <w:proofErr w:type="spellStart"/>
      <w:r w:rsidRPr="00FE3708">
        <w:t>sur</w:t>
      </w:r>
      <w:proofErr w:type="spellEnd"/>
      <w:r w:rsidRPr="00FE3708">
        <w:t xml:space="preserve"> la protection des </w:t>
      </w:r>
      <w:proofErr w:type="spellStart"/>
      <w:r w:rsidRPr="00FE3708">
        <w:t>consommateurs</w:t>
      </w:r>
      <w:proofErr w:type="spellEnd"/>
      <w:r w:rsidRPr="00FE3708">
        <w:t xml:space="preserve"> </w:t>
      </w:r>
      <w:proofErr w:type="spellStart"/>
      <w:r>
        <w:t>dans</w:t>
      </w:r>
      <w:proofErr w:type="spellEnd"/>
      <w:r>
        <w:t xml:space="preserve"> les </w:t>
      </w:r>
      <w:proofErr w:type="spellStart"/>
      <w:r>
        <w:t>paiements</w:t>
      </w:r>
      <w:proofErr w:type="spellEnd"/>
      <w:r>
        <w:t xml:space="preserve"> en </w:t>
      </w:r>
      <w:proofErr w:type="spellStart"/>
      <w:r>
        <w:t>ligne</w:t>
      </w:r>
      <w:proofErr w:type="spellEnd"/>
      <w:r>
        <w:t xml:space="preserve"> et mobiles </w:t>
      </w:r>
      <w:r w:rsidRPr="00FE3708">
        <w:t>(17</w:t>
      </w:r>
      <w:r>
        <w:t> </w:t>
      </w:r>
      <w:proofErr w:type="spellStart"/>
      <w:r w:rsidRPr="00FE3708">
        <w:t>août</w:t>
      </w:r>
      <w:proofErr w:type="spellEnd"/>
      <w:r>
        <w:t> </w:t>
      </w:r>
      <w:r w:rsidRPr="00FE3708">
        <w:t>2012), DSTI/</w:t>
      </w:r>
      <w:proofErr w:type="gramStart"/>
      <w:r w:rsidRPr="00FE3708">
        <w:t>CP(</w:t>
      </w:r>
      <w:proofErr w:type="gramEnd"/>
      <w:r w:rsidRPr="00FE3708">
        <w:t>2010)22/FINAL.</w:t>
      </w:r>
    </w:p>
  </w:footnote>
  <w:footnote w:id="40">
    <w:p w:rsidR="00C954D9" w:rsidRPr="00C0597C" w:rsidRDefault="00C954D9" w:rsidP="000E2DA8">
      <w:pPr>
        <w:pStyle w:val="FootnoteText"/>
        <w:ind w:left="284" w:hanging="284"/>
      </w:pPr>
      <w:r>
        <w:rPr>
          <w:rStyle w:val="FootnoteReference"/>
        </w:rPr>
        <w:footnoteRef/>
      </w:r>
      <w:r w:rsidRPr="00C0597C">
        <w:tab/>
        <w:t xml:space="preserve">Proposition de Directive du </w:t>
      </w:r>
      <w:proofErr w:type="spellStart"/>
      <w:r w:rsidRPr="00C0597C">
        <w:t>Parlement</w:t>
      </w:r>
      <w:proofErr w:type="spellEnd"/>
      <w:r w:rsidRPr="00C0597C">
        <w:t xml:space="preserve"> </w:t>
      </w:r>
      <w:proofErr w:type="spellStart"/>
      <w:r w:rsidRPr="00C0597C">
        <w:t>européen</w:t>
      </w:r>
      <w:proofErr w:type="spellEnd"/>
      <w:r w:rsidRPr="00C0597C">
        <w:t xml:space="preserve"> et du </w:t>
      </w:r>
      <w:proofErr w:type="spellStart"/>
      <w:r w:rsidRPr="00C0597C">
        <w:t>Conseil</w:t>
      </w:r>
      <w:proofErr w:type="spellEnd"/>
      <w:r w:rsidRPr="00C0597C">
        <w:t xml:space="preserve"> relative au </w:t>
      </w:r>
      <w:proofErr w:type="spellStart"/>
      <w:r w:rsidRPr="00C0597C">
        <w:t>règlement</w:t>
      </w:r>
      <w:proofErr w:type="spellEnd"/>
      <w:r w:rsidRPr="00C0597C">
        <w:t xml:space="preserve"> </w:t>
      </w:r>
      <w:proofErr w:type="spellStart"/>
      <w:r w:rsidRPr="00C0597C">
        <w:t>extrajudiciaire</w:t>
      </w:r>
      <w:proofErr w:type="spellEnd"/>
      <w:r w:rsidRPr="00C0597C">
        <w:t xml:space="preserve"> des </w:t>
      </w:r>
      <w:proofErr w:type="spellStart"/>
      <w:r w:rsidRPr="00C0597C">
        <w:t>litiges</w:t>
      </w:r>
      <w:proofErr w:type="spellEnd"/>
      <w:r w:rsidRPr="00C0597C">
        <w:t xml:space="preserve"> de </w:t>
      </w:r>
      <w:proofErr w:type="spellStart"/>
      <w:r w:rsidRPr="00C0597C">
        <w:t>consommation</w:t>
      </w:r>
      <w:proofErr w:type="spellEnd"/>
      <w:r w:rsidRPr="00C0597C">
        <w:t xml:space="preserve"> </w:t>
      </w:r>
      <w:r>
        <w:t>(</w:t>
      </w:r>
      <w:proofErr w:type="gramStart"/>
      <w:r>
        <w:t>COM(</w:t>
      </w:r>
      <w:proofErr w:type="gramEnd"/>
      <w:r>
        <w:t>2011)793</w:t>
      </w:r>
      <w:r w:rsidRPr="00C0597C">
        <w:t xml:space="preserve"> final</w:t>
      </w:r>
      <w:r>
        <w:t>)</w:t>
      </w:r>
      <w:r w:rsidRPr="00C0597C">
        <w:t xml:space="preserve">, </w:t>
      </w:r>
      <w:proofErr w:type="spellStart"/>
      <w:r w:rsidRPr="00C0597C">
        <w:t>Bru</w:t>
      </w:r>
      <w:r>
        <w:t>x</w:t>
      </w:r>
      <w:r w:rsidRPr="00C0597C">
        <w:t>el</w:t>
      </w:r>
      <w:r>
        <w:t>le</w:t>
      </w:r>
      <w:r w:rsidRPr="00C0597C">
        <w:t>s</w:t>
      </w:r>
      <w:proofErr w:type="spellEnd"/>
      <w:r>
        <w:t xml:space="preserve"> (</w:t>
      </w:r>
      <w:r w:rsidRPr="00C0597C">
        <w:t>29.11.2011</w:t>
      </w:r>
      <w:r>
        <w:t>))</w:t>
      </w:r>
      <w:r w:rsidRPr="00C0597C">
        <w:t xml:space="preserve"> </w:t>
      </w:r>
      <w:r>
        <w:t>et</w:t>
      </w:r>
      <w:r w:rsidRPr="00C0597C">
        <w:t xml:space="preserve"> </w:t>
      </w:r>
      <w:r>
        <w:t xml:space="preserve">Proposition de </w:t>
      </w:r>
      <w:proofErr w:type="spellStart"/>
      <w:r>
        <w:t>Règlement</w:t>
      </w:r>
      <w:proofErr w:type="spellEnd"/>
      <w:r>
        <w:t xml:space="preserve"> du </w:t>
      </w:r>
      <w:proofErr w:type="spellStart"/>
      <w:r>
        <w:t>Parlement</w:t>
      </w:r>
      <w:proofErr w:type="spellEnd"/>
      <w:r>
        <w:t xml:space="preserve"> </w:t>
      </w:r>
      <w:proofErr w:type="spellStart"/>
      <w:r>
        <w:t>européen</w:t>
      </w:r>
      <w:proofErr w:type="spellEnd"/>
      <w:r>
        <w:t xml:space="preserve"> et du </w:t>
      </w:r>
      <w:proofErr w:type="spellStart"/>
      <w:r>
        <w:t>Conseil</w:t>
      </w:r>
      <w:proofErr w:type="spellEnd"/>
      <w:r>
        <w:t xml:space="preserve"> </w:t>
      </w:r>
      <w:proofErr w:type="spellStart"/>
      <w:r>
        <w:t>relatif</w:t>
      </w:r>
      <w:proofErr w:type="spellEnd"/>
      <w:r>
        <w:t xml:space="preserve"> au </w:t>
      </w:r>
      <w:proofErr w:type="spellStart"/>
      <w:r>
        <w:t>règlement</w:t>
      </w:r>
      <w:proofErr w:type="spellEnd"/>
      <w:r>
        <w:t xml:space="preserve"> en </w:t>
      </w:r>
      <w:proofErr w:type="spellStart"/>
      <w:r>
        <w:t>ligne</w:t>
      </w:r>
      <w:proofErr w:type="spellEnd"/>
      <w:r>
        <w:t xml:space="preserve"> des </w:t>
      </w:r>
      <w:proofErr w:type="spellStart"/>
      <w:r>
        <w:t>litiges</w:t>
      </w:r>
      <w:proofErr w:type="spellEnd"/>
      <w:r>
        <w:t xml:space="preserve"> de </w:t>
      </w:r>
      <w:proofErr w:type="spellStart"/>
      <w:r>
        <w:t>consommation</w:t>
      </w:r>
      <w:proofErr w:type="spellEnd"/>
      <w:r>
        <w:t xml:space="preserve"> (</w:t>
      </w:r>
      <w:r w:rsidRPr="00C0597C">
        <w:t>COM(2011)</w:t>
      </w:r>
      <w:r>
        <w:t xml:space="preserve"> </w:t>
      </w:r>
      <w:r w:rsidRPr="00C0597C">
        <w:t>794 final</w:t>
      </w:r>
      <w:r>
        <w:t>)</w:t>
      </w:r>
      <w:r w:rsidRPr="00C0597C">
        <w:t xml:space="preserve">, </w:t>
      </w:r>
      <w:proofErr w:type="spellStart"/>
      <w:r w:rsidRPr="00C0597C">
        <w:t>Bru</w:t>
      </w:r>
      <w:r>
        <w:t>xel</w:t>
      </w:r>
      <w:r w:rsidRPr="00C0597C">
        <w:t>l</w:t>
      </w:r>
      <w:r>
        <w:t>e</w:t>
      </w:r>
      <w:r w:rsidRPr="00C0597C">
        <w:t>s</w:t>
      </w:r>
      <w:proofErr w:type="spellEnd"/>
      <w:r w:rsidRPr="00C0597C">
        <w:t xml:space="preserve"> </w:t>
      </w:r>
      <w:r>
        <w:t>(</w:t>
      </w:r>
      <w:r w:rsidRPr="00C0597C">
        <w:t>29.11.2011</w:t>
      </w:r>
      <w:r>
        <w:t>)).</w:t>
      </w:r>
    </w:p>
  </w:footnote>
  <w:footnote w:id="41">
    <w:p w:rsidR="00C954D9" w:rsidRPr="00AA1E69" w:rsidRDefault="00C954D9" w:rsidP="00514D18">
      <w:pPr>
        <w:pStyle w:val="FootnoteText"/>
      </w:pPr>
      <w:r>
        <w:rPr>
          <w:rStyle w:val="FootnoteReference"/>
        </w:rPr>
        <w:footnoteRef/>
      </w:r>
      <w:r w:rsidRPr="00AA1E69">
        <w:tab/>
      </w:r>
      <w:hyperlink r:id="rId8" w:history="1">
        <w:r w:rsidRPr="00E16979">
          <w:rPr>
            <w:rStyle w:val="Hyperlink"/>
          </w:rPr>
          <w:t>http://advanced-television.com/2009/07/06/iptv-subs-increases-in-korea/</w:t>
        </w:r>
      </w:hyperlink>
      <w:r w:rsidRPr="00EE3E8D">
        <w:t>.</w:t>
      </w:r>
    </w:p>
  </w:footnote>
  <w:footnote w:id="42">
    <w:p w:rsidR="00C954D9" w:rsidRPr="001A4989" w:rsidRDefault="00C954D9" w:rsidP="001A0EBC">
      <w:pPr>
        <w:pStyle w:val="FootnoteText"/>
        <w:ind w:left="284" w:hanging="284"/>
      </w:pPr>
      <w:r>
        <w:rPr>
          <w:rStyle w:val="FootnoteReference"/>
        </w:rPr>
        <w:footnoteRef/>
      </w:r>
      <w:r w:rsidRPr="001A4989">
        <w:tab/>
        <w:t xml:space="preserve">La </w:t>
      </w:r>
      <w:proofErr w:type="spellStart"/>
      <w:r>
        <w:t>mise</w:t>
      </w:r>
      <w:proofErr w:type="spellEnd"/>
      <w:r>
        <w:t xml:space="preserve"> à jour de la </w:t>
      </w:r>
      <w:proofErr w:type="spellStart"/>
      <w:r w:rsidRPr="001A4989">
        <w:t>Loi</w:t>
      </w:r>
      <w:proofErr w:type="spellEnd"/>
      <w:r w:rsidRPr="001A4989">
        <w:t xml:space="preserve"> </w:t>
      </w:r>
      <w:proofErr w:type="spellStart"/>
      <w:r>
        <w:t>nationale</w:t>
      </w:r>
      <w:proofErr w:type="spellEnd"/>
      <w:r>
        <w:t xml:space="preserve"> </w:t>
      </w:r>
      <w:r w:rsidRPr="001A4989">
        <w:t xml:space="preserve">1480, </w:t>
      </w:r>
      <w:r>
        <w:t xml:space="preserve">qui a </w:t>
      </w:r>
      <w:proofErr w:type="spellStart"/>
      <w:r>
        <w:t>eu</w:t>
      </w:r>
      <w:proofErr w:type="spellEnd"/>
      <w:r>
        <w:t xml:space="preserve"> lieu en</w:t>
      </w:r>
      <w:r w:rsidRPr="001A4989">
        <w:t xml:space="preserve"> 2011, </w:t>
      </w:r>
      <w:proofErr w:type="spellStart"/>
      <w:r w:rsidRPr="001A4989">
        <w:t>inclu</w:t>
      </w:r>
      <w:r>
        <w:t>ai</w:t>
      </w:r>
      <w:r w:rsidRPr="001A4989">
        <w:t>t</w:t>
      </w:r>
      <w:proofErr w:type="spellEnd"/>
      <w:r w:rsidRPr="001A4989">
        <w:t xml:space="preserve"> des modifications </w:t>
      </w:r>
      <w:proofErr w:type="spellStart"/>
      <w:r>
        <w:t>concernant</w:t>
      </w:r>
      <w:proofErr w:type="spellEnd"/>
      <w:r w:rsidRPr="001A4989">
        <w:t xml:space="preserve"> la protection de la santé et de</w:t>
      </w:r>
      <w:r>
        <w:t xml:space="preserve"> la </w:t>
      </w:r>
      <w:proofErr w:type="spellStart"/>
      <w:r>
        <w:t>sécurité</w:t>
      </w:r>
      <w:proofErr w:type="spellEnd"/>
      <w:r>
        <w:t xml:space="preserve"> des </w:t>
      </w:r>
      <w:proofErr w:type="spellStart"/>
      <w:r>
        <w:t>consommateurs</w:t>
      </w:r>
      <w:proofErr w:type="spellEnd"/>
      <w:r>
        <w:t xml:space="preserve">, </w:t>
      </w:r>
      <w:r w:rsidRPr="001A4989">
        <w:t xml:space="preserve">la </w:t>
      </w:r>
      <w:r>
        <w:t xml:space="preserve">protection des </w:t>
      </w:r>
      <w:proofErr w:type="spellStart"/>
      <w:r>
        <w:t>mineurs</w:t>
      </w:r>
      <w:proofErr w:type="spellEnd"/>
      <w:r>
        <w:t xml:space="preserve">, </w:t>
      </w:r>
      <w:proofErr w:type="spellStart"/>
      <w:r>
        <w:t>l'accès</w:t>
      </w:r>
      <w:proofErr w:type="spellEnd"/>
      <w:r>
        <w:t xml:space="preserve"> à </w:t>
      </w:r>
      <w:proofErr w:type="spellStart"/>
      <w:r>
        <w:t>l'information</w:t>
      </w:r>
      <w:proofErr w:type="spellEnd"/>
      <w:r>
        <w:t xml:space="preserve">, </w:t>
      </w:r>
      <w:proofErr w:type="spellStart"/>
      <w:r>
        <w:t>ainsi</w:t>
      </w:r>
      <w:proofErr w:type="spellEnd"/>
      <w:r>
        <w:t xml:space="preserve"> </w:t>
      </w:r>
      <w:proofErr w:type="spellStart"/>
      <w:r>
        <w:t>que</w:t>
      </w:r>
      <w:proofErr w:type="spellEnd"/>
      <w:r>
        <w:t xml:space="preserve"> des questions </w:t>
      </w:r>
      <w:proofErr w:type="spellStart"/>
      <w:r>
        <w:t>telles</w:t>
      </w:r>
      <w:proofErr w:type="spellEnd"/>
      <w:r>
        <w:t xml:space="preserve"> </w:t>
      </w:r>
      <w:proofErr w:type="spellStart"/>
      <w:r>
        <w:t>que</w:t>
      </w:r>
      <w:proofErr w:type="spellEnd"/>
      <w:r>
        <w:t xml:space="preserve"> les </w:t>
      </w:r>
      <w:proofErr w:type="spellStart"/>
      <w:r>
        <w:t>garanties</w:t>
      </w:r>
      <w:proofErr w:type="spellEnd"/>
      <w:r>
        <w:t xml:space="preserve"> pour les </w:t>
      </w:r>
      <w:proofErr w:type="spellStart"/>
      <w:r>
        <w:t>biens</w:t>
      </w:r>
      <w:proofErr w:type="spellEnd"/>
      <w:r>
        <w:t xml:space="preserve"> et services</w:t>
      </w:r>
      <w:r w:rsidRPr="001A4989">
        <w:t xml:space="preserve">. La </w:t>
      </w:r>
      <w:proofErr w:type="spellStart"/>
      <w:r w:rsidRPr="001A4989">
        <w:t>Résolution</w:t>
      </w:r>
      <w:proofErr w:type="spellEnd"/>
      <w:r w:rsidRPr="001A4989">
        <w:t xml:space="preserve"> 3066 de la CRC, relative à la protection des </w:t>
      </w:r>
      <w:proofErr w:type="spellStart"/>
      <w:r w:rsidRPr="001A4989">
        <w:t>droits</w:t>
      </w:r>
      <w:proofErr w:type="spellEnd"/>
      <w:r w:rsidRPr="001A4989">
        <w:t xml:space="preserve"> des </w:t>
      </w:r>
      <w:proofErr w:type="spellStart"/>
      <w:r w:rsidRPr="001A4989">
        <w:t>utilisateurs</w:t>
      </w:r>
      <w:proofErr w:type="spellEnd"/>
      <w:r w:rsidRPr="001A4989">
        <w:t xml:space="preserve">, </w:t>
      </w:r>
      <w:proofErr w:type="gramStart"/>
      <w:r w:rsidRPr="001A4989">
        <w:t>a</w:t>
      </w:r>
      <w:proofErr w:type="gramEnd"/>
      <w:r w:rsidRPr="001A4989">
        <w:t xml:space="preserve"> </w:t>
      </w:r>
      <w:proofErr w:type="spellStart"/>
      <w:r w:rsidRPr="001A4989">
        <w:t>également</w:t>
      </w:r>
      <w:proofErr w:type="spellEnd"/>
      <w:r w:rsidRPr="001A4989">
        <w:t xml:space="preserve"> </w:t>
      </w:r>
      <w:proofErr w:type="spellStart"/>
      <w:r w:rsidRPr="001A4989">
        <w:t>été</w:t>
      </w:r>
      <w:proofErr w:type="spellEnd"/>
      <w:r w:rsidRPr="001A4989">
        <w:t xml:space="preserve"> </w:t>
      </w:r>
      <w:proofErr w:type="spellStart"/>
      <w:r w:rsidRPr="001A4989">
        <w:t>mise</w:t>
      </w:r>
      <w:proofErr w:type="spellEnd"/>
      <w:r w:rsidRPr="001A4989">
        <w:t xml:space="preserve"> à jour en 2011</w:t>
      </w:r>
      <w:r>
        <w:t>.</w:t>
      </w:r>
      <w:r w:rsidRPr="001A4989">
        <w:t xml:space="preserve"> </w:t>
      </w:r>
      <w:r>
        <w:t xml:space="preserve">Les modifications </w:t>
      </w:r>
      <w:proofErr w:type="spellStart"/>
      <w:r>
        <w:t>concernaient</w:t>
      </w:r>
      <w:proofErr w:type="spellEnd"/>
      <w:r>
        <w:t xml:space="preserve"> </w:t>
      </w:r>
      <w:proofErr w:type="spellStart"/>
      <w:r>
        <w:t>l'utilisation</w:t>
      </w:r>
      <w:proofErr w:type="spellEnd"/>
      <w:r>
        <w:t xml:space="preserve"> des technologies pour </w:t>
      </w:r>
      <w:proofErr w:type="spellStart"/>
      <w:r>
        <w:t>communiquer</w:t>
      </w:r>
      <w:proofErr w:type="spellEnd"/>
      <w:r>
        <w:t xml:space="preserve"> avec les </w:t>
      </w:r>
      <w:proofErr w:type="spellStart"/>
      <w:r>
        <w:t>entreprises</w:t>
      </w:r>
      <w:proofErr w:type="spellEnd"/>
      <w:r>
        <w:t xml:space="preserve">, les temps de </w:t>
      </w:r>
      <w:proofErr w:type="spellStart"/>
      <w:r>
        <w:t>réponse</w:t>
      </w:r>
      <w:proofErr w:type="spellEnd"/>
      <w:r>
        <w:t xml:space="preserve"> </w:t>
      </w:r>
      <w:proofErr w:type="spellStart"/>
      <w:r>
        <w:t>maximaux</w:t>
      </w:r>
      <w:proofErr w:type="spellEnd"/>
      <w:r>
        <w:t xml:space="preserve">, </w:t>
      </w:r>
      <w:proofErr w:type="spellStart"/>
      <w:r>
        <w:t>l'accès</w:t>
      </w:r>
      <w:proofErr w:type="spellEnd"/>
      <w:r>
        <w:t xml:space="preserve"> à </w:t>
      </w:r>
      <w:proofErr w:type="spellStart"/>
      <w:r>
        <w:t>l'information</w:t>
      </w:r>
      <w:proofErr w:type="spellEnd"/>
      <w:r>
        <w:t xml:space="preserve"> </w:t>
      </w:r>
      <w:proofErr w:type="gramStart"/>
      <w:r>
        <w:t>et</w:t>
      </w:r>
      <w:proofErr w:type="gramEnd"/>
      <w:r>
        <w:t xml:space="preserve"> les </w:t>
      </w:r>
      <w:proofErr w:type="spellStart"/>
      <w:r>
        <w:t>règles</w:t>
      </w:r>
      <w:proofErr w:type="spellEnd"/>
      <w:r>
        <w:t xml:space="preserve"> relatives aux services par </w:t>
      </w:r>
      <w:proofErr w:type="spellStart"/>
      <w:r>
        <w:t>paquets</w:t>
      </w:r>
      <w:proofErr w:type="spellEnd"/>
      <w:r>
        <w:t>.</w:t>
      </w:r>
    </w:p>
  </w:footnote>
  <w:footnote w:id="43">
    <w:p w:rsidR="00C954D9" w:rsidRPr="00DA683C" w:rsidRDefault="00C954D9" w:rsidP="001A0EBC">
      <w:pPr>
        <w:pStyle w:val="FootnoteText"/>
      </w:pPr>
      <w:r>
        <w:rPr>
          <w:rStyle w:val="FootnoteReference"/>
        </w:rPr>
        <w:footnoteRef/>
      </w:r>
      <w:r w:rsidRPr="00DA683C">
        <w:tab/>
      </w:r>
      <w:proofErr w:type="gramStart"/>
      <w:r w:rsidRPr="001A4989">
        <w:t>Op.cit.</w:t>
      </w:r>
      <w:proofErr w:type="gramEnd"/>
    </w:p>
  </w:footnote>
  <w:footnote w:id="44">
    <w:p w:rsidR="00C954D9" w:rsidRPr="00DA683C" w:rsidRDefault="00C954D9" w:rsidP="001A0EBC">
      <w:pPr>
        <w:pStyle w:val="FootnoteText"/>
      </w:pPr>
      <w:r>
        <w:rPr>
          <w:rStyle w:val="FootnoteReference"/>
        </w:rPr>
        <w:footnoteRef/>
      </w:r>
      <w:r w:rsidRPr="00DA683C">
        <w:tab/>
      </w:r>
      <w:hyperlink r:id="rId9" w:history="1">
        <w:r w:rsidRPr="00DA683C">
          <w:rPr>
            <w:rStyle w:val="Hyperlink"/>
          </w:rPr>
          <w:t>www.gov.uk/government/news/new-proposals-for-consumer-rights</w:t>
        </w:r>
      </w:hyperlink>
      <w:r w:rsidRPr="00EE3E8D">
        <w:t>.</w:t>
      </w:r>
    </w:p>
  </w:footnote>
  <w:footnote w:id="45">
    <w:p w:rsidR="00C954D9" w:rsidRPr="00BE53BF" w:rsidRDefault="00C954D9" w:rsidP="001A0EBC">
      <w:pPr>
        <w:pStyle w:val="FootnoteText"/>
        <w:ind w:left="284" w:hanging="284"/>
        <w:rPr>
          <w:lang w:val="fr-CH"/>
        </w:rPr>
      </w:pPr>
      <w:r>
        <w:rPr>
          <w:rStyle w:val="FootnoteReference"/>
        </w:rPr>
        <w:footnoteRef/>
      </w:r>
      <w:r>
        <w:t xml:space="preserve"> </w:t>
      </w:r>
      <w:r>
        <w:rPr>
          <w:lang w:val="fr-CH"/>
        </w:rPr>
        <w:tab/>
      </w:r>
      <w:proofErr w:type="spellStart"/>
      <w:r w:rsidRPr="00524387">
        <w:t>Anatel</w:t>
      </w:r>
      <w:proofErr w:type="spellEnd"/>
      <w:r w:rsidRPr="00524387">
        <w:t xml:space="preserve"> </w:t>
      </w:r>
      <w:proofErr w:type="spellStart"/>
      <w:proofErr w:type="gramStart"/>
      <w:r w:rsidRPr="00524387">
        <w:t>est</w:t>
      </w:r>
      <w:proofErr w:type="spellEnd"/>
      <w:proofErr w:type="gramEnd"/>
      <w:r w:rsidRPr="00524387">
        <w:t xml:space="preserve"> un </w:t>
      </w:r>
      <w:proofErr w:type="spellStart"/>
      <w:r w:rsidRPr="00524387">
        <w:t>organisme</w:t>
      </w:r>
      <w:proofErr w:type="spellEnd"/>
      <w:r w:rsidRPr="00524387">
        <w:t xml:space="preserve"> </w:t>
      </w:r>
      <w:proofErr w:type="spellStart"/>
      <w:r w:rsidRPr="00524387">
        <w:t>spécial</w:t>
      </w:r>
      <w:proofErr w:type="spellEnd"/>
      <w:r w:rsidRPr="00524387">
        <w:t xml:space="preserve"> </w:t>
      </w:r>
      <w:proofErr w:type="spellStart"/>
      <w:r w:rsidRPr="00524387">
        <w:t>créé</w:t>
      </w:r>
      <w:proofErr w:type="spellEnd"/>
      <w:r w:rsidRPr="00524387">
        <w:t xml:space="preserve"> en </w:t>
      </w:r>
      <w:proofErr w:type="spellStart"/>
      <w:r w:rsidRPr="00524387">
        <w:t>vertu</w:t>
      </w:r>
      <w:proofErr w:type="spellEnd"/>
      <w:r w:rsidRPr="00524387">
        <w:t xml:space="preserve"> de la </w:t>
      </w:r>
      <w:proofErr w:type="spellStart"/>
      <w:r w:rsidRPr="00524387">
        <w:t>Loi</w:t>
      </w:r>
      <w:proofErr w:type="spellEnd"/>
      <w:r w:rsidRPr="00524387">
        <w:t xml:space="preserve"> </w:t>
      </w:r>
      <w:proofErr w:type="spellStart"/>
      <w:r w:rsidRPr="00524387">
        <w:t>générale</w:t>
      </w:r>
      <w:proofErr w:type="spellEnd"/>
      <w:r w:rsidRPr="00524387">
        <w:t xml:space="preserve"> </w:t>
      </w:r>
      <w:proofErr w:type="spellStart"/>
      <w:r w:rsidRPr="00524387">
        <w:t>sur</w:t>
      </w:r>
      <w:proofErr w:type="spellEnd"/>
      <w:r w:rsidRPr="00524387">
        <w:t xml:space="preserve"> les </w:t>
      </w:r>
      <w:proofErr w:type="spellStart"/>
      <w:r w:rsidRPr="00524387">
        <w:t>télécommunications</w:t>
      </w:r>
      <w:proofErr w:type="spellEnd"/>
      <w:r w:rsidRPr="00524387">
        <w:t xml:space="preserve"> (LGT). </w:t>
      </w:r>
      <w:proofErr w:type="spellStart"/>
      <w:r w:rsidRPr="00524387">
        <w:t>Administrativement</w:t>
      </w:r>
      <w:proofErr w:type="spellEnd"/>
      <w:r w:rsidRPr="00524387">
        <w:t xml:space="preserve"> </w:t>
      </w:r>
      <w:proofErr w:type="spellStart"/>
      <w:r w:rsidRPr="00524387">
        <w:t>indépendante</w:t>
      </w:r>
      <w:proofErr w:type="spellEnd"/>
      <w:r w:rsidRPr="00524387">
        <w:t xml:space="preserve"> </w:t>
      </w:r>
      <w:proofErr w:type="gramStart"/>
      <w:r w:rsidRPr="00524387">
        <w:t>et</w:t>
      </w:r>
      <w:proofErr w:type="gramEnd"/>
      <w:r w:rsidRPr="00524387">
        <w:t xml:space="preserve"> </w:t>
      </w:r>
      <w:proofErr w:type="spellStart"/>
      <w:r w:rsidRPr="00524387">
        <w:t>financièrement</w:t>
      </w:r>
      <w:proofErr w:type="spellEnd"/>
      <w:r w:rsidRPr="00524387">
        <w:t xml:space="preserve"> </w:t>
      </w:r>
      <w:proofErr w:type="spellStart"/>
      <w:r w:rsidRPr="00524387">
        <w:t>autonome</w:t>
      </w:r>
      <w:proofErr w:type="spellEnd"/>
      <w:r w:rsidRPr="00524387">
        <w:t xml:space="preserve">, </w:t>
      </w:r>
      <w:proofErr w:type="spellStart"/>
      <w:r w:rsidRPr="00524387">
        <w:t>elle</w:t>
      </w:r>
      <w:proofErr w:type="spellEnd"/>
      <w:r w:rsidRPr="00524387">
        <w:t xml:space="preserve"> ne </w:t>
      </w:r>
      <w:proofErr w:type="spellStart"/>
      <w:r w:rsidRPr="00524387">
        <w:t>relève</w:t>
      </w:r>
      <w:proofErr w:type="spellEnd"/>
      <w:r w:rsidRPr="00524387">
        <w:t xml:space="preserve"> pas de </w:t>
      </w:r>
      <w:proofErr w:type="spellStart"/>
      <w:r w:rsidRPr="00524387">
        <w:t>l</w:t>
      </w:r>
      <w:r>
        <w:t>'</w:t>
      </w:r>
      <w:r w:rsidRPr="00524387">
        <w:t>autorité</w:t>
      </w:r>
      <w:proofErr w:type="spellEnd"/>
      <w:r w:rsidRPr="00524387">
        <w:t xml:space="preserve"> d</w:t>
      </w:r>
      <w:r>
        <w:t>'</w:t>
      </w:r>
      <w:r w:rsidRPr="00524387">
        <w:t xml:space="preserve">un </w:t>
      </w:r>
      <w:proofErr w:type="spellStart"/>
      <w:r w:rsidRPr="00524387">
        <w:t>autre</w:t>
      </w:r>
      <w:proofErr w:type="spellEnd"/>
      <w:r w:rsidRPr="00524387">
        <w:t xml:space="preserve"> </w:t>
      </w:r>
      <w:proofErr w:type="spellStart"/>
      <w:r w:rsidRPr="00524387">
        <w:t>organisme</w:t>
      </w:r>
      <w:proofErr w:type="spellEnd"/>
      <w:r w:rsidRPr="00524387">
        <w:t xml:space="preserve"> public</w:t>
      </w:r>
      <w:r>
        <w:t>.</w:t>
      </w:r>
    </w:p>
  </w:footnote>
  <w:footnote w:id="46">
    <w:p w:rsidR="00C954D9" w:rsidRPr="00D733F3" w:rsidRDefault="00C954D9" w:rsidP="001A0EBC">
      <w:pPr>
        <w:pStyle w:val="FootnoteText"/>
      </w:pPr>
      <w:r w:rsidRPr="00D733F3">
        <w:rPr>
          <w:rStyle w:val="FootnoteReference"/>
        </w:rPr>
        <w:footnoteRef/>
      </w:r>
      <w:r w:rsidRPr="00D733F3">
        <w:tab/>
      </w:r>
      <w:proofErr w:type="spellStart"/>
      <w:proofErr w:type="gramStart"/>
      <w:r w:rsidRPr="00D733F3">
        <w:t>L</w:t>
      </w:r>
      <w:r>
        <w:t>oi</w:t>
      </w:r>
      <w:proofErr w:type="spellEnd"/>
      <w:r>
        <w:t xml:space="preserve"> 8.</w:t>
      </w:r>
      <w:r w:rsidRPr="00D733F3">
        <w:t xml:space="preserve">078 du 11 </w:t>
      </w:r>
      <w:proofErr w:type="spellStart"/>
      <w:r w:rsidRPr="00D733F3">
        <w:t>septembre</w:t>
      </w:r>
      <w:proofErr w:type="spellEnd"/>
      <w:r w:rsidRPr="00D733F3">
        <w:t xml:space="preserve"> 1990</w:t>
      </w:r>
      <w:r>
        <w:t>.</w:t>
      </w:r>
      <w:proofErr w:type="gramEnd"/>
    </w:p>
  </w:footnote>
  <w:footnote w:id="47">
    <w:p w:rsidR="00C954D9" w:rsidRPr="00C97996" w:rsidRDefault="00C954D9" w:rsidP="001A0EBC">
      <w:pPr>
        <w:pStyle w:val="FootnoteText"/>
        <w:ind w:left="284" w:hanging="284"/>
      </w:pPr>
      <w:r w:rsidRPr="00C97996">
        <w:rPr>
          <w:rStyle w:val="FootnoteReference"/>
        </w:rPr>
        <w:footnoteRef/>
      </w:r>
      <w:r>
        <w:tab/>
      </w:r>
      <w:proofErr w:type="spellStart"/>
      <w:r>
        <w:t>Ré</w:t>
      </w:r>
      <w:r w:rsidRPr="00C97996">
        <w:t>glementation</w:t>
      </w:r>
      <w:proofErr w:type="spellEnd"/>
      <w:r w:rsidRPr="00C97996">
        <w:t xml:space="preserve"> de la protection </w:t>
      </w:r>
      <w:proofErr w:type="gramStart"/>
      <w:r w:rsidRPr="00C97996">
        <w:t>et</w:t>
      </w:r>
      <w:proofErr w:type="gramEnd"/>
      <w:r w:rsidRPr="00C97996">
        <w:t xml:space="preserve"> de la </w:t>
      </w:r>
      <w:proofErr w:type="spellStart"/>
      <w:r w:rsidRPr="00C97996">
        <w:t>défense</w:t>
      </w:r>
      <w:proofErr w:type="spellEnd"/>
      <w:r w:rsidRPr="00C97996">
        <w:t xml:space="preserve"> des </w:t>
      </w:r>
      <w:proofErr w:type="spellStart"/>
      <w:r w:rsidRPr="00C97996">
        <w:t>droits</w:t>
      </w:r>
      <w:proofErr w:type="spellEnd"/>
      <w:r w:rsidRPr="00C97996">
        <w:t xml:space="preserve"> des </w:t>
      </w:r>
      <w:proofErr w:type="spellStart"/>
      <w:r w:rsidRPr="00C97996">
        <w:t>abonnés</w:t>
      </w:r>
      <w:proofErr w:type="spellEnd"/>
      <w:r w:rsidRPr="00C97996">
        <w:t xml:space="preserve"> de la </w:t>
      </w:r>
      <w:proofErr w:type="spellStart"/>
      <w:r w:rsidRPr="00C97996">
        <w:t>télévision</w:t>
      </w:r>
      <w:proofErr w:type="spellEnd"/>
      <w:r w:rsidRPr="00C97996">
        <w:t xml:space="preserve"> </w:t>
      </w:r>
      <w:r>
        <w:t xml:space="preserve">à </w:t>
      </w:r>
      <w:proofErr w:type="spellStart"/>
      <w:r>
        <w:t>péage</w:t>
      </w:r>
      <w:proofErr w:type="spellEnd"/>
      <w:r w:rsidRPr="00C97996">
        <w:t xml:space="preserve">. </w:t>
      </w:r>
      <w:proofErr w:type="spellStart"/>
      <w:proofErr w:type="gramStart"/>
      <w:r w:rsidRPr="00C97996">
        <w:t>Résolution</w:t>
      </w:r>
      <w:proofErr w:type="spellEnd"/>
      <w:r>
        <w:t> </w:t>
      </w:r>
      <w:r w:rsidRPr="00C97996">
        <w:t xml:space="preserve">N° 488/2007 de </w:t>
      </w:r>
      <w:proofErr w:type="spellStart"/>
      <w:r w:rsidRPr="00C97996">
        <w:t>l</w:t>
      </w:r>
      <w:r>
        <w:t>'</w:t>
      </w:r>
      <w:r w:rsidRPr="00C97996">
        <w:t>Anatel</w:t>
      </w:r>
      <w:proofErr w:type="spellEnd"/>
      <w:r w:rsidRPr="00C97996">
        <w:t>.</w:t>
      </w:r>
      <w:proofErr w:type="gramEnd"/>
      <w:r w:rsidRPr="00C97996">
        <w:t xml:space="preserve"> Nouvelle </w:t>
      </w:r>
      <w:proofErr w:type="spellStart"/>
      <w:r w:rsidRPr="00C97996">
        <w:t>Loi</w:t>
      </w:r>
      <w:proofErr w:type="spellEnd"/>
      <w:r w:rsidRPr="00C97996">
        <w:t xml:space="preserve"> 12.485/2011.</w:t>
      </w:r>
    </w:p>
  </w:footnote>
  <w:footnote w:id="48">
    <w:p w:rsidR="00C954D9" w:rsidRPr="00C97996" w:rsidRDefault="00C954D9" w:rsidP="001A0EBC">
      <w:pPr>
        <w:pStyle w:val="FootnoteText"/>
        <w:ind w:left="284" w:hanging="284"/>
      </w:pPr>
      <w:r>
        <w:rPr>
          <w:rStyle w:val="FootnoteReference"/>
        </w:rPr>
        <w:footnoteRef/>
      </w:r>
      <w:r w:rsidRPr="00C97996">
        <w:tab/>
        <w:t xml:space="preserve">Les </w:t>
      </w:r>
      <w:proofErr w:type="spellStart"/>
      <w:r w:rsidRPr="00C97996">
        <w:t>données</w:t>
      </w:r>
      <w:proofErr w:type="spellEnd"/>
      <w:r w:rsidRPr="00C97996">
        <w:t xml:space="preserve"> </w:t>
      </w:r>
      <w:proofErr w:type="spellStart"/>
      <w:r w:rsidRPr="00C97996">
        <w:t>d</w:t>
      </w:r>
      <w:r>
        <w:t>'</w:t>
      </w:r>
      <w:r w:rsidRPr="00C97996">
        <w:t>Anatel</w:t>
      </w:r>
      <w:proofErr w:type="spellEnd"/>
      <w:r w:rsidRPr="00C97996">
        <w:t xml:space="preserve"> </w:t>
      </w:r>
      <w:proofErr w:type="spellStart"/>
      <w:r w:rsidRPr="00C97996">
        <w:t>montrent</w:t>
      </w:r>
      <w:proofErr w:type="spellEnd"/>
      <w:r w:rsidRPr="00C97996">
        <w:t xml:space="preserve"> </w:t>
      </w:r>
      <w:proofErr w:type="spellStart"/>
      <w:r w:rsidRPr="00C97996">
        <w:t>que</w:t>
      </w:r>
      <w:proofErr w:type="spellEnd"/>
      <w:r w:rsidRPr="00C97996">
        <w:t xml:space="preserve"> le </w:t>
      </w:r>
      <w:proofErr w:type="spellStart"/>
      <w:r w:rsidRPr="00C97996">
        <w:t>nombre</w:t>
      </w:r>
      <w:proofErr w:type="spellEnd"/>
      <w:r w:rsidRPr="00C97996">
        <w:t xml:space="preserve"> </w:t>
      </w:r>
      <w:proofErr w:type="spellStart"/>
      <w:r w:rsidRPr="00C97996">
        <w:t>d</w:t>
      </w:r>
      <w:r>
        <w:t>'</w:t>
      </w:r>
      <w:r w:rsidRPr="00C97996">
        <w:t>abonnés</w:t>
      </w:r>
      <w:proofErr w:type="spellEnd"/>
      <w:r w:rsidRPr="00C97996">
        <w:t xml:space="preserve"> à la </w:t>
      </w:r>
      <w:proofErr w:type="spellStart"/>
      <w:r w:rsidRPr="00C97996">
        <w:t>télévision</w:t>
      </w:r>
      <w:proofErr w:type="spellEnd"/>
      <w:r w:rsidRPr="00C97996">
        <w:t xml:space="preserve"> </w:t>
      </w:r>
      <w:r>
        <w:t xml:space="preserve">à </w:t>
      </w:r>
      <w:proofErr w:type="spellStart"/>
      <w:r>
        <w:t>péage</w:t>
      </w:r>
      <w:proofErr w:type="spellEnd"/>
      <w:r w:rsidRPr="00C97996">
        <w:t xml:space="preserve"> au </w:t>
      </w:r>
      <w:proofErr w:type="spellStart"/>
      <w:r w:rsidRPr="00C97996">
        <w:t>Brésil</w:t>
      </w:r>
      <w:proofErr w:type="spellEnd"/>
      <w:r w:rsidRPr="00C97996">
        <w:t xml:space="preserve"> a </w:t>
      </w:r>
      <w:proofErr w:type="spellStart"/>
      <w:r w:rsidRPr="00C97996">
        <w:t>atteint</w:t>
      </w:r>
      <w:proofErr w:type="spellEnd"/>
      <w:r w:rsidRPr="00C97996">
        <w:t xml:space="preserve"> 15</w:t>
      </w:r>
      <w:proofErr w:type="gramStart"/>
      <w:r w:rsidRPr="00C97996">
        <w:t>,1</w:t>
      </w:r>
      <w:proofErr w:type="gramEnd"/>
      <w:r>
        <w:t> </w:t>
      </w:r>
      <w:r w:rsidRPr="00C97996">
        <w:t xml:space="preserve">millions en </w:t>
      </w:r>
      <w:proofErr w:type="spellStart"/>
      <w:r w:rsidRPr="00C97996">
        <w:t>ao</w:t>
      </w:r>
      <w:r>
        <w:t>ût</w:t>
      </w:r>
      <w:proofErr w:type="spellEnd"/>
      <w:r>
        <w:t xml:space="preserve"> 2012. Un </w:t>
      </w:r>
      <w:proofErr w:type="spellStart"/>
      <w:r>
        <w:t>indice</w:t>
      </w:r>
      <w:proofErr w:type="spellEnd"/>
      <w:r>
        <w:t xml:space="preserve"> qui </w:t>
      </w:r>
      <w:proofErr w:type="spellStart"/>
      <w:r>
        <w:t>permet</w:t>
      </w:r>
      <w:proofErr w:type="spellEnd"/>
      <w:r>
        <w:t xml:space="preserve"> de </w:t>
      </w:r>
      <w:proofErr w:type="spellStart"/>
      <w:r>
        <w:t>mesurer</w:t>
      </w:r>
      <w:proofErr w:type="spellEnd"/>
      <w:r>
        <w:t xml:space="preserve"> la </w:t>
      </w:r>
      <w:proofErr w:type="spellStart"/>
      <w:r>
        <w:t>pénétration</w:t>
      </w:r>
      <w:proofErr w:type="spellEnd"/>
      <w:r>
        <w:t xml:space="preserve"> par foyer </w:t>
      </w:r>
      <w:proofErr w:type="spellStart"/>
      <w:r>
        <w:t>s'élevait</w:t>
      </w:r>
      <w:proofErr w:type="spellEnd"/>
      <w:r>
        <w:t xml:space="preserve"> </w:t>
      </w:r>
      <w:proofErr w:type="spellStart"/>
      <w:r>
        <w:t>alors</w:t>
      </w:r>
      <w:proofErr w:type="spellEnd"/>
      <w:r>
        <w:t xml:space="preserve"> 25</w:t>
      </w:r>
      <w:proofErr w:type="gramStart"/>
      <w:r>
        <w:t>,5</w:t>
      </w:r>
      <w:proofErr w:type="gramEnd"/>
      <w:r>
        <w:t xml:space="preserve">%, </w:t>
      </w:r>
      <w:proofErr w:type="spellStart"/>
      <w:r>
        <w:t>ce</w:t>
      </w:r>
      <w:proofErr w:type="spellEnd"/>
      <w:r>
        <w:t xml:space="preserve"> qui </w:t>
      </w:r>
      <w:proofErr w:type="spellStart"/>
      <w:r>
        <w:t>constituait</w:t>
      </w:r>
      <w:proofErr w:type="spellEnd"/>
      <w:r>
        <w:t xml:space="preserve"> </w:t>
      </w:r>
      <w:proofErr w:type="spellStart"/>
      <w:r>
        <w:t>une</w:t>
      </w:r>
      <w:proofErr w:type="spellEnd"/>
      <w:r>
        <w:t xml:space="preserve"> </w:t>
      </w:r>
      <w:proofErr w:type="spellStart"/>
      <w:r>
        <w:t>hausse</w:t>
      </w:r>
      <w:proofErr w:type="spellEnd"/>
      <w:r>
        <w:t xml:space="preserve"> de 19,4% par rapport à </w:t>
      </w:r>
      <w:proofErr w:type="spellStart"/>
      <w:r>
        <w:t>l'année</w:t>
      </w:r>
      <w:proofErr w:type="spellEnd"/>
      <w:r>
        <w:t xml:space="preserve"> </w:t>
      </w:r>
      <w:proofErr w:type="spellStart"/>
      <w:r>
        <w:t>précédente</w:t>
      </w:r>
      <w:proofErr w:type="spellEnd"/>
      <w:r>
        <w:t xml:space="preserve">. </w:t>
      </w:r>
      <w:proofErr w:type="spellStart"/>
      <w:r w:rsidRPr="00DA683C">
        <w:t>América</w:t>
      </w:r>
      <w:proofErr w:type="spellEnd"/>
      <w:r w:rsidRPr="00DA683C">
        <w:t xml:space="preserve"> </w:t>
      </w:r>
      <w:proofErr w:type="spellStart"/>
      <w:r w:rsidRPr="00DA683C">
        <w:t>Móvil</w:t>
      </w:r>
      <w:proofErr w:type="spellEnd"/>
      <w:r>
        <w:t xml:space="preserve"> </w:t>
      </w:r>
      <w:proofErr w:type="spellStart"/>
      <w:r>
        <w:t>possède</w:t>
      </w:r>
      <w:proofErr w:type="spellEnd"/>
      <w:r>
        <w:t xml:space="preserve"> </w:t>
      </w:r>
      <w:proofErr w:type="spellStart"/>
      <w:r>
        <w:t>une</w:t>
      </w:r>
      <w:proofErr w:type="spellEnd"/>
      <w:r>
        <w:t xml:space="preserve"> part de </w:t>
      </w:r>
      <w:proofErr w:type="spellStart"/>
      <w:r>
        <w:t>marché</w:t>
      </w:r>
      <w:proofErr w:type="spellEnd"/>
      <w:r>
        <w:t xml:space="preserve"> de 37</w:t>
      </w:r>
      <w:proofErr w:type="gramStart"/>
      <w:r>
        <w:t>,2</w:t>
      </w:r>
      <w:proofErr w:type="gramEnd"/>
      <w:r>
        <w:t xml:space="preserve">%, </w:t>
      </w:r>
      <w:proofErr w:type="spellStart"/>
      <w:r>
        <w:t>suivi</w:t>
      </w:r>
      <w:proofErr w:type="spellEnd"/>
      <w:r>
        <w:t xml:space="preserve"> de </w:t>
      </w:r>
      <w:proofErr w:type="spellStart"/>
      <w:r>
        <w:t>près</w:t>
      </w:r>
      <w:proofErr w:type="spellEnd"/>
      <w:r>
        <w:t xml:space="preserve"> par DirecTV qui, avec </w:t>
      </w:r>
      <w:proofErr w:type="spellStart"/>
      <w:r>
        <w:t>sa</w:t>
      </w:r>
      <w:proofErr w:type="spellEnd"/>
      <w:r>
        <w:t xml:space="preserve"> </w:t>
      </w:r>
      <w:proofErr w:type="spellStart"/>
      <w:r>
        <w:t>marque</w:t>
      </w:r>
      <w:proofErr w:type="spellEnd"/>
      <w:r>
        <w:t xml:space="preserve"> </w:t>
      </w:r>
      <w:r w:rsidRPr="00DA683C">
        <w:t xml:space="preserve">Sky </w:t>
      </w:r>
      <w:proofErr w:type="spellStart"/>
      <w:r w:rsidRPr="00DA683C">
        <w:t>Brasil</w:t>
      </w:r>
      <w:proofErr w:type="spellEnd"/>
      <w:r>
        <w:t xml:space="preserve">, dispose de 31,2% du </w:t>
      </w:r>
      <w:proofErr w:type="spellStart"/>
      <w:r>
        <w:t>marché</w:t>
      </w:r>
      <w:proofErr w:type="spellEnd"/>
      <w:r>
        <w:t>.</w:t>
      </w:r>
    </w:p>
  </w:footnote>
  <w:footnote w:id="49">
    <w:p w:rsidR="00C954D9" w:rsidRPr="005A22F3" w:rsidRDefault="00C954D9" w:rsidP="001A0EBC">
      <w:pPr>
        <w:pStyle w:val="FootnoteText"/>
      </w:pPr>
      <w:r w:rsidRPr="005A22F3">
        <w:rPr>
          <w:rStyle w:val="FootnoteReference"/>
        </w:rPr>
        <w:footnoteRef/>
      </w:r>
      <w:r w:rsidRPr="005A22F3">
        <w:tab/>
        <w:t xml:space="preserve">Quotas </w:t>
      </w:r>
      <w:proofErr w:type="spellStart"/>
      <w:r>
        <w:t>surveillés</w:t>
      </w:r>
      <w:proofErr w:type="spellEnd"/>
      <w:r w:rsidRPr="005A22F3">
        <w:t xml:space="preserve"> par </w:t>
      </w:r>
      <w:proofErr w:type="spellStart"/>
      <w:r w:rsidRPr="005A22F3">
        <w:t>l</w:t>
      </w:r>
      <w:r>
        <w:t>'</w:t>
      </w:r>
      <w:r w:rsidRPr="005A22F3">
        <w:t>Agence</w:t>
      </w:r>
      <w:proofErr w:type="spellEnd"/>
      <w:r w:rsidRPr="005A22F3">
        <w:t xml:space="preserve"> </w:t>
      </w:r>
      <w:proofErr w:type="spellStart"/>
      <w:r w:rsidRPr="005A22F3">
        <w:t>nationale</w:t>
      </w:r>
      <w:proofErr w:type="spellEnd"/>
      <w:r w:rsidRPr="005A22F3">
        <w:t xml:space="preserve"> </w:t>
      </w:r>
      <w:proofErr w:type="spellStart"/>
      <w:r w:rsidRPr="005A22F3">
        <w:t>brésilienne</w:t>
      </w:r>
      <w:proofErr w:type="spellEnd"/>
      <w:r w:rsidRPr="005A22F3">
        <w:t xml:space="preserve"> du </w:t>
      </w:r>
      <w:proofErr w:type="spellStart"/>
      <w:r w:rsidRPr="005A22F3">
        <w:t>cinéma</w:t>
      </w:r>
      <w:proofErr w:type="spellEnd"/>
      <w:r w:rsidRPr="005A22F3">
        <w:t>.</w:t>
      </w:r>
    </w:p>
  </w:footnote>
  <w:footnote w:id="50">
    <w:p w:rsidR="00C954D9" w:rsidRPr="007E29A1" w:rsidRDefault="00C954D9" w:rsidP="001A0EBC">
      <w:pPr>
        <w:pStyle w:val="FootnoteText"/>
        <w:ind w:left="284" w:hanging="284"/>
        <w:jc w:val="left"/>
      </w:pPr>
      <w:r>
        <w:rPr>
          <w:rStyle w:val="FootnoteReference"/>
        </w:rPr>
        <w:footnoteRef/>
      </w:r>
      <w:r w:rsidRPr="007E29A1">
        <w:tab/>
      </w:r>
      <w:proofErr w:type="spellStart"/>
      <w:r>
        <w:t>Se</w:t>
      </w:r>
      <w:r w:rsidRPr="007E29A1">
        <w:t>lon</w:t>
      </w:r>
      <w:proofErr w:type="spellEnd"/>
      <w:r w:rsidRPr="007E29A1">
        <w:t xml:space="preserve"> </w:t>
      </w:r>
      <w:proofErr w:type="gramStart"/>
      <w:r w:rsidRPr="007E29A1">
        <w:t>un</w:t>
      </w:r>
      <w:proofErr w:type="gramEnd"/>
      <w:r w:rsidRPr="007E29A1">
        <w:t xml:space="preserve"> </w:t>
      </w:r>
      <w:proofErr w:type="spellStart"/>
      <w:r>
        <w:t>compte</w:t>
      </w:r>
      <w:proofErr w:type="spellEnd"/>
      <w:r>
        <w:t xml:space="preserve"> </w:t>
      </w:r>
      <w:proofErr w:type="spellStart"/>
      <w:r>
        <w:t>rendu</w:t>
      </w:r>
      <w:proofErr w:type="spellEnd"/>
      <w:r w:rsidRPr="007E29A1">
        <w:t xml:space="preserve"> de Chris Forrester </w:t>
      </w:r>
      <w:proofErr w:type="spellStart"/>
      <w:r w:rsidRPr="007E29A1">
        <w:t>publié</w:t>
      </w:r>
      <w:proofErr w:type="spellEnd"/>
      <w:r w:rsidRPr="007E29A1">
        <w:t xml:space="preserve"> </w:t>
      </w:r>
      <w:proofErr w:type="spellStart"/>
      <w:r w:rsidRPr="007E29A1">
        <w:t>sur</w:t>
      </w:r>
      <w:proofErr w:type="spellEnd"/>
      <w:r w:rsidRPr="007E29A1">
        <w:t xml:space="preserve"> le site advanced-television.com</w:t>
      </w:r>
      <w:r>
        <w:t>.</w:t>
      </w:r>
      <w:r w:rsidRPr="007E29A1">
        <w:t xml:space="preserve"> </w:t>
      </w:r>
      <w:r>
        <w:br/>
      </w:r>
      <w:r w:rsidRPr="007E29A1">
        <w:t>(</w:t>
      </w:r>
      <w:hyperlink r:id="rId10" w:history="1">
        <w:r w:rsidRPr="007E29A1">
          <w:rPr>
            <w:rStyle w:val="Hyperlink"/>
          </w:rPr>
          <w:t>http://advanced-television.com/2012/09/19/brazil-wants-better-customer-service-from-pay-tv/</w:t>
        </w:r>
      </w:hyperlink>
      <w:r>
        <w:t>)</w:t>
      </w:r>
    </w:p>
  </w:footnote>
  <w:footnote w:id="51">
    <w:p w:rsidR="00C954D9" w:rsidRPr="005E2971" w:rsidRDefault="00C954D9" w:rsidP="007652C5">
      <w:pPr>
        <w:pStyle w:val="FootnoteText"/>
        <w:ind w:left="284" w:hanging="284"/>
      </w:pPr>
      <w:r>
        <w:rPr>
          <w:rStyle w:val="FootnoteReference"/>
        </w:rPr>
        <w:footnoteRef/>
      </w:r>
      <w:r>
        <w:tab/>
        <w:t>Document RGQ18-2/1/16-E.</w:t>
      </w:r>
      <w:r w:rsidRPr="005E2971">
        <w:t xml:space="preserve"> </w:t>
      </w:r>
      <w:proofErr w:type="spellStart"/>
      <w:r w:rsidRPr="005E2971">
        <w:t>Lutte</w:t>
      </w:r>
      <w:proofErr w:type="spellEnd"/>
      <w:r w:rsidRPr="005E2971">
        <w:t xml:space="preserve"> </w:t>
      </w:r>
      <w:proofErr w:type="spellStart"/>
      <w:r w:rsidRPr="005E2971">
        <w:t>contre</w:t>
      </w:r>
      <w:proofErr w:type="spellEnd"/>
      <w:r w:rsidRPr="005E2971">
        <w:t xml:space="preserve"> la </w:t>
      </w:r>
      <w:proofErr w:type="spellStart"/>
      <w:r w:rsidRPr="005E2971">
        <w:t>criminalité</w:t>
      </w:r>
      <w:proofErr w:type="spellEnd"/>
      <w:r w:rsidRPr="005E2971">
        <w:t xml:space="preserve"> </w:t>
      </w:r>
      <w:proofErr w:type="spellStart"/>
      <w:r w:rsidRPr="005E2971">
        <w:t>liée</w:t>
      </w:r>
      <w:proofErr w:type="spellEnd"/>
      <w:r w:rsidRPr="005E2971">
        <w:t xml:space="preserve"> à</w:t>
      </w:r>
      <w:r>
        <w:t xml:space="preserve"> la </w:t>
      </w:r>
      <w:proofErr w:type="spellStart"/>
      <w:r>
        <w:t>téléphonie</w:t>
      </w:r>
      <w:proofErr w:type="spellEnd"/>
      <w:r>
        <w:t xml:space="preserve"> mobile au Burundi</w:t>
      </w:r>
      <w:r w:rsidRPr="005E2971">
        <w:t>:</w:t>
      </w:r>
      <w:r>
        <w:t xml:space="preserve"> Instructions aux </w:t>
      </w:r>
      <w:proofErr w:type="spellStart"/>
      <w:r>
        <w:t>opérateurs</w:t>
      </w:r>
      <w:proofErr w:type="spellEnd"/>
      <w:r>
        <w:t xml:space="preserve"> </w:t>
      </w:r>
      <w:proofErr w:type="gramStart"/>
      <w:r>
        <w:t>et</w:t>
      </w:r>
      <w:proofErr w:type="gramEnd"/>
      <w:r>
        <w:t xml:space="preserve"> obligations du </w:t>
      </w:r>
      <w:proofErr w:type="spellStart"/>
      <w:r>
        <w:t>régulateur</w:t>
      </w:r>
      <w:proofErr w:type="spellEnd"/>
      <w:r>
        <w:t xml:space="preserve"> (Burundi, 4 </w:t>
      </w:r>
      <w:proofErr w:type="spellStart"/>
      <w:r>
        <w:t>janvier</w:t>
      </w:r>
      <w:proofErr w:type="spellEnd"/>
      <w:r>
        <w:t xml:space="preserve"> 2012).</w:t>
      </w:r>
    </w:p>
  </w:footnote>
  <w:footnote w:id="52">
    <w:p w:rsidR="00C954D9" w:rsidRPr="005E2971" w:rsidRDefault="00C954D9" w:rsidP="007652C5">
      <w:pPr>
        <w:pStyle w:val="FootnoteText"/>
      </w:pPr>
      <w:r>
        <w:rPr>
          <w:rStyle w:val="FootnoteReference"/>
        </w:rPr>
        <w:footnoteRef/>
      </w:r>
      <w:r w:rsidRPr="005E2971">
        <w:t xml:space="preserve"> </w:t>
      </w:r>
      <w:r w:rsidRPr="005E2971">
        <w:tab/>
      </w:r>
      <w:proofErr w:type="spellStart"/>
      <w:proofErr w:type="gramStart"/>
      <w:r>
        <w:t>Loi</w:t>
      </w:r>
      <w:proofErr w:type="spellEnd"/>
      <w:r>
        <w:t xml:space="preserve"> de protection des </w:t>
      </w:r>
      <w:proofErr w:type="spellStart"/>
      <w:r>
        <w:t>données</w:t>
      </w:r>
      <w:proofErr w:type="spellEnd"/>
      <w:r>
        <w:t xml:space="preserve"> </w:t>
      </w:r>
      <w:proofErr w:type="spellStart"/>
      <w:r>
        <w:t>personnelles</w:t>
      </w:r>
      <w:proofErr w:type="spellEnd"/>
      <w:r w:rsidRPr="005E2971">
        <w:t xml:space="preserve"> (2000).</w:t>
      </w:r>
      <w:proofErr w:type="gramEnd"/>
    </w:p>
  </w:footnote>
  <w:footnote w:id="53">
    <w:p w:rsidR="00C954D9" w:rsidRPr="00D55912" w:rsidRDefault="00C954D9" w:rsidP="007652C5">
      <w:pPr>
        <w:pStyle w:val="FootnoteText"/>
        <w:rPr>
          <w:szCs w:val="16"/>
        </w:rPr>
      </w:pPr>
      <w:r>
        <w:rPr>
          <w:rStyle w:val="FootnoteReference"/>
        </w:rPr>
        <w:footnoteRef/>
      </w:r>
      <w:r w:rsidRPr="00D55912">
        <w:tab/>
      </w:r>
      <w:proofErr w:type="spellStart"/>
      <w:r w:rsidRPr="00D55912">
        <w:t>Règlement</w:t>
      </w:r>
      <w:proofErr w:type="spellEnd"/>
      <w:r w:rsidRPr="00D55912">
        <w:t xml:space="preserve"> de la </w:t>
      </w:r>
      <w:proofErr w:type="spellStart"/>
      <w:r w:rsidRPr="00D55912">
        <w:t>Loi</w:t>
      </w:r>
      <w:proofErr w:type="spellEnd"/>
      <w:r w:rsidRPr="00D55912">
        <w:t xml:space="preserve"> </w:t>
      </w:r>
      <w:proofErr w:type="spellStart"/>
      <w:r w:rsidRPr="00D55912">
        <w:t>fédérale</w:t>
      </w:r>
      <w:proofErr w:type="spellEnd"/>
      <w:r w:rsidRPr="00D55912">
        <w:t xml:space="preserve"> </w:t>
      </w:r>
      <w:proofErr w:type="spellStart"/>
      <w:r>
        <w:t>s</w:t>
      </w:r>
      <w:r w:rsidRPr="00D55912">
        <w:t>ur</w:t>
      </w:r>
      <w:proofErr w:type="spellEnd"/>
      <w:r w:rsidRPr="00D55912">
        <w:t xml:space="preserve"> la protection des </w:t>
      </w:r>
      <w:proofErr w:type="spellStart"/>
      <w:r w:rsidRPr="00D55912">
        <w:t>données</w:t>
      </w:r>
      <w:proofErr w:type="spellEnd"/>
      <w:r w:rsidRPr="00D55912">
        <w:t xml:space="preserve"> </w:t>
      </w:r>
      <w:proofErr w:type="spellStart"/>
      <w:r w:rsidRPr="00D55912">
        <w:t>personnelles</w:t>
      </w:r>
      <w:proofErr w:type="spellEnd"/>
      <w:r w:rsidRPr="00D55912">
        <w:t xml:space="preserve"> </w:t>
      </w:r>
      <w:proofErr w:type="spellStart"/>
      <w:r w:rsidRPr="00D55912">
        <w:t>détenues</w:t>
      </w:r>
      <w:proofErr w:type="spellEnd"/>
      <w:r w:rsidRPr="00D55912">
        <w:t xml:space="preserve"> par des </w:t>
      </w:r>
      <w:proofErr w:type="gramStart"/>
      <w:r w:rsidRPr="00D55912">
        <w:t>parties</w:t>
      </w:r>
      <w:proofErr w:type="gramEnd"/>
      <w:r w:rsidRPr="00D55912">
        <w:t xml:space="preserve"> </w:t>
      </w:r>
      <w:proofErr w:type="spellStart"/>
      <w:r w:rsidRPr="00D55912">
        <w:t>privé</w:t>
      </w:r>
      <w:r>
        <w:t>es</w:t>
      </w:r>
      <w:proofErr w:type="spellEnd"/>
      <w:r>
        <w:rPr>
          <w:sz w:val="20"/>
        </w:rPr>
        <w:t xml:space="preserve"> </w:t>
      </w:r>
      <w:r w:rsidRPr="00D55912">
        <w:rPr>
          <w:szCs w:val="16"/>
        </w:rPr>
        <w:t>(2011).</w:t>
      </w:r>
    </w:p>
  </w:footnote>
  <w:footnote w:id="54">
    <w:p w:rsidR="00C954D9" w:rsidRPr="00585EA7" w:rsidRDefault="00C954D9" w:rsidP="007652C5">
      <w:pPr>
        <w:pStyle w:val="FootnoteText"/>
        <w:ind w:left="284" w:hanging="284"/>
        <w:rPr>
          <w:lang w:val="en-GB"/>
        </w:rPr>
      </w:pPr>
      <w:r w:rsidRPr="00585EA7">
        <w:rPr>
          <w:rStyle w:val="FootnoteReference"/>
          <w:lang w:val="en-GB"/>
        </w:rPr>
        <w:footnoteRef/>
      </w:r>
      <w:r w:rsidRPr="00585EA7">
        <w:rPr>
          <w:lang w:val="en-GB"/>
        </w:rPr>
        <w:t xml:space="preserve"> </w:t>
      </w:r>
      <w:r w:rsidRPr="00585EA7">
        <w:rPr>
          <w:lang w:val="en-GB"/>
        </w:rPr>
        <w:tab/>
      </w:r>
      <w:proofErr w:type="gramStart"/>
      <w:r w:rsidRPr="00585EA7">
        <w:rPr>
          <w:lang w:val="en-GB"/>
        </w:rPr>
        <w:t>Protecting Consumer Privacy in an Era of Rapid Change: Recommendations for Businesses and Policymakers (FTC, 2012).</w:t>
      </w:r>
      <w:proofErr w:type="gramEnd"/>
    </w:p>
  </w:footnote>
  <w:footnote w:id="55">
    <w:p w:rsidR="00C954D9" w:rsidRPr="00796917" w:rsidRDefault="00C954D9" w:rsidP="002909C4">
      <w:pPr>
        <w:pStyle w:val="FootnoteText"/>
      </w:pPr>
      <w:r>
        <w:rPr>
          <w:rStyle w:val="FootnoteReference"/>
        </w:rPr>
        <w:footnoteRef/>
      </w:r>
      <w:r w:rsidRPr="00796917">
        <w:tab/>
      </w:r>
      <w:proofErr w:type="spellStart"/>
      <w:r w:rsidRPr="00796917">
        <w:t>Cité</w:t>
      </w:r>
      <w:proofErr w:type="spellEnd"/>
      <w:r w:rsidRPr="00796917">
        <w:t xml:space="preserve"> </w:t>
      </w:r>
      <w:proofErr w:type="spellStart"/>
      <w:r w:rsidRPr="00796917">
        <w:t>dans</w:t>
      </w:r>
      <w:proofErr w:type="spellEnd"/>
      <w:r w:rsidRPr="00796917">
        <w:t xml:space="preserve"> </w:t>
      </w:r>
      <w:proofErr w:type="spellStart"/>
      <w:r w:rsidRPr="00796917">
        <w:t>l</w:t>
      </w:r>
      <w:r>
        <w:t>'</w:t>
      </w:r>
      <w:r w:rsidRPr="00796917">
        <w:t>étude</w:t>
      </w:r>
      <w:proofErr w:type="spellEnd"/>
      <w:r w:rsidRPr="00796917">
        <w:t xml:space="preserve"> </w:t>
      </w:r>
      <w:r w:rsidRPr="00796917">
        <w:rPr>
          <w:rFonts w:cs="Calibri"/>
        </w:rPr>
        <w:t>"</w:t>
      </w:r>
      <w:proofErr w:type="spellStart"/>
      <w:r w:rsidRPr="001565B9">
        <w:rPr>
          <w:lang w:val="fr-CH"/>
        </w:rPr>
        <w:t>Regulatory</w:t>
      </w:r>
      <w:proofErr w:type="spellEnd"/>
      <w:r w:rsidRPr="001565B9">
        <w:rPr>
          <w:lang w:val="fr-CH"/>
        </w:rPr>
        <w:t xml:space="preserve"> Impact of Convergence and Broadband for the </w:t>
      </w:r>
      <w:proofErr w:type="spellStart"/>
      <w:r w:rsidRPr="001565B9">
        <w:rPr>
          <w:lang w:val="fr-CH"/>
        </w:rPr>
        <w:t>Americas</w:t>
      </w:r>
      <w:proofErr w:type="spellEnd"/>
      <w:r w:rsidRPr="00796917">
        <w:rPr>
          <w:rFonts w:cs="Calibri"/>
        </w:rPr>
        <w:t xml:space="preserve">", </w:t>
      </w:r>
      <w:proofErr w:type="spellStart"/>
      <w:r w:rsidRPr="00796917">
        <w:rPr>
          <w:rFonts w:cs="Calibri"/>
        </w:rPr>
        <w:t>menée</w:t>
      </w:r>
      <w:proofErr w:type="spellEnd"/>
      <w:r w:rsidRPr="00796917">
        <w:t xml:space="preserve"> en </w:t>
      </w:r>
      <w:proofErr w:type="spellStart"/>
      <w:r w:rsidRPr="00796917">
        <w:t>vue</w:t>
      </w:r>
      <w:proofErr w:type="spellEnd"/>
      <w:r w:rsidRPr="00796917">
        <w:t xml:space="preserve"> du </w:t>
      </w:r>
      <w:proofErr w:type="spellStart"/>
      <w:r w:rsidRPr="00796917">
        <w:t>Som</w:t>
      </w:r>
      <w:r>
        <w:t>met</w:t>
      </w:r>
      <w:proofErr w:type="spellEnd"/>
      <w:r>
        <w:t xml:space="preserve"> Connecter les </w:t>
      </w:r>
      <w:proofErr w:type="spellStart"/>
      <w:r>
        <w:t>Amériques</w:t>
      </w:r>
      <w:proofErr w:type="spellEnd"/>
      <w:r>
        <w:t xml:space="preserve"> (2012) </w:t>
      </w:r>
      <w:r w:rsidRPr="00796917">
        <w:t xml:space="preserve">par Janet Hernandez, </w:t>
      </w:r>
      <w:proofErr w:type="spellStart"/>
      <w:r w:rsidRPr="00796917">
        <w:t>l</w:t>
      </w:r>
      <w:r>
        <w:t>'</w:t>
      </w:r>
      <w:r w:rsidRPr="00796917">
        <w:t>experte</w:t>
      </w:r>
      <w:proofErr w:type="spellEnd"/>
      <w:r w:rsidRPr="00796917">
        <w:t xml:space="preserve"> de </w:t>
      </w:r>
      <w:proofErr w:type="spellStart"/>
      <w:r w:rsidRPr="00796917">
        <w:t>l</w:t>
      </w:r>
      <w:r>
        <w:t>'</w:t>
      </w:r>
      <w:r w:rsidRPr="00796917">
        <w:t>UIT</w:t>
      </w:r>
      <w:proofErr w:type="spellEnd"/>
      <w:r w:rsidRPr="00796917">
        <w:t>.</w:t>
      </w:r>
    </w:p>
  </w:footnote>
  <w:footnote w:id="56">
    <w:p w:rsidR="00C954D9" w:rsidRPr="00C47B12" w:rsidRDefault="00C954D9" w:rsidP="00943AEF">
      <w:pPr>
        <w:pStyle w:val="FootnoteText"/>
      </w:pPr>
      <w:r>
        <w:rPr>
          <w:rStyle w:val="FootnoteReference"/>
        </w:rPr>
        <w:footnoteRef/>
      </w:r>
      <w:r w:rsidRPr="00C47B12">
        <w:tab/>
      </w:r>
      <w:proofErr w:type="spellStart"/>
      <w:r w:rsidRPr="00C47B12">
        <w:t>L</w:t>
      </w:r>
      <w:r>
        <w:t>'</w:t>
      </w:r>
      <w:r w:rsidRPr="00C47B12">
        <w:t>un</w:t>
      </w:r>
      <w:proofErr w:type="spellEnd"/>
      <w:r w:rsidRPr="00C47B12">
        <w:t xml:space="preserve"> des </w:t>
      </w:r>
      <w:proofErr w:type="spellStart"/>
      <w:r w:rsidRPr="00C47B12">
        <w:t>objectifs</w:t>
      </w:r>
      <w:proofErr w:type="spellEnd"/>
      <w:r w:rsidRPr="00C47B12">
        <w:t xml:space="preserve"> pour 2015 de la Commission des Nations-</w:t>
      </w:r>
      <w:proofErr w:type="spellStart"/>
      <w:r w:rsidRPr="00C47B12">
        <w:t>Unies</w:t>
      </w:r>
      <w:proofErr w:type="spellEnd"/>
      <w:r w:rsidRPr="00C47B12">
        <w:t xml:space="preserve"> </w:t>
      </w:r>
      <w:proofErr w:type="spellStart"/>
      <w:r w:rsidRPr="00C47B12">
        <w:t>sur</w:t>
      </w:r>
      <w:proofErr w:type="spellEnd"/>
      <w:r w:rsidRPr="00C47B12">
        <w:t xml:space="preserve"> le large </w:t>
      </w:r>
      <w:proofErr w:type="spellStart"/>
      <w:r w:rsidRPr="00C47B12">
        <w:t>bande</w:t>
      </w:r>
      <w:proofErr w:type="spellEnd"/>
      <w:r w:rsidRPr="00C47B12">
        <w:t xml:space="preserve"> au service du </w:t>
      </w:r>
      <w:proofErr w:type="spellStart"/>
      <w:r w:rsidRPr="00C47B12">
        <w:t>développement</w:t>
      </w:r>
      <w:proofErr w:type="spellEnd"/>
      <w:r w:rsidRPr="00C47B12">
        <w:t xml:space="preserve"> </w:t>
      </w:r>
      <w:proofErr w:type="spellStart"/>
      <w:r w:rsidRPr="00C47B12">
        <w:t>numérique</w:t>
      </w:r>
      <w:proofErr w:type="spellEnd"/>
      <w:r w:rsidRPr="00C47B12">
        <w:t xml:space="preserve"> </w:t>
      </w:r>
      <w:proofErr w:type="spellStart"/>
      <w:r w:rsidRPr="00C47B12">
        <w:t>est</w:t>
      </w:r>
      <w:proofErr w:type="spellEnd"/>
      <w:r w:rsidRPr="00C47B12">
        <w:t xml:space="preserve"> de faire en </w:t>
      </w:r>
      <w:proofErr w:type="spellStart"/>
      <w:r w:rsidRPr="00C47B12">
        <w:t>sorte</w:t>
      </w:r>
      <w:proofErr w:type="spellEnd"/>
      <w:r w:rsidRPr="00C47B12">
        <w:t xml:space="preserve"> </w:t>
      </w:r>
      <w:proofErr w:type="spellStart"/>
      <w:r w:rsidRPr="00C47B12">
        <w:t>que</w:t>
      </w:r>
      <w:proofErr w:type="spellEnd"/>
      <w:r>
        <w:t xml:space="preserve"> les services à large </w:t>
      </w:r>
      <w:proofErr w:type="spellStart"/>
      <w:r>
        <w:t>bande</w:t>
      </w:r>
      <w:proofErr w:type="spellEnd"/>
      <w:r>
        <w:t xml:space="preserve"> </w:t>
      </w:r>
      <w:proofErr w:type="spellStart"/>
      <w:r>
        <w:t>d'entrée</w:t>
      </w:r>
      <w:proofErr w:type="spellEnd"/>
      <w:r>
        <w:t xml:space="preserve"> de </w:t>
      </w:r>
      <w:proofErr w:type="spellStart"/>
      <w:r>
        <w:t>gamme</w:t>
      </w:r>
      <w:proofErr w:type="spellEnd"/>
      <w:r>
        <w:t xml:space="preserve"> </w:t>
      </w:r>
      <w:proofErr w:type="spellStart"/>
      <w:r>
        <w:t>soient</w:t>
      </w:r>
      <w:proofErr w:type="spellEnd"/>
      <w:r>
        <w:t xml:space="preserve"> </w:t>
      </w:r>
      <w:proofErr w:type="spellStart"/>
      <w:r>
        <w:t>rendus</w:t>
      </w:r>
      <w:proofErr w:type="spellEnd"/>
      <w:r>
        <w:t xml:space="preserve"> </w:t>
      </w:r>
      <w:proofErr w:type="spellStart"/>
      <w:r>
        <w:t>financièrement</w:t>
      </w:r>
      <w:proofErr w:type="spellEnd"/>
      <w:r>
        <w:t xml:space="preserve"> </w:t>
      </w:r>
      <w:proofErr w:type="spellStart"/>
      <w:r>
        <w:t>abordables</w:t>
      </w:r>
      <w:proofErr w:type="spellEnd"/>
      <w:r>
        <w:t xml:space="preserve"> </w:t>
      </w:r>
      <w:proofErr w:type="spellStart"/>
      <w:r>
        <w:t>dans</w:t>
      </w:r>
      <w:proofErr w:type="spellEnd"/>
      <w:r>
        <w:t xml:space="preserve"> les pays en </w:t>
      </w:r>
      <w:proofErr w:type="spellStart"/>
      <w:r>
        <w:t>développement</w:t>
      </w:r>
      <w:proofErr w:type="spellEnd"/>
      <w:r>
        <w:t xml:space="preserve">, </w:t>
      </w:r>
      <w:proofErr w:type="spellStart"/>
      <w:r>
        <w:t>où</w:t>
      </w:r>
      <w:proofErr w:type="spellEnd"/>
      <w:r>
        <w:t xml:space="preserve"> </w:t>
      </w:r>
      <w:proofErr w:type="spellStart"/>
      <w:r>
        <w:t>ils</w:t>
      </w:r>
      <w:proofErr w:type="spellEnd"/>
      <w:r w:rsidRPr="00C47B12">
        <w:t xml:space="preserve"> </w:t>
      </w:r>
      <w:proofErr w:type="spellStart"/>
      <w:r>
        <w:t>devront</w:t>
      </w:r>
      <w:proofErr w:type="spellEnd"/>
      <w:r>
        <w:t xml:space="preserve"> </w:t>
      </w:r>
      <w:proofErr w:type="spellStart"/>
      <w:r>
        <w:t>représenter</w:t>
      </w:r>
      <w:proofErr w:type="spellEnd"/>
      <w:r>
        <w:t xml:space="preserve"> </w:t>
      </w:r>
      <w:proofErr w:type="spellStart"/>
      <w:r>
        <w:t>moins</w:t>
      </w:r>
      <w:proofErr w:type="spellEnd"/>
      <w:r>
        <w:t xml:space="preserve"> de 5% du GNI par habitant,</w:t>
      </w:r>
      <w:r w:rsidRPr="00C47B12">
        <w:t xml:space="preserve"> </w:t>
      </w:r>
      <w:proofErr w:type="spellStart"/>
      <w:r>
        <w:t>afin</w:t>
      </w:r>
      <w:proofErr w:type="spellEnd"/>
      <w:r>
        <w:t xml:space="preserve"> </w:t>
      </w:r>
      <w:proofErr w:type="spellStart"/>
      <w:r>
        <w:t>que</w:t>
      </w:r>
      <w:proofErr w:type="spellEnd"/>
      <w:r>
        <w:t xml:space="preserve"> </w:t>
      </w:r>
      <w:proofErr w:type="spellStart"/>
      <w:r>
        <w:t>leur</w:t>
      </w:r>
      <w:proofErr w:type="spellEnd"/>
      <w:r>
        <w:t xml:space="preserve"> population </w:t>
      </w:r>
      <w:proofErr w:type="spellStart"/>
      <w:r>
        <w:t>puisse</w:t>
      </w:r>
      <w:proofErr w:type="spellEnd"/>
      <w:r>
        <w:t xml:space="preserve"> </w:t>
      </w:r>
      <w:proofErr w:type="spellStart"/>
      <w:r>
        <w:t>participer</w:t>
      </w:r>
      <w:proofErr w:type="spellEnd"/>
      <w:r>
        <w:t xml:space="preserve"> </w:t>
      </w:r>
      <w:proofErr w:type="spellStart"/>
      <w:r>
        <w:t>pleinement</w:t>
      </w:r>
      <w:proofErr w:type="spellEnd"/>
      <w:r>
        <w:t xml:space="preserve"> à la </w:t>
      </w:r>
      <w:proofErr w:type="spellStart"/>
      <w:r>
        <w:t>société</w:t>
      </w:r>
      <w:proofErr w:type="spellEnd"/>
      <w:r>
        <w:t xml:space="preserve"> de la </w:t>
      </w:r>
      <w:proofErr w:type="spellStart"/>
      <w:r>
        <w:t>connaissance</w:t>
      </w:r>
      <w:proofErr w:type="spellEnd"/>
      <w:r>
        <w:t>.</w:t>
      </w:r>
    </w:p>
  </w:footnote>
  <w:footnote w:id="57">
    <w:p w:rsidR="00C954D9" w:rsidRPr="00907273" w:rsidRDefault="00C954D9" w:rsidP="00771A15">
      <w:pPr>
        <w:pStyle w:val="FootnoteText"/>
        <w:ind w:left="284" w:hanging="284"/>
      </w:pPr>
      <w:r>
        <w:rPr>
          <w:rStyle w:val="FootnoteReference"/>
        </w:rPr>
        <w:footnoteRef/>
      </w:r>
      <w:r w:rsidRPr="00907273">
        <w:tab/>
      </w:r>
      <w:proofErr w:type="spellStart"/>
      <w:r>
        <w:t>L'application</w:t>
      </w:r>
      <w:proofErr w:type="spellEnd"/>
      <w:r>
        <w:t xml:space="preserve"> de la Directive </w:t>
      </w:r>
      <w:proofErr w:type="spellStart"/>
      <w:r>
        <w:t>sur</w:t>
      </w:r>
      <w:proofErr w:type="spellEnd"/>
      <w:r>
        <w:t xml:space="preserve"> les services de </w:t>
      </w:r>
      <w:proofErr w:type="spellStart"/>
      <w:r>
        <w:t>médias</w:t>
      </w:r>
      <w:proofErr w:type="spellEnd"/>
      <w:r>
        <w:t xml:space="preserve"> </w:t>
      </w:r>
      <w:proofErr w:type="spellStart"/>
      <w:r>
        <w:t>audiovisuels</w:t>
      </w:r>
      <w:proofErr w:type="spellEnd"/>
      <w:r>
        <w:t xml:space="preserve"> (AVMSD) de </w:t>
      </w:r>
      <w:proofErr w:type="spellStart"/>
      <w:r>
        <w:t>l'Union</w:t>
      </w:r>
      <w:proofErr w:type="spellEnd"/>
      <w:r>
        <w:t xml:space="preserve"> </w:t>
      </w:r>
      <w:proofErr w:type="spellStart"/>
      <w:r>
        <w:t>européenne</w:t>
      </w:r>
      <w:proofErr w:type="spellEnd"/>
      <w:r>
        <w:t xml:space="preserve"> (2010/13/EU)</w:t>
      </w:r>
      <w:r w:rsidRPr="00907273">
        <w:t xml:space="preserve"> </w:t>
      </w:r>
      <w:proofErr w:type="spellStart"/>
      <w:r>
        <w:t>aurait</w:t>
      </w:r>
      <w:proofErr w:type="spellEnd"/>
      <w:r>
        <w:t xml:space="preserve"> </w:t>
      </w:r>
      <w:proofErr w:type="spellStart"/>
      <w:r>
        <w:t>favorisé</w:t>
      </w:r>
      <w:proofErr w:type="spellEnd"/>
      <w:r>
        <w:t xml:space="preserve"> le passage du</w:t>
      </w:r>
      <w:r w:rsidRPr="00907273">
        <w:t xml:space="preserve"> </w:t>
      </w:r>
      <w:proofErr w:type="spellStart"/>
      <w:r w:rsidRPr="00907273">
        <w:t>marché</w:t>
      </w:r>
      <w:proofErr w:type="spellEnd"/>
      <w:r w:rsidRPr="00907273">
        <w:t xml:space="preserve"> des services </w:t>
      </w:r>
      <w:proofErr w:type="spellStart"/>
      <w:r w:rsidRPr="00907273">
        <w:t>médias</w:t>
      </w:r>
      <w:proofErr w:type="spellEnd"/>
      <w:r w:rsidRPr="00907273">
        <w:t xml:space="preserve"> </w:t>
      </w:r>
      <w:r>
        <w:t>d'</w:t>
      </w:r>
      <w:r w:rsidRPr="00907273">
        <w:t xml:space="preserve">un petit </w:t>
      </w:r>
      <w:proofErr w:type="spellStart"/>
      <w:r w:rsidRPr="00907273">
        <w:t>nombre</w:t>
      </w:r>
      <w:proofErr w:type="spellEnd"/>
      <w:r w:rsidRPr="00907273">
        <w:t xml:space="preserve"> de </w:t>
      </w:r>
      <w:proofErr w:type="spellStart"/>
      <w:r w:rsidRPr="00907273">
        <w:t>fournisseurs</w:t>
      </w:r>
      <w:proofErr w:type="spellEnd"/>
      <w:r w:rsidRPr="00907273">
        <w:t xml:space="preserve"> de services à plus de 7 500 </w:t>
      </w:r>
      <w:proofErr w:type="spellStart"/>
      <w:r w:rsidRPr="00907273">
        <w:t>radiodiffuseurs</w:t>
      </w:r>
      <w:proofErr w:type="spellEnd"/>
      <w:r>
        <w:t xml:space="preserve">, </w:t>
      </w:r>
      <w:proofErr w:type="spellStart"/>
      <w:r>
        <w:t>ainsi</w:t>
      </w:r>
      <w:proofErr w:type="spellEnd"/>
      <w:r>
        <w:t xml:space="preserve"> </w:t>
      </w:r>
      <w:proofErr w:type="spellStart"/>
      <w:r>
        <w:t>que</w:t>
      </w:r>
      <w:proofErr w:type="spellEnd"/>
      <w:r>
        <w:t xml:space="preserve"> la </w:t>
      </w:r>
      <w:proofErr w:type="spellStart"/>
      <w:r>
        <w:t>croissance</w:t>
      </w:r>
      <w:proofErr w:type="spellEnd"/>
      <w:r>
        <w:t xml:space="preserve"> des services de </w:t>
      </w:r>
      <w:proofErr w:type="spellStart"/>
      <w:r>
        <w:t>vidéo</w:t>
      </w:r>
      <w:proofErr w:type="spellEnd"/>
      <w:r>
        <w:t xml:space="preserve"> à la </w:t>
      </w:r>
      <w:proofErr w:type="spellStart"/>
      <w:r>
        <w:t>demande</w:t>
      </w:r>
      <w:proofErr w:type="spellEnd"/>
      <w:r>
        <w:t>.</w:t>
      </w:r>
    </w:p>
  </w:footnote>
  <w:footnote w:id="58">
    <w:p w:rsidR="00C954D9" w:rsidRPr="000A0FEB" w:rsidRDefault="00C954D9" w:rsidP="00771A15">
      <w:pPr>
        <w:pStyle w:val="FootnoteText"/>
        <w:ind w:left="284" w:hanging="284"/>
      </w:pPr>
      <w:r>
        <w:rPr>
          <w:rStyle w:val="FootnoteReference"/>
        </w:rPr>
        <w:footnoteRef/>
      </w:r>
      <w:r w:rsidRPr="000A0FEB">
        <w:tab/>
      </w:r>
      <w:proofErr w:type="spellStart"/>
      <w:r w:rsidRPr="000A0FEB">
        <w:t>Voir</w:t>
      </w:r>
      <w:proofErr w:type="spellEnd"/>
      <w:r w:rsidRPr="000A0FEB">
        <w:t xml:space="preserve"> à </w:t>
      </w:r>
      <w:proofErr w:type="spellStart"/>
      <w:proofErr w:type="gramStart"/>
      <w:r w:rsidRPr="000A0FEB">
        <w:t>ce</w:t>
      </w:r>
      <w:proofErr w:type="spellEnd"/>
      <w:proofErr w:type="gramEnd"/>
      <w:r w:rsidRPr="000A0FEB">
        <w:t xml:space="preserve"> </w:t>
      </w:r>
      <w:proofErr w:type="spellStart"/>
      <w:r w:rsidRPr="000A0FEB">
        <w:t>sujet</w:t>
      </w:r>
      <w:proofErr w:type="spellEnd"/>
      <w:r w:rsidRPr="000A0FEB">
        <w:t xml:space="preserve"> la proposition de </w:t>
      </w:r>
      <w:proofErr w:type="spellStart"/>
      <w:r w:rsidRPr="000A0FEB">
        <w:t>l</w:t>
      </w:r>
      <w:r>
        <w:t>'</w:t>
      </w:r>
      <w:r w:rsidRPr="000A0FEB">
        <w:t>UE</w:t>
      </w:r>
      <w:proofErr w:type="spellEnd"/>
      <w:r w:rsidRPr="000A0FEB">
        <w:t xml:space="preserve"> </w:t>
      </w:r>
      <w:proofErr w:type="spellStart"/>
      <w:r w:rsidRPr="000A0FEB">
        <w:t>visant</w:t>
      </w:r>
      <w:proofErr w:type="spellEnd"/>
      <w:r w:rsidRPr="000A0FEB">
        <w:t xml:space="preserve"> à </w:t>
      </w:r>
      <w:proofErr w:type="spellStart"/>
      <w:r w:rsidRPr="000A0FEB">
        <w:t>abroger</w:t>
      </w:r>
      <w:proofErr w:type="spellEnd"/>
      <w:r w:rsidRPr="000A0FEB">
        <w:t xml:space="preserve"> </w:t>
      </w:r>
      <w:proofErr w:type="spellStart"/>
      <w:r w:rsidRPr="000A0FEB">
        <w:t>l</w:t>
      </w:r>
      <w:r>
        <w:t>'</w:t>
      </w:r>
      <w:r w:rsidRPr="000A0FEB">
        <w:t>actuelle</w:t>
      </w:r>
      <w:proofErr w:type="spellEnd"/>
      <w:r w:rsidRPr="000A0FEB">
        <w:t xml:space="preserve"> Directive </w:t>
      </w:r>
      <w:proofErr w:type="spellStart"/>
      <w:r w:rsidRPr="000A0FEB">
        <w:t>sur</w:t>
      </w:r>
      <w:proofErr w:type="spellEnd"/>
      <w:r w:rsidRPr="000A0FEB">
        <w:t xml:space="preserve"> les signatures </w:t>
      </w:r>
      <w:proofErr w:type="spellStart"/>
      <w:r w:rsidRPr="000A0FEB">
        <w:t>électroniques</w:t>
      </w:r>
      <w:proofErr w:type="spellEnd"/>
      <w:r w:rsidRPr="000A0FEB">
        <w:t xml:space="preserve"> et la </w:t>
      </w:r>
      <w:proofErr w:type="spellStart"/>
      <w:r w:rsidRPr="000A0FEB">
        <w:t>remplacer</w:t>
      </w:r>
      <w:proofErr w:type="spellEnd"/>
      <w:r w:rsidRPr="000A0FEB">
        <w:t xml:space="preserve"> par un cadre </w:t>
      </w:r>
      <w:proofErr w:type="spellStart"/>
      <w:r w:rsidRPr="000A0FEB">
        <w:t>général</w:t>
      </w:r>
      <w:proofErr w:type="spellEnd"/>
      <w:r>
        <w:t xml:space="preserve"> </w:t>
      </w:r>
      <w:proofErr w:type="spellStart"/>
      <w:r>
        <w:t>visant</w:t>
      </w:r>
      <w:proofErr w:type="spellEnd"/>
      <w:r>
        <w:t xml:space="preserve"> à </w:t>
      </w:r>
      <w:proofErr w:type="spellStart"/>
      <w:r>
        <w:t>permettre</w:t>
      </w:r>
      <w:proofErr w:type="spellEnd"/>
      <w:r>
        <w:t xml:space="preserve"> la reconnaissance et </w:t>
      </w:r>
      <w:proofErr w:type="spellStart"/>
      <w:r>
        <w:t>l'acceptation</w:t>
      </w:r>
      <w:proofErr w:type="spellEnd"/>
      <w:r>
        <w:t xml:space="preserve"> </w:t>
      </w:r>
      <w:proofErr w:type="spellStart"/>
      <w:r>
        <w:t>mutuelles</w:t>
      </w:r>
      <w:proofErr w:type="spellEnd"/>
      <w:r w:rsidRPr="000A0FEB">
        <w:t xml:space="preserve"> </w:t>
      </w:r>
      <w:r>
        <w:t xml:space="preserve">de </w:t>
      </w:r>
      <w:proofErr w:type="spellStart"/>
      <w:r>
        <w:t>l'identification</w:t>
      </w:r>
      <w:proofErr w:type="spellEnd"/>
      <w:r>
        <w:t xml:space="preserve"> </w:t>
      </w:r>
      <w:proofErr w:type="spellStart"/>
      <w:r>
        <w:t>électronique</w:t>
      </w:r>
      <w:proofErr w:type="spellEnd"/>
      <w:r w:rsidRPr="0018432E">
        <w:t xml:space="preserve">. </w:t>
      </w:r>
      <w:r w:rsidRPr="000A0FEB">
        <w:t xml:space="preserve">Document du </w:t>
      </w:r>
      <w:proofErr w:type="spellStart"/>
      <w:r w:rsidRPr="000A0FEB">
        <w:t>Conseil</w:t>
      </w:r>
      <w:proofErr w:type="spellEnd"/>
      <w:r>
        <w:t xml:space="preserve"> de </w:t>
      </w:r>
      <w:proofErr w:type="spellStart"/>
      <w:r>
        <w:t>l'Union</w:t>
      </w:r>
      <w:proofErr w:type="spellEnd"/>
      <w:r>
        <w:t xml:space="preserve"> </w:t>
      </w:r>
      <w:proofErr w:type="spellStart"/>
      <w:r>
        <w:t>européenne</w:t>
      </w:r>
      <w:proofErr w:type="spellEnd"/>
      <w:r w:rsidRPr="000A0FEB">
        <w:t xml:space="preserve"> 10977/12 </w:t>
      </w:r>
      <w:proofErr w:type="spellStart"/>
      <w:r>
        <w:rPr>
          <w:rFonts w:cs="Calibri"/>
        </w:rPr>
        <w:t>sur</w:t>
      </w:r>
      <w:proofErr w:type="spellEnd"/>
      <w:r>
        <w:rPr>
          <w:rFonts w:cs="Calibri"/>
        </w:rPr>
        <w:t xml:space="preserve"> </w:t>
      </w:r>
      <w:proofErr w:type="spellStart"/>
      <w:r>
        <w:rPr>
          <w:rFonts w:cs="Calibri"/>
        </w:rPr>
        <w:t>l'authentification</w:t>
      </w:r>
      <w:proofErr w:type="spellEnd"/>
      <w:r>
        <w:rPr>
          <w:rFonts w:cs="Calibri"/>
        </w:rPr>
        <w:t xml:space="preserve">, les signatures </w:t>
      </w:r>
      <w:proofErr w:type="gramStart"/>
      <w:r>
        <w:rPr>
          <w:rFonts w:cs="Calibri"/>
        </w:rPr>
        <w:t>et</w:t>
      </w:r>
      <w:proofErr w:type="gramEnd"/>
      <w:r>
        <w:rPr>
          <w:rFonts w:cs="Calibri"/>
        </w:rPr>
        <w:t xml:space="preserve"> les services de </w:t>
      </w:r>
      <w:proofErr w:type="spellStart"/>
      <w:r>
        <w:rPr>
          <w:rFonts w:cs="Calibri"/>
        </w:rPr>
        <w:t>confiance</w:t>
      </w:r>
      <w:proofErr w:type="spellEnd"/>
      <w:r>
        <w:rPr>
          <w:rFonts w:cs="Calibri"/>
        </w:rPr>
        <w:t xml:space="preserve"> </w:t>
      </w:r>
      <w:proofErr w:type="spellStart"/>
      <w:r>
        <w:rPr>
          <w:rFonts w:cs="Calibri"/>
        </w:rPr>
        <w:t>auxiliaires</w:t>
      </w:r>
      <w:proofErr w:type="spellEnd"/>
      <w:r>
        <w:rPr>
          <w:rFonts w:cs="Calibri"/>
        </w:rPr>
        <w:t xml:space="preserve"> </w:t>
      </w:r>
      <w:proofErr w:type="spellStart"/>
      <w:r>
        <w:rPr>
          <w:rFonts w:cs="Calibri"/>
        </w:rPr>
        <w:t>associés</w:t>
      </w:r>
      <w:proofErr w:type="spellEnd"/>
      <w:r w:rsidRPr="000A0FEB">
        <w:t>.</w:t>
      </w:r>
    </w:p>
  </w:footnote>
  <w:footnote w:id="59">
    <w:p w:rsidR="00C954D9" w:rsidRPr="004E1270" w:rsidRDefault="00C954D9" w:rsidP="00771A15">
      <w:pPr>
        <w:pStyle w:val="FootnoteText"/>
        <w:ind w:left="284" w:hanging="284"/>
      </w:pPr>
      <w:r>
        <w:rPr>
          <w:rStyle w:val="FootnoteReference"/>
        </w:rPr>
        <w:footnoteRef/>
      </w:r>
      <w:r w:rsidRPr="004E1270">
        <w:tab/>
        <w:t xml:space="preserve">Rapport de </w:t>
      </w:r>
      <w:proofErr w:type="spellStart"/>
      <w:r w:rsidRPr="004E1270">
        <w:t>l</w:t>
      </w:r>
      <w:r>
        <w:t>'</w:t>
      </w:r>
      <w:r w:rsidRPr="004E1270">
        <w:t>OCDE</w:t>
      </w:r>
      <w:proofErr w:type="spellEnd"/>
      <w:r w:rsidRPr="004E1270">
        <w:t xml:space="preserve"> </w:t>
      </w:r>
      <w:proofErr w:type="spellStart"/>
      <w:r w:rsidRPr="004E1270">
        <w:t>sur</w:t>
      </w:r>
      <w:proofErr w:type="spellEnd"/>
      <w:r w:rsidRPr="004E1270">
        <w:t xml:space="preserve"> la protection des </w:t>
      </w:r>
      <w:proofErr w:type="spellStart"/>
      <w:r w:rsidRPr="004E1270">
        <w:t>consommateurs</w:t>
      </w:r>
      <w:proofErr w:type="spellEnd"/>
      <w:r w:rsidRPr="004E1270">
        <w:t xml:space="preserve"> </w:t>
      </w:r>
      <w:proofErr w:type="spellStart"/>
      <w:r>
        <w:t>dans</w:t>
      </w:r>
      <w:proofErr w:type="spellEnd"/>
      <w:r>
        <w:t xml:space="preserve"> </w:t>
      </w:r>
      <w:r w:rsidRPr="004E1270">
        <w:t xml:space="preserve">les </w:t>
      </w:r>
      <w:proofErr w:type="spellStart"/>
      <w:r w:rsidRPr="004E1270">
        <w:t>paiements</w:t>
      </w:r>
      <w:proofErr w:type="spellEnd"/>
      <w:r w:rsidRPr="004E1270">
        <w:t xml:space="preserve"> </w:t>
      </w:r>
      <w:r>
        <w:t xml:space="preserve">en </w:t>
      </w:r>
      <w:proofErr w:type="spellStart"/>
      <w:r>
        <w:t>ligne</w:t>
      </w:r>
      <w:proofErr w:type="spellEnd"/>
      <w:r>
        <w:t xml:space="preserve"> et</w:t>
      </w:r>
      <w:r w:rsidRPr="004E1270">
        <w:t xml:space="preserve"> mobile</w:t>
      </w:r>
      <w:r>
        <w:t>s (17 </w:t>
      </w:r>
      <w:proofErr w:type="spellStart"/>
      <w:r>
        <w:t>août</w:t>
      </w:r>
      <w:proofErr w:type="spellEnd"/>
      <w:r>
        <w:t> 2012), DSTI/</w:t>
      </w:r>
      <w:proofErr w:type="gramStart"/>
      <w:r>
        <w:t>CP(</w:t>
      </w:r>
      <w:proofErr w:type="gramEnd"/>
      <w:r>
        <w:t>2010)22/FINAL.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D9" w:rsidRPr="00837668" w:rsidRDefault="00C954D9" w:rsidP="0083766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D9" w:rsidRPr="00256167" w:rsidRDefault="00C954D9" w:rsidP="00256167">
    <w:pPr>
      <w:pBdr>
        <w:bottom w:val="single" w:sz="12" w:space="1" w:color="E36C0A" w:themeColor="accent6" w:themeShade="BF"/>
      </w:pBdr>
      <w:jc w:val="center"/>
      <w:rPr>
        <w:rFonts w:asciiTheme="minorHAnsi" w:hAnsiTheme="minorHAnsi" w:cstheme="minorHAnsi"/>
        <w:i/>
        <w:iCs/>
        <w:lang w:val="en-US"/>
      </w:rPr>
    </w:pPr>
    <w:r>
      <w:rPr>
        <w:rFonts w:asciiTheme="minorHAnsi" w:hAnsiTheme="minorHAnsi" w:cstheme="minorHAnsi"/>
        <w:i/>
        <w:iCs/>
        <w:sz w:val="22"/>
        <w:lang w:val="en-US"/>
      </w:rPr>
      <w:t>Regulation Global Broadband Satellite Communications</w:t>
    </w:r>
  </w:p>
  <w:p w:rsidR="00C954D9" w:rsidRPr="000A55BE" w:rsidRDefault="00C954D9" w:rsidP="00D91533">
    <w:pPr>
      <w:rPr>
        <w:lang w:val="fr-CH"/>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D9" w:rsidRPr="00837668" w:rsidRDefault="00C954D9" w:rsidP="00837668">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D9" w:rsidRPr="002B58E6" w:rsidRDefault="002B58E6" w:rsidP="000D4D35">
    <w:pPr>
      <w:pBdr>
        <w:bottom w:val="single" w:sz="12" w:space="1" w:color="E36C0A" w:themeColor="accent6" w:themeShade="BF"/>
      </w:pBdr>
      <w:jc w:val="center"/>
      <w:rPr>
        <w:rFonts w:cs="Calibri"/>
        <w:i/>
        <w:iCs/>
        <w:lang w:val="en-US"/>
      </w:rPr>
    </w:pPr>
    <w:r w:rsidRPr="002B58E6">
      <w:rPr>
        <w:i/>
        <w:iCs/>
      </w:rPr>
      <w:t>Réglementation et protection des consommateurs à l'ère de la convergence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D9" w:rsidRPr="004E5215" w:rsidRDefault="002B58E6" w:rsidP="000D4D35">
    <w:pPr>
      <w:pStyle w:val="Header"/>
    </w:pPr>
    <w:r w:rsidRPr="00EE3E8D">
      <w:rPr>
        <w:lang w:val="fr-FR"/>
      </w:rPr>
      <w:t>R</w:t>
    </w:r>
    <w:r>
      <w:rPr>
        <w:lang w:val="fr-FR"/>
      </w:rPr>
      <w:t>é</w:t>
    </w:r>
    <w:r w:rsidRPr="00EE3E8D">
      <w:rPr>
        <w:lang w:val="fr-FR"/>
      </w:rPr>
      <w:t>glementation et protection des consommateurs à l'ère de la convergence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D9" w:rsidRDefault="002B58E6" w:rsidP="002B58E6">
    <w:pPr>
      <w:pStyle w:val="Header"/>
    </w:pPr>
    <w:r w:rsidRPr="00EE3E8D">
      <w:rPr>
        <w:lang w:val="fr-FR"/>
      </w:rPr>
      <w:t>R</w:t>
    </w:r>
    <w:r>
      <w:rPr>
        <w:lang w:val="fr-FR"/>
      </w:rPr>
      <w:t>é</w:t>
    </w:r>
    <w:r w:rsidRPr="00EE3E8D">
      <w:rPr>
        <w:lang w:val="fr-FR"/>
      </w:rPr>
      <w:t>glementation et protection des consommateurs à l'ère de la convergence</w:t>
    </w:r>
    <w:r w:rsidRPr="001B164B">
      <w:t xml:space="preserve"> </w:t>
    </w:r>
  </w:p>
  <w:p w:rsidR="00C954D9" w:rsidRPr="003F265B" w:rsidRDefault="00C954D9" w:rsidP="00837668">
    <w:pP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Word Work File L_1"/>
      </v:shape>
    </w:pict>
  </w:numPicBullet>
  <w:abstractNum w:abstractNumId="0">
    <w:nsid w:val="025348AF"/>
    <w:multiLevelType w:val="hybridMultilevel"/>
    <w:tmpl w:val="58EE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599C"/>
    <w:multiLevelType w:val="multilevel"/>
    <w:tmpl w:val="38A6C67E"/>
    <w:name w:val="structure3"/>
    <w:lvl w:ilvl="0">
      <w:start w:val="1"/>
      <w:numFmt w:val="none"/>
      <w:suff w:val="nothing"/>
      <w:lvlText w:val=""/>
      <w:lvlJc w:val="left"/>
      <w:pPr>
        <w:ind w:left="0" w:firstLine="0"/>
      </w:pPr>
      <w:rPr>
        <w:rFonts w:ascii="Helvetica" w:hAnsi="Helvetica" w:hint="default"/>
        <w:b/>
        <w:i w:val="0"/>
        <w:color w:val="auto"/>
        <w:sz w:val="32"/>
        <w:szCs w:val="32"/>
      </w:rPr>
    </w:lvl>
    <w:lvl w:ilvl="1">
      <w:start w:val="1"/>
      <w:numFmt w:val="none"/>
      <w:suff w:val="space"/>
      <w:lvlText w:val="&gt;"/>
      <w:lvlJc w:val="left"/>
      <w:pPr>
        <w:ind w:left="0" w:firstLine="0"/>
      </w:pPr>
      <w:rPr>
        <w:rFonts w:ascii="Helvetica" w:hAnsi="Helvetica" w:hint="default"/>
        <w:b/>
        <w:i w:val="0"/>
        <w:color w:val="3366CC"/>
        <w:sz w:val="24"/>
        <w:szCs w:val="24"/>
      </w:rPr>
    </w:lvl>
    <w:lvl w:ilvl="2">
      <w:start w:val="1"/>
      <w:numFmt w:val="decimal"/>
      <w:suff w:val="space"/>
      <w:lvlText w:val="%3"/>
      <w:lvlJc w:val="left"/>
      <w:pPr>
        <w:ind w:left="0" w:firstLine="0"/>
      </w:pPr>
      <w:rPr>
        <w:rFonts w:ascii="Helvetica" w:hAnsi="Helvetica" w:hint="default"/>
        <w:b/>
        <w:i w:val="0"/>
        <w:color w:val="003399"/>
        <w:sz w:val="24"/>
        <w:szCs w:val="24"/>
      </w:rPr>
    </w:lvl>
    <w:lvl w:ilvl="3">
      <w:start w:val="1"/>
      <w:numFmt w:val="decimal"/>
      <w:suff w:val="space"/>
      <w:lvlText w:val="%3.%4"/>
      <w:lvlJc w:val="left"/>
      <w:pPr>
        <w:ind w:left="0" w:firstLine="0"/>
      </w:pPr>
      <w:rPr>
        <w:rFonts w:ascii="Helvetica" w:hAnsi="Helvetica" w:hint="default"/>
        <w:b w:val="0"/>
        <w:i/>
        <w:sz w:val="24"/>
        <w:szCs w:val="24"/>
      </w:rPr>
    </w:lvl>
    <w:lvl w:ilvl="4">
      <w:start w:val="1"/>
      <w:numFmt w:val="decimal"/>
      <w:suff w:val="space"/>
      <w:lvlText w:val="%3.%4.%5"/>
      <w:lvlJc w:val="left"/>
      <w:pPr>
        <w:ind w:left="0" w:firstLine="0"/>
      </w:pPr>
      <w:rPr>
        <w:rFonts w:ascii="Helvetica" w:hAnsi="Helvetica" w:hint="default"/>
        <w:b w:val="0"/>
        <w:i w:val="0"/>
        <w:sz w:val="22"/>
        <w:szCs w:val="22"/>
      </w:rPr>
    </w:lvl>
    <w:lvl w:ilvl="5">
      <w:start w:val="1"/>
      <w:numFmt w:val="decimal"/>
      <w:suff w:val="space"/>
      <w:lvlText w:val="%3.%4.%5.%6"/>
      <w:lvlJc w:val="left"/>
      <w:pPr>
        <w:ind w:left="0" w:firstLine="0"/>
      </w:pPr>
      <w:rPr>
        <w:rFonts w:ascii="Helvetica-Narrow" w:hAnsi="Helvetica-Narrow" w:hint="default"/>
        <w:b w:val="0"/>
        <w:i/>
        <w:color w:val="auto"/>
        <w:sz w:val="22"/>
        <w:szCs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8280A3B"/>
    <w:multiLevelType w:val="multilevel"/>
    <w:tmpl w:val="0809001D"/>
    <w:name w:val="RD_Hierarchie_Titr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AC671F9"/>
    <w:multiLevelType w:val="hybridMultilevel"/>
    <w:tmpl w:val="751E67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47B62"/>
    <w:multiLevelType w:val="hybridMultilevel"/>
    <w:tmpl w:val="4DB46312"/>
    <w:lvl w:ilvl="0" w:tplc="A8A2032E">
      <w:start w:val="1"/>
      <w:numFmt w:val="bullet"/>
      <w:lvlText w:val="−"/>
      <w:lvlJc w:val="left"/>
      <w:pPr>
        <w:ind w:left="1574" w:hanging="360"/>
      </w:pPr>
      <w:rPr>
        <w:rFonts w:ascii="Arial" w:eastAsiaTheme="minorEastAsia" w:hAnsi="Arial" w:cs="Aria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5">
    <w:nsid w:val="1B6068E3"/>
    <w:multiLevelType w:val="hybridMultilevel"/>
    <w:tmpl w:val="3754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846BF4"/>
    <w:multiLevelType w:val="multilevel"/>
    <w:tmpl w:val="8FD0B78C"/>
    <w:lvl w:ilvl="0">
      <w:start w:val="1"/>
      <w:numFmt w:val="decimal"/>
      <w:lvlText w:val="%1"/>
      <w:lvlJc w:val="left"/>
      <w:pPr>
        <w:ind w:left="555" w:hanging="555"/>
      </w:pPr>
      <w:rPr>
        <w:rFonts w:ascii="Calibri" w:hAnsi="Calibri" w:cs="Arial" w:hint="default"/>
        <w:color w:val="0000FF"/>
        <w:sz w:val="21"/>
        <w:u w:val="single"/>
      </w:rPr>
    </w:lvl>
    <w:lvl w:ilvl="1">
      <w:start w:val="1"/>
      <w:numFmt w:val="decimal"/>
      <w:lvlText w:val="%1.%2"/>
      <w:lvlJc w:val="left"/>
      <w:pPr>
        <w:ind w:left="1122" w:hanging="555"/>
      </w:pPr>
      <w:rPr>
        <w:rFonts w:ascii="Calibri" w:hAnsi="Calibri" w:cs="Arial" w:hint="default"/>
        <w:color w:val="0000FF"/>
        <w:sz w:val="21"/>
        <w:u w:val="single"/>
      </w:rPr>
    </w:lvl>
    <w:lvl w:ilvl="2">
      <w:start w:val="1"/>
      <w:numFmt w:val="decimal"/>
      <w:lvlText w:val="%1.%2.%3"/>
      <w:lvlJc w:val="left"/>
      <w:pPr>
        <w:ind w:left="1854" w:hanging="720"/>
      </w:pPr>
      <w:rPr>
        <w:rFonts w:ascii="Calibri" w:hAnsi="Calibri" w:cs="Arial" w:hint="default"/>
        <w:color w:val="0000FF"/>
        <w:sz w:val="21"/>
        <w:u w:val="single"/>
      </w:rPr>
    </w:lvl>
    <w:lvl w:ilvl="3">
      <w:start w:val="1"/>
      <w:numFmt w:val="decimal"/>
      <w:lvlText w:val="%1.%2.%3.%4"/>
      <w:lvlJc w:val="left"/>
      <w:pPr>
        <w:ind w:left="2421" w:hanging="720"/>
      </w:pPr>
      <w:rPr>
        <w:rFonts w:ascii="Calibri" w:hAnsi="Calibri" w:cs="Arial" w:hint="default"/>
        <w:color w:val="0000FF"/>
        <w:sz w:val="21"/>
        <w:u w:val="single"/>
      </w:rPr>
    </w:lvl>
    <w:lvl w:ilvl="4">
      <w:start w:val="1"/>
      <w:numFmt w:val="decimal"/>
      <w:lvlText w:val="%1.%2.%3.%4.%5"/>
      <w:lvlJc w:val="left"/>
      <w:pPr>
        <w:ind w:left="3348" w:hanging="1080"/>
      </w:pPr>
      <w:rPr>
        <w:rFonts w:ascii="Calibri" w:hAnsi="Calibri" w:cs="Arial" w:hint="default"/>
        <w:color w:val="0000FF"/>
        <w:sz w:val="21"/>
        <w:u w:val="single"/>
      </w:rPr>
    </w:lvl>
    <w:lvl w:ilvl="5">
      <w:start w:val="1"/>
      <w:numFmt w:val="decimal"/>
      <w:lvlText w:val="%1.%2.%3.%4.%5.%6"/>
      <w:lvlJc w:val="left"/>
      <w:pPr>
        <w:ind w:left="3915" w:hanging="1080"/>
      </w:pPr>
      <w:rPr>
        <w:rFonts w:ascii="Calibri" w:hAnsi="Calibri" w:cs="Arial" w:hint="default"/>
        <w:color w:val="0000FF"/>
        <w:sz w:val="21"/>
        <w:u w:val="single"/>
      </w:rPr>
    </w:lvl>
    <w:lvl w:ilvl="6">
      <w:start w:val="1"/>
      <w:numFmt w:val="decimal"/>
      <w:lvlText w:val="%1.%2.%3.%4.%5.%6.%7"/>
      <w:lvlJc w:val="left"/>
      <w:pPr>
        <w:ind w:left="4842" w:hanging="1440"/>
      </w:pPr>
      <w:rPr>
        <w:rFonts w:ascii="Calibri" w:hAnsi="Calibri" w:cs="Arial" w:hint="default"/>
        <w:color w:val="0000FF"/>
        <w:sz w:val="21"/>
        <w:u w:val="single"/>
      </w:rPr>
    </w:lvl>
    <w:lvl w:ilvl="7">
      <w:start w:val="1"/>
      <w:numFmt w:val="decimal"/>
      <w:lvlText w:val="%1.%2.%3.%4.%5.%6.%7.%8"/>
      <w:lvlJc w:val="left"/>
      <w:pPr>
        <w:ind w:left="5409" w:hanging="1440"/>
      </w:pPr>
      <w:rPr>
        <w:rFonts w:ascii="Calibri" w:hAnsi="Calibri" w:cs="Arial" w:hint="default"/>
        <w:color w:val="0000FF"/>
        <w:sz w:val="21"/>
        <w:u w:val="single"/>
      </w:rPr>
    </w:lvl>
    <w:lvl w:ilvl="8">
      <w:start w:val="1"/>
      <w:numFmt w:val="decimal"/>
      <w:lvlText w:val="%1.%2.%3.%4.%5.%6.%7.%8.%9"/>
      <w:lvlJc w:val="left"/>
      <w:pPr>
        <w:ind w:left="5976" w:hanging="1440"/>
      </w:pPr>
      <w:rPr>
        <w:rFonts w:ascii="Calibri" w:hAnsi="Calibri" w:cs="Arial" w:hint="default"/>
        <w:color w:val="0000FF"/>
        <w:sz w:val="21"/>
        <w:u w:val="single"/>
      </w:rPr>
    </w:lvl>
  </w:abstractNum>
  <w:abstractNum w:abstractNumId="7">
    <w:nsid w:val="26677578"/>
    <w:multiLevelType w:val="multilevel"/>
    <w:tmpl w:val="040C001D"/>
    <w:name w:val="structure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501160B"/>
    <w:multiLevelType w:val="multilevel"/>
    <w:tmpl w:val="9BDCEE40"/>
    <w:name w:val="structure"/>
    <w:lvl w:ilvl="0">
      <w:start w:val="1"/>
      <w:numFmt w:val="none"/>
      <w:suff w:val="nothing"/>
      <w:lvlText w:val=""/>
      <w:lvlJc w:val="left"/>
      <w:pPr>
        <w:ind w:left="0" w:firstLine="0"/>
      </w:pPr>
      <w:rPr>
        <w:rFonts w:ascii="Helvetica" w:hAnsi="Helvetica" w:hint="default"/>
        <w:b/>
        <w:i w:val="0"/>
        <w:color w:val="auto"/>
        <w:sz w:val="32"/>
        <w:szCs w:val="32"/>
      </w:rPr>
    </w:lvl>
    <w:lvl w:ilvl="1">
      <w:start w:val="1"/>
      <w:numFmt w:val="none"/>
      <w:suff w:val="space"/>
      <w:lvlText w:val="&gt;"/>
      <w:lvlJc w:val="left"/>
      <w:pPr>
        <w:ind w:left="2694" w:firstLine="0"/>
      </w:pPr>
      <w:rPr>
        <w:rFonts w:ascii="Helvetica" w:hAnsi="Helvetica" w:hint="default"/>
        <w:b/>
        <w:i w:val="0"/>
        <w:color w:val="003399"/>
        <w:sz w:val="24"/>
        <w:szCs w:val="24"/>
      </w:rPr>
    </w:lvl>
    <w:lvl w:ilvl="2">
      <w:start w:val="1"/>
      <w:numFmt w:val="decimal"/>
      <w:suff w:val="space"/>
      <w:lvlText w:val="%3"/>
      <w:lvlJc w:val="left"/>
      <w:pPr>
        <w:ind w:left="0" w:firstLine="0"/>
      </w:pPr>
      <w:rPr>
        <w:rFonts w:ascii="Helvetica" w:hAnsi="Helvetica" w:hint="default"/>
        <w:b/>
        <w:i w:val="0"/>
        <w:color w:val="003399"/>
        <w:sz w:val="24"/>
        <w:szCs w:val="24"/>
      </w:rPr>
    </w:lvl>
    <w:lvl w:ilvl="3">
      <w:start w:val="1"/>
      <w:numFmt w:val="decimal"/>
      <w:suff w:val="space"/>
      <w:lvlText w:val="%3.%4"/>
      <w:lvlJc w:val="left"/>
      <w:pPr>
        <w:ind w:left="0" w:firstLine="0"/>
      </w:pPr>
      <w:rPr>
        <w:rFonts w:ascii="Helvetica" w:hAnsi="Helvetica" w:hint="default"/>
        <w:b w:val="0"/>
        <w:i/>
        <w:sz w:val="24"/>
        <w:szCs w:val="24"/>
      </w:rPr>
    </w:lvl>
    <w:lvl w:ilvl="4">
      <w:start w:val="1"/>
      <w:numFmt w:val="decimal"/>
      <w:suff w:val="space"/>
      <w:lvlText w:val="%3.%4.%5"/>
      <w:lvlJc w:val="left"/>
      <w:pPr>
        <w:ind w:left="4679" w:firstLine="0"/>
      </w:pPr>
      <w:rPr>
        <w:rFonts w:ascii="Helvetica" w:hAnsi="Helvetica" w:hint="default"/>
        <w:b w:val="0"/>
        <w:i w:val="0"/>
        <w:sz w:val="22"/>
        <w:szCs w:val="22"/>
      </w:rPr>
    </w:lvl>
    <w:lvl w:ilvl="5">
      <w:start w:val="1"/>
      <w:numFmt w:val="decimal"/>
      <w:suff w:val="space"/>
      <w:lvlText w:val="%3.%4.%5.%6"/>
      <w:lvlJc w:val="left"/>
      <w:pPr>
        <w:ind w:left="0" w:firstLine="0"/>
      </w:pPr>
      <w:rPr>
        <w:rFonts w:ascii="Helvetica-Narrow" w:hAnsi="Helvetica-Narrow" w:hint="default"/>
        <w:b w:val="0"/>
        <w:i/>
        <w:color w:val="auto"/>
        <w:sz w:val="22"/>
        <w:szCs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355A70D3"/>
    <w:multiLevelType w:val="multilevel"/>
    <w:tmpl w:val="3B080C46"/>
    <w:name w:val="structure4"/>
    <w:lvl w:ilvl="0">
      <w:start w:val="1"/>
      <w:numFmt w:val="none"/>
      <w:suff w:val="nothing"/>
      <w:lvlText w:val=""/>
      <w:lvlJc w:val="left"/>
      <w:pPr>
        <w:ind w:left="0" w:firstLine="0"/>
      </w:pPr>
      <w:rPr>
        <w:rFonts w:ascii="Helvetica" w:hAnsi="Helvetica" w:hint="default"/>
        <w:b/>
        <w:i w:val="0"/>
        <w:color w:val="auto"/>
        <w:sz w:val="32"/>
        <w:szCs w:val="32"/>
      </w:rPr>
    </w:lvl>
    <w:lvl w:ilvl="1">
      <w:start w:val="1"/>
      <w:numFmt w:val="none"/>
      <w:suff w:val="space"/>
      <w:lvlText w:val="&gt;"/>
      <w:lvlJc w:val="left"/>
      <w:pPr>
        <w:ind w:left="0" w:firstLine="0"/>
      </w:pPr>
      <w:rPr>
        <w:rFonts w:ascii="Helvetica" w:hAnsi="Helvetica" w:hint="default"/>
        <w:b/>
        <w:i w:val="0"/>
        <w:color w:val="3366CC"/>
        <w:sz w:val="24"/>
        <w:szCs w:val="24"/>
      </w:rPr>
    </w:lvl>
    <w:lvl w:ilvl="2">
      <w:start w:val="1"/>
      <w:numFmt w:val="decimal"/>
      <w:suff w:val="space"/>
      <w:lvlText w:val="%3"/>
      <w:lvlJc w:val="left"/>
      <w:pPr>
        <w:ind w:left="0" w:firstLine="0"/>
      </w:pPr>
      <w:rPr>
        <w:rFonts w:ascii="Helvetica" w:hAnsi="Helvetica" w:hint="default"/>
        <w:b/>
        <w:i w:val="0"/>
        <w:color w:val="003399"/>
        <w:sz w:val="24"/>
        <w:szCs w:val="24"/>
      </w:rPr>
    </w:lvl>
    <w:lvl w:ilvl="3">
      <w:start w:val="1"/>
      <w:numFmt w:val="decimal"/>
      <w:suff w:val="space"/>
      <w:lvlText w:val="%3.%4"/>
      <w:lvlJc w:val="left"/>
      <w:pPr>
        <w:ind w:left="0" w:firstLine="0"/>
      </w:pPr>
      <w:rPr>
        <w:rFonts w:ascii="Helvetica" w:hAnsi="Helvetica" w:hint="default"/>
        <w:b w:val="0"/>
        <w:i/>
        <w:sz w:val="24"/>
        <w:szCs w:val="24"/>
      </w:rPr>
    </w:lvl>
    <w:lvl w:ilvl="4">
      <w:start w:val="1"/>
      <w:numFmt w:val="decimal"/>
      <w:suff w:val="space"/>
      <w:lvlText w:val="%3.%4.%5"/>
      <w:lvlJc w:val="left"/>
      <w:pPr>
        <w:ind w:left="0" w:firstLine="0"/>
      </w:pPr>
      <w:rPr>
        <w:rFonts w:ascii="Helvetica" w:hAnsi="Helvetica" w:hint="default"/>
        <w:b w:val="0"/>
        <w:i w:val="0"/>
        <w:sz w:val="22"/>
        <w:szCs w:val="22"/>
      </w:rPr>
    </w:lvl>
    <w:lvl w:ilvl="5">
      <w:start w:val="1"/>
      <w:numFmt w:val="decimal"/>
      <w:suff w:val="space"/>
      <w:lvlText w:val="%3.%4.%5.%6"/>
      <w:lvlJc w:val="left"/>
      <w:pPr>
        <w:ind w:left="0" w:firstLine="0"/>
      </w:pPr>
      <w:rPr>
        <w:rFonts w:ascii="Helvetica-Narrow" w:hAnsi="Helvetica-Narrow" w:hint="default"/>
        <w:b w:val="0"/>
        <w:i/>
        <w:color w:val="auto"/>
        <w:sz w:val="22"/>
        <w:szCs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3ACC7402"/>
    <w:multiLevelType w:val="multilevel"/>
    <w:tmpl w:val="8A3A45FA"/>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EB577B9"/>
    <w:multiLevelType w:val="hybridMultilevel"/>
    <w:tmpl w:val="FE2C9CD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nsid w:val="4FA77DDE"/>
    <w:multiLevelType w:val="hybridMultilevel"/>
    <w:tmpl w:val="2458A41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nsid w:val="51BF547B"/>
    <w:multiLevelType w:val="hybridMultilevel"/>
    <w:tmpl w:val="60EC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D5EE2"/>
    <w:multiLevelType w:val="hybridMultilevel"/>
    <w:tmpl w:val="B1B0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5C6095"/>
    <w:multiLevelType w:val="hybridMultilevel"/>
    <w:tmpl w:val="1CCC2A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C00187"/>
    <w:multiLevelType w:val="hybridMultilevel"/>
    <w:tmpl w:val="6DDE51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nsid w:val="6F432276"/>
    <w:multiLevelType w:val="multilevel"/>
    <w:tmpl w:val="1C66F352"/>
    <w:name w:val="RD_Tiles_Hierarchy"/>
    <w:styleLink w:val="HIPTitlesHierarchy"/>
    <w:lvl w:ilvl="0">
      <w:start w:val="1"/>
      <w:numFmt w:val="none"/>
      <w:suff w:val="nothing"/>
      <w:lvlText w:val=""/>
      <w:lvlJc w:val="left"/>
      <w:pPr>
        <w:ind w:left="0" w:firstLine="0"/>
      </w:pPr>
      <w:rPr>
        <w:rFonts w:ascii="Helvetica" w:hAnsi="Helvetica" w:hint="default"/>
        <w:b/>
        <w:i w:val="0"/>
        <w:color w:val="auto"/>
        <w:sz w:val="32"/>
        <w:szCs w:val="32"/>
      </w:rPr>
    </w:lvl>
    <w:lvl w:ilvl="1">
      <w:start w:val="1"/>
      <w:numFmt w:val="none"/>
      <w:suff w:val="space"/>
      <w:lvlText w:val="&gt;"/>
      <w:lvlJc w:val="left"/>
      <w:pPr>
        <w:ind w:left="0" w:firstLine="0"/>
      </w:pPr>
      <w:rPr>
        <w:rFonts w:ascii="Helvetica" w:hAnsi="Helvetica" w:hint="default"/>
        <w:b/>
        <w:i w:val="0"/>
        <w:color w:val="008000"/>
        <w:sz w:val="24"/>
        <w:szCs w:val="24"/>
      </w:rPr>
    </w:lvl>
    <w:lvl w:ilvl="2">
      <w:start w:val="1"/>
      <w:numFmt w:val="decimal"/>
      <w:suff w:val="space"/>
      <w:lvlText w:val="%3"/>
      <w:lvlJc w:val="left"/>
      <w:pPr>
        <w:ind w:left="0" w:firstLine="0"/>
      </w:pPr>
      <w:rPr>
        <w:rFonts w:ascii="Helvetica" w:hAnsi="Helvetica" w:hint="default"/>
        <w:b/>
        <w:i w:val="0"/>
        <w:color w:val="008000"/>
        <w:sz w:val="24"/>
        <w:szCs w:val="24"/>
      </w:rPr>
    </w:lvl>
    <w:lvl w:ilvl="3">
      <w:start w:val="1"/>
      <w:numFmt w:val="decimal"/>
      <w:suff w:val="space"/>
      <w:lvlText w:val="%3.%4"/>
      <w:lvlJc w:val="left"/>
      <w:pPr>
        <w:ind w:left="0" w:firstLine="0"/>
      </w:pPr>
      <w:rPr>
        <w:rFonts w:ascii="Helvetica" w:hAnsi="Helvetica" w:hint="default"/>
        <w:b w:val="0"/>
        <w:i/>
        <w:sz w:val="24"/>
        <w:szCs w:val="24"/>
      </w:rPr>
    </w:lvl>
    <w:lvl w:ilvl="4">
      <w:start w:val="1"/>
      <w:numFmt w:val="decimal"/>
      <w:suff w:val="space"/>
      <w:lvlText w:val="%3.%4.%5"/>
      <w:lvlJc w:val="left"/>
      <w:pPr>
        <w:ind w:left="0" w:firstLine="0"/>
      </w:pPr>
      <w:rPr>
        <w:rFonts w:ascii="Helvetica" w:hAnsi="Helvetica" w:hint="default"/>
        <w:b w:val="0"/>
        <w:i w:val="0"/>
        <w:color w:val="008000"/>
        <w:sz w:val="22"/>
        <w:szCs w:val="22"/>
      </w:rPr>
    </w:lvl>
    <w:lvl w:ilvl="5">
      <w:start w:val="1"/>
      <w:numFmt w:val="decimal"/>
      <w:suff w:val="space"/>
      <w:lvlText w:val="%3.%4.%5.%6"/>
      <w:lvlJc w:val="left"/>
      <w:pPr>
        <w:ind w:left="0" w:firstLine="0"/>
      </w:pPr>
      <w:rPr>
        <w:rFonts w:ascii="Helvetica" w:hAnsi="Helvetica" w:hint="default"/>
        <w:b w:val="0"/>
        <w:i/>
        <w:color w:val="auto"/>
        <w:sz w:val="22"/>
        <w:szCs w:val="22"/>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7BFD764C"/>
    <w:multiLevelType w:val="multilevel"/>
    <w:tmpl w:val="A59828A6"/>
    <w:name w:val="structure2"/>
    <w:styleLink w:val="HIPBulletsHierarchy"/>
    <w:lvl w:ilvl="0">
      <w:start w:val="1"/>
      <w:numFmt w:val="bullet"/>
      <w:suff w:val="space"/>
      <w:lvlText w:val=""/>
      <w:lvlJc w:val="left"/>
      <w:pPr>
        <w:ind w:left="360" w:hanging="360"/>
      </w:pPr>
      <w:rPr>
        <w:rFonts w:ascii="Symbol" w:hAnsi="Symbol" w:hint="default"/>
        <w:b/>
        <w:color w:val="008000"/>
        <w:sz w:val="22"/>
        <w:szCs w:val="22"/>
      </w:rPr>
    </w:lvl>
    <w:lvl w:ilvl="1">
      <w:start w:val="1"/>
      <w:numFmt w:val="bullet"/>
      <w:suff w:val="space"/>
      <w:lvlText w:val=""/>
      <w:lvlJc w:val="left"/>
      <w:pPr>
        <w:ind w:left="720" w:hanging="360"/>
      </w:pPr>
      <w:rPr>
        <w:rFonts w:ascii="Symbol" w:hAnsi="Symbol" w:hint="default"/>
        <w:b w:val="0"/>
        <w:i w:val="0"/>
        <w:color w:val="auto"/>
        <w:sz w:val="22"/>
      </w:rPr>
    </w:lvl>
    <w:lvl w:ilvl="2">
      <w:start w:val="1"/>
      <w:numFmt w:val="bullet"/>
      <w:suff w:val="nothing"/>
      <w:lvlText w:val="−"/>
      <w:lvlJc w:val="left"/>
      <w:pPr>
        <w:ind w:left="1080" w:hanging="360"/>
      </w:pPr>
      <w:rPr>
        <w:rFonts w:ascii="Helvetica" w:hAnsi="Helvetica" w:cs="Times New Roman" w:hint="default"/>
        <w:b/>
        <w:i w:val="0"/>
        <w:sz w:val="22"/>
        <w:szCs w:val="22"/>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7"/>
    <w:lvlOverride w:ilvl="0">
      <w:lvl w:ilvl="0">
        <w:numFmt w:val="decimal"/>
        <w:lvlText w:val=""/>
        <w:lvlJc w:val="left"/>
      </w:lvl>
    </w:lvlOverride>
    <w:lvlOverride w:ilvl="1">
      <w:lvl w:ilvl="1">
        <w:start w:val="1"/>
        <w:numFmt w:val="none"/>
        <w:suff w:val="space"/>
        <w:lvlText w:val="&gt;"/>
        <w:lvlJc w:val="left"/>
        <w:pPr>
          <w:ind w:left="0" w:firstLine="0"/>
        </w:pPr>
        <w:rPr>
          <w:rFonts w:ascii="Zurich UBlkEx BT" w:hAnsi="Zurich UBlkEx BT" w:hint="default"/>
          <w:b/>
          <w:i w:val="0"/>
          <w:color w:val="E36C0A" w:themeColor="accent6" w:themeShade="BF"/>
          <w:sz w:val="20"/>
          <w:szCs w:val="20"/>
        </w:rPr>
      </w:lvl>
    </w:lvlOverride>
    <w:lvlOverride w:ilvl="2">
      <w:lvl w:ilvl="2">
        <w:start w:val="1"/>
        <w:numFmt w:val="decimal"/>
        <w:suff w:val="space"/>
        <w:lvlText w:val="%3"/>
        <w:lvlJc w:val="left"/>
        <w:pPr>
          <w:ind w:left="0" w:firstLine="0"/>
        </w:pPr>
        <w:rPr>
          <w:rFonts w:ascii="Zurich UBlkEx BT" w:hAnsi="Zurich UBlkEx BT" w:hint="default"/>
          <w:b w:val="0"/>
          <w:bCs w:val="0"/>
          <w:i w:val="0"/>
          <w:color w:val="00589F"/>
          <w:sz w:val="20"/>
          <w:szCs w:val="20"/>
        </w:rPr>
      </w:lvl>
    </w:lvlOverride>
    <w:lvlOverride w:ilvl="3">
      <w:lvl w:ilvl="3">
        <w:start w:val="1"/>
        <w:numFmt w:val="decimal"/>
        <w:suff w:val="space"/>
        <w:lvlText w:val="%3.%4"/>
        <w:lvlJc w:val="left"/>
        <w:pPr>
          <w:ind w:left="142" w:firstLine="0"/>
        </w:pPr>
        <w:rPr>
          <w:rFonts w:ascii="Zurich UBlkEx BT" w:hAnsi="Zurich UBlkEx BT" w:hint="default"/>
          <w:b w:val="0"/>
          <w:i w:val="0"/>
          <w:iCs/>
          <w:color w:val="00589F"/>
          <w:sz w:val="20"/>
          <w:szCs w:val="20"/>
        </w:rPr>
      </w:lvl>
    </w:lvlOverride>
    <w:lvlOverride w:ilvl="4">
      <w:lvl w:ilvl="4">
        <w:start w:val="1"/>
        <w:numFmt w:val="decimal"/>
        <w:suff w:val="space"/>
        <w:lvlText w:val="%3.%4.%5"/>
        <w:lvlJc w:val="left"/>
        <w:pPr>
          <w:ind w:left="0" w:firstLine="0"/>
        </w:pPr>
        <w:rPr>
          <w:rFonts w:ascii="Zurich UBlkEx BT" w:hAnsi="Zurich UBlkEx BT" w:hint="default"/>
          <w:b w:val="0"/>
          <w:i w:val="0"/>
          <w:color w:val="00589F"/>
          <w:sz w:val="20"/>
          <w:szCs w:val="20"/>
        </w:rPr>
      </w:lvl>
    </w:lvlOverride>
    <w:lvlOverride w:ilvl="5">
      <w:lvl w:ilvl="5">
        <w:start w:val="1"/>
        <w:numFmt w:val="decimal"/>
        <w:suff w:val="space"/>
        <w:lvlText w:val="%3.%4.%5.%6"/>
        <w:lvlJc w:val="left"/>
        <w:pPr>
          <w:ind w:left="0" w:firstLine="0"/>
        </w:pPr>
        <w:rPr>
          <w:rFonts w:ascii="Zurich UBlkEx BT" w:hAnsi="Zurich UBlkEx BT" w:hint="default"/>
          <w:b w:val="0"/>
          <w:i w:val="0"/>
          <w:iCs/>
          <w:color w:val="E36C0A" w:themeColor="accent6" w:themeShade="BF"/>
          <w:sz w:val="20"/>
          <w:szCs w:val="20"/>
        </w:rPr>
      </w:lvl>
    </w:lvlOverride>
  </w:num>
  <w:num w:numId="2">
    <w:abstractNumId w:val="18"/>
  </w:num>
  <w:num w:numId="3">
    <w:abstractNumId w:val="17"/>
  </w:num>
  <w:num w:numId="4">
    <w:abstractNumId w:val="6"/>
  </w:num>
  <w:num w:numId="5">
    <w:abstractNumId w:val="10"/>
  </w:num>
  <w:num w:numId="6">
    <w:abstractNumId w:val="4"/>
  </w:num>
  <w:num w:numId="7">
    <w:abstractNumId w:val="0"/>
  </w:num>
  <w:num w:numId="8">
    <w:abstractNumId w:val="16"/>
  </w:num>
  <w:num w:numId="9">
    <w:abstractNumId w:val="13"/>
  </w:num>
  <w:num w:numId="10">
    <w:abstractNumId w:val="14"/>
  </w:num>
  <w:num w:numId="11">
    <w:abstractNumId w:val="5"/>
  </w:num>
  <w:num w:numId="12">
    <w:abstractNumId w:val="12"/>
  </w:num>
  <w:num w:numId="13">
    <w:abstractNumId w:val="11"/>
  </w:num>
  <w:num w:numId="14">
    <w:abstractNumId w:val="15"/>
  </w:num>
  <w:num w:numId="15">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n-TT" w:vendorID="64" w:dllVersion="131078" w:nlCheck="1" w:checkStyle="1"/>
  <w:activeWritingStyle w:appName="MSWord" w:lang="en-029" w:vendorID="64" w:dllVersion="131078" w:nlCheck="1" w:checkStyle="1"/>
  <w:activeWritingStyle w:appName="MSWord" w:lang="en-AU" w:vendorID="64" w:dllVersion="131078" w:nlCheck="1" w:checkStyle="1"/>
  <w:activeWritingStyle w:appName="MSWord" w:lang="en-CA" w:vendorID="64" w:dllVersion="131078" w:nlCheck="1" w:checkStyle="1"/>
  <w:proofState w:spelling="clean" w:grammar="clean"/>
  <w:attachedTemplate r:id="rId1"/>
  <w:stylePaneFormatFilter w:val="0001"/>
  <w:stylePaneSortMethod w:val="0000"/>
  <w:defaultTabStop w:val="567"/>
  <w:hyphenationZone w:val="425"/>
  <w:evenAndOddHeaders/>
  <w:bookFoldPrintingSheets w:val="-4"/>
  <w:displayHorizontalDrawingGridEvery w:val="0"/>
  <w:displayVerticalDrawingGridEvery w:val="0"/>
  <w:doNotUseMarginsForDrawingGridOrigin/>
  <w:noPunctuationKerning/>
  <w:characterSpacingControl w:val="doNotCompress"/>
  <w:hdrShapeDefaults>
    <o:shapedefaults v:ext="edit" spidmax="8194" fill="f" fillcolor="white" stroke="f">
      <v:fill color="white" on="f"/>
      <v:stroke on="f"/>
      <v:textbox style="layout-flow:vertical;mso-layout-flow-alt:bottom-to-top;mso-fit-shape-to-text:t"/>
      <o:colormru v:ext="edit" colors="#36c,#039"/>
      <o:colormenu v:ext="edit" fillcolor="none [3213]" strokecolor="none [3213]"/>
    </o:shapedefaults>
  </w:hdrShapeDefaults>
  <w:footnotePr>
    <w:footnote w:id="-1"/>
    <w:footnote w:id="0"/>
    <w:footnote w:id="1"/>
  </w:footnotePr>
  <w:endnotePr>
    <w:numFmt w:val="decimal"/>
    <w:endnote w:id="-1"/>
    <w:endnote w:id="0"/>
    <w:endnote w:id="1"/>
  </w:endnotePr>
  <w:compat>
    <w:useFELayout/>
  </w:compat>
  <w:rsids>
    <w:rsidRoot w:val="004E0ED6"/>
    <w:rsid w:val="000012C8"/>
    <w:rsid w:val="0000259F"/>
    <w:rsid w:val="00004160"/>
    <w:rsid w:val="0000571E"/>
    <w:rsid w:val="00010631"/>
    <w:rsid w:val="00010EEB"/>
    <w:rsid w:val="000115D8"/>
    <w:rsid w:val="000135A4"/>
    <w:rsid w:val="00013D6F"/>
    <w:rsid w:val="00013E61"/>
    <w:rsid w:val="00014A90"/>
    <w:rsid w:val="00017323"/>
    <w:rsid w:val="00017552"/>
    <w:rsid w:val="00017645"/>
    <w:rsid w:val="00021824"/>
    <w:rsid w:val="00021A80"/>
    <w:rsid w:val="000233CA"/>
    <w:rsid w:val="00023A85"/>
    <w:rsid w:val="000273F7"/>
    <w:rsid w:val="00031CA2"/>
    <w:rsid w:val="00033090"/>
    <w:rsid w:val="00040A84"/>
    <w:rsid w:val="00041301"/>
    <w:rsid w:val="0004170A"/>
    <w:rsid w:val="0004319A"/>
    <w:rsid w:val="0004551C"/>
    <w:rsid w:val="00047D3C"/>
    <w:rsid w:val="0005154A"/>
    <w:rsid w:val="00051DDE"/>
    <w:rsid w:val="000541C8"/>
    <w:rsid w:val="00054F49"/>
    <w:rsid w:val="000608E4"/>
    <w:rsid w:val="000614AD"/>
    <w:rsid w:val="0006382C"/>
    <w:rsid w:val="000650DC"/>
    <w:rsid w:val="00066280"/>
    <w:rsid w:val="0006704D"/>
    <w:rsid w:val="00067084"/>
    <w:rsid w:val="00070E31"/>
    <w:rsid w:val="00075AFE"/>
    <w:rsid w:val="00077AAE"/>
    <w:rsid w:val="00077DE6"/>
    <w:rsid w:val="000806FF"/>
    <w:rsid w:val="0008133F"/>
    <w:rsid w:val="00081922"/>
    <w:rsid w:val="000832A3"/>
    <w:rsid w:val="000848CB"/>
    <w:rsid w:val="00085DF4"/>
    <w:rsid w:val="000861B1"/>
    <w:rsid w:val="00087A33"/>
    <w:rsid w:val="0009019D"/>
    <w:rsid w:val="00091F72"/>
    <w:rsid w:val="00092B20"/>
    <w:rsid w:val="00093E66"/>
    <w:rsid w:val="00096433"/>
    <w:rsid w:val="00096922"/>
    <w:rsid w:val="0009716E"/>
    <w:rsid w:val="00097207"/>
    <w:rsid w:val="00097422"/>
    <w:rsid w:val="00097540"/>
    <w:rsid w:val="000A14B5"/>
    <w:rsid w:val="000A316D"/>
    <w:rsid w:val="000A4DD5"/>
    <w:rsid w:val="000A55BE"/>
    <w:rsid w:val="000A67CB"/>
    <w:rsid w:val="000A6F6F"/>
    <w:rsid w:val="000A71D3"/>
    <w:rsid w:val="000B1146"/>
    <w:rsid w:val="000B40AB"/>
    <w:rsid w:val="000C0D53"/>
    <w:rsid w:val="000C1205"/>
    <w:rsid w:val="000C36E9"/>
    <w:rsid w:val="000C58D2"/>
    <w:rsid w:val="000C7AA4"/>
    <w:rsid w:val="000D0DCD"/>
    <w:rsid w:val="000D0F63"/>
    <w:rsid w:val="000D2B34"/>
    <w:rsid w:val="000D4D35"/>
    <w:rsid w:val="000E2DA8"/>
    <w:rsid w:val="000E2EB3"/>
    <w:rsid w:val="000E3186"/>
    <w:rsid w:val="000E3678"/>
    <w:rsid w:val="000E54EF"/>
    <w:rsid w:val="000F0388"/>
    <w:rsid w:val="000F16CC"/>
    <w:rsid w:val="000F5307"/>
    <w:rsid w:val="00100D4C"/>
    <w:rsid w:val="001016E4"/>
    <w:rsid w:val="00101D5D"/>
    <w:rsid w:val="0010381E"/>
    <w:rsid w:val="00103A5D"/>
    <w:rsid w:val="0010485E"/>
    <w:rsid w:val="00104860"/>
    <w:rsid w:val="00104DB4"/>
    <w:rsid w:val="00106C0B"/>
    <w:rsid w:val="00106F06"/>
    <w:rsid w:val="001071F8"/>
    <w:rsid w:val="001079A9"/>
    <w:rsid w:val="00111CA1"/>
    <w:rsid w:val="00112548"/>
    <w:rsid w:val="001131CF"/>
    <w:rsid w:val="00113F18"/>
    <w:rsid w:val="0011585A"/>
    <w:rsid w:val="00115F74"/>
    <w:rsid w:val="0011701B"/>
    <w:rsid w:val="00117759"/>
    <w:rsid w:val="001178D8"/>
    <w:rsid w:val="00121F29"/>
    <w:rsid w:val="001227E0"/>
    <w:rsid w:val="001239C8"/>
    <w:rsid w:val="00124BE7"/>
    <w:rsid w:val="00125968"/>
    <w:rsid w:val="0012680A"/>
    <w:rsid w:val="00126A1E"/>
    <w:rsid w:val="00127AD9"/>
    <w:rsid w:val="00127B9A"/>
    <w:rsid w:val="001323E2"/>
    <w:rsid w:val="00132571"/>
    <w:rsid w:val="00132ECE"/>
    <w:rsid w:val="00133CDA"/>
    <w:rsid w:val="00134C5A"/>
    <w:rsid w:val="00135581"/>
    <w:rsid w:val="00136CC0"/>
    <w:rsid w:val="00136E05"/>
    <w:rsid w:val="00137D83"/>
    <w:rsid w:val="00141573"/>
    <w:rsid w:val="00143C19"/>
    <w:rsid w:val="00143D5F"/>
    <w:rsid w:val="00146207"/>
    <w:rsid w:val="00147EB0"/>
    <w:rsid w:val="0015228D"/>
    <w:rsid w:val="001542B4"/>
    <w:rsid w:val="00163055"/>
    <w:rsid w:val="00163120"/>
    <w:rsid w:val="00163F1C"/>
    <w:rsid w:val="00164580"/>
    <w:rsid w:val="00166796"/>
    <w:rsid w:val="00167C0D"/>
    <w:rsid w:val="001701B3"/>
    <w:rsid w:val="0017095C"/>
    <w:rsid w:val="00171C2C"/>
    <w:rsid w:val="00171DA3"/>
    <w:rsid w:val="00172563"/>
    <w:rsid w:val="0017278E"/>
    <w:rsid w:val="001733CD"/>
    <w:rsid w:val="001734C4"/>
    <w:rsid w:val="001734FD"/>
    <w:rsid w:val="00173B4B"/>
    <w:rsid w:val="001743FA"/>
    <w:rsid w:val="001752B0"/>
    <w:rsid w:val="0017654F"/>
    <w:rsid w:val="00176A68"/>
    <w:rsid w:val="00176F25"/>
    <w:rsid w:val="0017756B"/>
    <w:rsid w:val="00180969"/>
    <w:rsid w:val="00180D80"/>
    <w:rsid w:val="00184EFD"/>
    <w:rsid w:val="00185CE5"/>
    <w:rsid w:val="001878E0"/>
    <w:rsid w:val="0019104B"/>
    <w:rsid w:val="00192284"/>
    <w:rsid w:val="00193E6A"/>
    <w:rsid w:val="00197038"/>
    <w:rsid w:val="001A07A9"/>
    <w:rsid w:val="001A0EBC"/>
    <w:rsid w:val="001A43E1"/>
    <w:rsid w:val="001A4C73"/>
    <w:rsid w:val="001A6578"/>
    <w:rsid w:val="001A768A"/>
    <w:rsid w:val="001A7B18"/>
    <w:rsid w:val="001B0B90"/>
    <w:rsid w:val="001B150C"/>
    <w:rsid w:val="001B164B"/>
    <w:rsid w:val="001B1836"/>
    <w:rsid w:val="001B29B0"/>
    <w:rsid w:val="001B3273"/>
    <w:rsid w:val="001C2C22"/>
    <w:rsid w:val="001C3365"/>
    <w:rsid w:val="001C33A5"/>
    <w:rsid w:val="001C476E"/>
    <w:rsid w:val="001C4D43"/>
    <w:rsid w:val="001C7095"/>
    <w:rsid w:val="001C70BF"/>
    <w:rsid w:val="001D381B"/>
    <w:rsid w:val="001D4147"/>
    <w:rsid w:val="001D55D5"/>
    <w:rsid w:val="001D6A6E"/>
    <w:rsid w:val="001D795A"/>
    <w:rsid w:val="001E0DF9"/>
    <w:rsid w:val="001E1D38"/>
    <w:rsid w:val="001E6535"/>
    <w:rsid w:val="001F17CE"/>
    <w:rsid w:val="001F39FB"/>
    <w:rsid w:val="001F47B4"/>
    <w:rsid w:val="001F5A63"/>
    <w:rsid w:val="00203D84"/>
    <w:rsid w:val="00205608"/>
    <w:rsid w:val="0020793F"/>
    <w:rsid w:val="00207DF0"/>
    <w:rsid w:val="00211396"/>
    <w:rsid w:val="00211EAC"/>
    <w:rsid w:val="00217FBE"/>
    <w:rsid w:val="00223145"/>
    <w:rsid w:val="00225A80"/>
    <w:rsid w:val="0022728A"/>
    <w:rsid w:val="00234760"/>
    <w:rsid w:val="00234E6B"/>
    <w:rsid w:val="00236A97"/>
    <w:rsid w:val="002375B2"/>
    <w:rsid w:val="00237DD3"/>
    <w:rsid w:val="00243015"/>
    <w:rsid w:val="002438AC"/>
    <w:rsid w:val="00246157"/>
    <w:rsid w:val="00246785"/>
    <w:rsid w:val="0025181A"/>
    <w:rsid w:val="00254403"/>
    <w:rsid w:val="002556EB"/>
    <w:rsid w:val="00256167"/>
    <w:rsid w:val="0025636A"/>
    <w:rsid w:val="00256912"/>
    <w:rsid w:val="00256BEA"/>
    <w:rsid w:val="00262366"/>
    <w:rsid w:val="00262368"/>
    <w:rsid w:val="002627F5"/>
    <w:rsid w:val="0027124D"/>
    <w:rsid w:val="0027160A"/>
    <w:rsid w:val="0027183A"/>
    <w:rsid w:val="00271D36"/>
    <w:rsid w:val="00273758"/>
    <w:rsid w:val="002737B9"/>
    <w:rsid w:val="002737D1"/>
    <w:rsid w:val="00274D96"/>
    <w:rsid w:val="00277526"/>
    <w:rsid w:val="00281F4F"/>
    <w:rsid w:val="002856AB"/>
    <w:rsid w:val="002906C8"/>
    <w:rsid w:val="002909C4"/>
    <w:rsid w:val="00291A51"/>
    <w:rsid w:val="00292D79"/>
    <w:rsid w:val="0029306D"/>
    <w:rsid w:val="00294ECF"/>
    <w:rsid w:val="00295040"/>
    <w:rsid w:val="002A0464"/>
    <w:rsid w:val="002A0E0E"/>
    <w:rsid w:val="002A12C3"/>
    <w:rsid w:val="002A30E0"/>
    <w:rsid w:val="002A733E"/>
    <w:rsid w:val="002B15C5"/>
    <w:rsid w:val="002B2394"/>
    <w:rsid w:val="002B44A9"/>
    <w:rsid w:val="002B493E"/>
    <w:rsid w:val="002B5674"/>
    <w:rsid w:val="002B58E6"/>
    <w:rsid w:val="002B595B"/>
    <w:rsid w:val="002B7FA8"/>
    <w:rsid w:val="002C05D3"/>
    <w:rsid w:val="002C087E"/>
    <w:rsid w:val="002C1A49"/>
    <w:rsid w:val="002C23FD"/>
    <w:rsid w:val="002C30D6"/>
    <w:rsid w:val="002C40A6"/>
    <w:rsid w:val="002C6A7A"/>
    <w:rsid w:val="002D01EA"/>
    <w:rsid w:val="002D17FF"/>
    <w:rsid w:val="002D26DA"/>
    <w:rsid w:val="002D4CC9"/>
    <w:rsid w:val="002D6E23"/>
    <w:rsid w:val="002D7080"/>
    <w:rsid w:val="002D720D"/>
    <w:rsid w:val="002E0961"/>
    <w:rsid w:val="002E1C89"/>
    <w:rsid w:val="002E214A"/>
    <w:rsid w:val="002E215C"/>
    <w:rsid w:val="002E3A9C"/>
    <w:rsid w:val="002E4E79"/>
    <w:rsid w:val="002E7AE3"/>
    <w:rsid w:val="002F4126"/>
    <w:rsid w:val="002F6FFC"/>
    <w:rsid w:val="003000B4"/>
    <w:rsid w:val="00300A43"/>
    <w:rsid w:val="003010AB"/>
    <w:rsid w:val="00302A0A"/>
    <w:rsid w:val="00304068"/>
    <w:rsid w:val="0030419C"/>
    <w:rsid w:val="00305EA5"/>
    <w:rsid w:val="00310639"/>
    <w:rsid w:val="00310DBA"/>
    <w:rsid w:val="003132E0"/>
    <w:rsid w:val="00314647"/>
    <w:rsid w:val="00316488"/>
    <w:rsid w:val="00316A00"/>
    <w:rsid w:val="00317F8D"/>
    <w:rsid w:val="00324561"/>
    <w:rsid w:val="00325DD9"/>
    <w:rsid w:val="00330C99"/>
    <w:rsid w:val="00332AB2"/>
    <w:rsid w:val="00332E08"/>
    <w:rsid w:val="00333DEF"/>
    <w:rsid w:val="003340DD"/>
    <w:rsid w:val="00334E04"/>
    <w:rsid w:val="0033567B"/>
    <w:rsid w:val="0033572E"/>
    <w:rsid w:val="003369B6"/>
    <w:rsid w:val="0034180A"/>
    <w:rsid w:val="00342A11"/>
    <w:rsid w:val="00344375"/>
    <w:rsid w:val="0034527B"/>
    <w:rsid w:val="00345977"/>
    <w:rsid w:val="003459B2"/>
    <w:rsid w:val="003472FB"/>
    <w:rsid w:val="0035061D"/>
    <w:rsid w:val="00350AE1"/>
    <w:rsid w:val="003512B6"/>
    <w:rsid w:val="00351984"/>
    <w:rsid w:val="0035666B"/>
    <w:rsid w:val="003605D0"/>
    <w:rsid w:val="0036211D"/>
    <w:rsid w:val="00362FFF"/>
    <w:rsid w:val="003633BA"/>
    <w:rsid w:val="00363C83"/>
    <w:rsid w:val="003647EF"/>
    <w:rsid w:val="003650C0"/>
    <w:rsid w:val="003664F2"/>
    <w:rsid w:val="00367032"/>
    <w:rsid w:val="003703C0"/>
    <w:rsid w:val="003707AC"/>
    <w:rsid w:val="003723AB"/>
    <w:rsid w:val="0037334A"/>
    <w:rsid w:val="00373A5A"/>
    <w:rsid w:val="00375AAF"/>
    <w:rsid w:val="00382B6B"/>
    <w:rsid w:val="00383B9A"/>
    <w:rsid w:val="00384D7C"/>
    <w:rsid w:val="00385DD4"/>
    <w:rsid w:val="00386439"/>
    <w:rsid w:val="003913F2"/>
    <w:rsid w:val="0039683A"/>
    <w:rsid w:val="00396A3C"/>
    <w:rsid w:val="003A02C1"/>
    <w:rsid w:val="003A39F7"/>
    <w:rsid w:val="003A4C99"/>
    <w:rsid w:val="003B13DB"/>
    <w:rsid w:val="003B1976"/>
    <w:rsid w:val="003B304F"/>
    <w:rsid w:val="003B5731"/>
    <w:rsid w:val="003C1287"/>
    <w:rsid w:val="003C1570"/>
    <w:rsid w:val="003C2542"/>
    <w:rsid w:val="003C4176"/>
    <w:rsid w:val="003C4261"/>
    <w:rsid w:val="003C490B"/>
    <w:rsid w:val="003C4ED6"/>
    <w:rsid w:val="003C5D30"/>
    <w:rsid w:val="003C795F"/>
    <w:rsid w:val="003C7C81"/>
    <w:rsid w:val="003D213F"/>
    <w:rsid w:val="003D23ED"/>
    <w:rsid w:val="003D5315"/>
    <w:rsid w:val="003D663E"/>
    <w:rsid w:val="003D67E8"/>
    <w:rsid w:val="003E2209"/>
    <w:rsid w:val="003E2368"/>
    <w:rsid w:val="003E3CD1"/>
    <w:rsid w:val="003E52C2"/>
    <w:rsid w:val="003E7AC7"/>
    <w:rsid w:val="003E7BFD"/>
    <w:rsid w:val="003F265B"/>
    <w:rsid w:val="003F433C"/>
    <w:rsid w:val="003F5733"/>
    <w:rsid w:val="003F5FD0"/>
    <w:rsid w:val="003F6086"/>
    <w:rsid w:val="00402A02"/>
    <w:rsid w:val="0040368C"/>
    <w:rsid w:val="00403F4F"/>
    <w:rsid w:val="0040406E"/>
    <w:rsid w:val="00404EDC"/>
    <w:rsid w:val="00406E30"/>
    <w:rsid w:val="00411536"/>
    <w:rsid w:val="0041170E"/>
    <w:rsid w:val="00411F98"/>
    <w:rsid w:val="00412B2E"/>
    <w:rsid w:val="0042073F"/>
    <w:rsid w:val="00424792"/>
    <w:rsid w:val="00424D86"/>
    <w:rsid w:val="004251B1"/>
    <w:rsid w:val="004268E9"/>
    <w:rsid w:val="00431634"/>
    <w:rsid w:val="00433527"/>
    <w:rsid w:val="0043453F"/>
    <w:rsid w:val="004359FB"/>
    <w:rsid w:val="00436032"/>
    <w:rsid w:val="00440FF6"/>
    <w:rsid w:val="00441ED5"/>
    <w:rsid w:val="00444AA0"/>
    <w:rsid w:val="00445DD4"/>
    <w:rsid w:val="00446E47"/>
    <w:rsid w:val="004513F0"/>
    <w:rsid w:val="00452B5A"/>
    <w:rsid w:val="00453C8E"/>
    <w:rsid w:val="004542E7"/>
    <w:rsid w:val="00455426"/>
    <w:rsid w:val="00455EC2"/>
    <w:rsid w:val="0046015E"/>
    <w:rsid w:val="004621F9"/>
    <w:rsid w:val="00463DA1"/>
    <w:rsid w:val="0046428B"/>
    <w:rsid w:val="00464BCC"/>
    <w:rsid w:val="00465064"/>
    <w:rsid w:val="00465E86"/>
    <w:rsid w:val="004670E1"/>
    <w:rsid w:val="0046715B"/>
    <w:rsid w:val="00471F49"/>
    <w:rsid w:val="00472BDE"/>
    <w:rsid w:val="00472C72"/>
    <w:rsid w:val="00473B2A"/>
    <w:rsid w:val="00476350"/>
    <w:rsid w:val="0047647C"/>
    <w:rsid w:val="00476DEE"/>
    <w:rsid w:val="0048367B"/>
    <w:rsid w:val="00483AD7"/>
    <w:rsid w:val="00485626"/>
    <w:rsid w:val="004866ED"/>
    <w:rsid w:val="0048705D"/>
    <w:rsid w:val="00487149"/>
    <w:rsid w:val="00490E38"/>
    <w:rsid w:val="004941E7"/>
    <w:rsid w:val="004A0C27"/>
    <w:rsid w:val="004A0FC5"/>
    <w:rsid w:val="004A24DC"/>
    <w:rsid w:val="004A3217"/>
    <w:rsid w:val="004A3FC4"/>
    <w:rsid w:val="004A718F"/>
    <w:rsid w:val="004A7326"/>
    <w:rsid w:val="004B0478"/>
    <w:rsid w:val="004B080D"/>
    <w:rsid w:val="004B0A0B"/>
    <w:rsid w:val="004B360A"/>
    <w:rsid w:val="004B47C7"/>
    <w:rsid w:val="004B4F46"/>
    <w:rsid w:val="004B5B17"/>
    <w:rsid w:val="004B6316"/>
    <w:rsid w:val="004B6BC1"/>
    <w:rsid w:val="004C02FE"/>
    <w:rsid w:val="004C03AA"/>
    <w:rsid w:val="004C095C"/>
    <w:rsid w:val="004C5178"/>
    <w:rsid w:val="004C58A8"/>
    <w:rsid w:val="004C5B55"/>
    <w:rsid w:val="004C6ABE"/>
    <w:rsid w:val="004C71E0"/>
    <w:rsid w:val="004D1772"/>
    <w:rsid w:val="004D32FE"/>
    <w:rsid w:val="004D36A6"/>
    <w:rsid w:val="004D4A59"/>
    <w:rsid w:val="004E073F"/>
    <w:rsid w:val="004E0ED6"/>
    <w:rsid w:val="004E3AA9"/>
    <w:rsid w:val="004E42BE"/>
    <w:rsid w:val="004E471F"/>
    <w:rsid w:val="004E5215"/>
    <w:rsid w:val="004E532D"/>
    <w:rsid w:val="004E5B2C"/>
    <w:rsid w:val="004E65E6"/>
    <w:rsid w:val="004E6D70"/>
    <w:rsid w:val="004E7F9B"/>
    <w:rsid w:val="004F1F13"/>
    <w:rsid w:val="004F2132"/>
    <w:rsid w:val="004F381D"/>
    <w:rsid w:val="005017B2"/>
    <w:rsid w:val="005027B2"/>
    <w:rsid w:val="00502C37"/>
    <w:rsid w:val="005046AF"/>
    <w:rsid w:val="00506702"/>
    <w:rsid w:val="0050674F"/>
    <w:rsid w:val="00506DA3"/>
    <w:rsid w:val="0051048D"/>
    <w:rsid w:val="00514D18"/>
    <w:rsid w:val="00515A6A"/>
    <w:rsid w:val="00516846"/>
    <w:rsid w:val="00520948"/>
    <w:rsid w:val="00522DCF"/>
    <w:rsid w:val="00526074"/>
    <w:rsid w:val="00526177"/>
    <w:rsid w:val="00526BDB"/>
    <w:rsid w:val="005270F9"/>
    <w:rsid w:val="00532850"/>
    <w:rsid w:val="00535F08"/>
    <w:rsid w:val="00537DC3"/>
    <w:rsid w:val="00541179"/>
    <w:rsid w:val="00541D74"/>
    <w:rsid w:val="00543044"/>
    <w:rsid w:val="00543AEE"/>
    <w:rsid w:val="00544466"/>
    <w:rsid w:val="00545F0D"/>
    <w:rsid w:val="00546401"/>
    <w:rsid w:val="00547F5F"/>
    <w:rsid w:val="0055091B"/>
    <w:rsid w:val="0055324C"/>
    <w:rsid w:val="00557363"/>
    <w:rsid w:val="005576D9"/>
    <w:rsid w:val="00560106"/>
    <w:rsid w:val="00565306"/>
    <w:rsid w:val="00567EAE"/>
    <w:rsid w:val="005702C2"/>
    <w:rsid w:val="00571155"/>
    <w:rsid w:val="00571B3E"/>
    <w:rsid w:val="00571C6A"/>
    <w:rsid w:val="00572079"/>
    <w:rsid w:val="00576672"/>
    <w:rsid w:val="00576E9C"/>
    <w:rsid w:val="0058130F"/>
    <w:rsid w:val="00581449"/>
    <w:rsid w:val="005815E2"/>
    <w:rsid w:val="00582769"/>
    <w:rsid w:val="005827CB"/>
    <w:rsid w:val="00584E81"/>
    <w:rsid w:val="00590CB1"/>
    <w:rsid w:val="005965AD"/>
    <w:rsid w:val="00597DC2"/>
    <w:rsid w:val="005A07EF"/>
    <w:rsid w:val="005A265C"/>
    <w:rsid w:val="005A2D39"/>
    <w:rsid w:val="005A3ED0"/>
    <w:rsid w:val="005B2283"/>
    <w:rsid w:val="005B425C"/>
    <w:rsid w:val="005B4F9D"/>
    <w:rsid w:val="005C1B6E"/>
    <w:rsid w:val="005C33A1"/>
    <w:rsid w:val="005C39DC"/>
    <w:rsid w:val="005C669F"/>
    <w:rsid w:val="005C6BDA"/>
    <w:rsid w:val="005E0123"/>
    <w:rsid w:val="005E151F"/>
    <w:rsid w:val="005E1D56"/>
    <w:rsid w:val="005E5B32"/>
    <w:rsid w:val="005E5E28"/>
    <w:rsid w:val="005F2E51"/>
    <w:rsid w:val="005F33E1"/>
    <w:rsid w:val="005F3B9D"/>
    <w:rsid w:val="005F56C9"/>
    <w:rsid w:val="005F617E"/>
    <w:rsid w:val="005F64AB"/>
    <w:rsid w:val="005F7A06"/>
    <w:rsid w:val="005F7A57"/>
    <w:rsid w:val="005F7AAC"/>
    <w:rsid w:val="006023F3"/>
    <w:rsid w:val="006038C2"/>
    <w:rsid w:val="00603C3C"/>
    <w:rsid w:val="00604691"/>
    <w:rsid w:val="00604F4D"/>
    <w:rsid w:val="00607F41"/>
    <w:rsid w:val="006104A4"/>
    <w:rsid w:val="00611B8A"/>
    <w:rsid w:val="006141CD"/>
    <w:rsid w:val="0061462C"/>
    <w:rsid w:val="006171A9"/>
    <w:rsid w:val="00617637"/>
    <w:rsid w:val="00620B5C"/>
    <w:rsid w:val="0062235F"/>
    <w:rsid w:val="00622694"/>
    <w:rsid w:val="006230C3"/>
    <w:rsid w:val="00624061"/>
    <w:rsid w:val="006258CA"/>
    <w:rsid w:val="006274F7"/>
    <w:rsid w:val="006276FC"/>
    <w:rsid w:val="00627927"/>
    <w:rsid w:val="00631A14"/>
    <w:rsid w:val="006344BB"/>
    <w:rsid w:val="00635A76"/>
    <w:rsid w:val="0063644E"/>
    <w:rsid w:val="00641CB5"/>
    <w:rsid w:val="0064295F"/>
    <w:rsid w:val="00645569"/>
    <w:rsid w:val="00645C5A"/>
    <w:rsid w:val="00646133"/>
    <w:rsid w:val="00651A4A"/>
    <w:rsid w:val="00652762"/>
    <w:rsid w:val="00652B2B"/>
    <w:rsid w:val="00653534"/>
    <w:rsid w:val="00653771"/>
    <w:rsid w:val="0065379A"/>
    <w:rsid w:val="00653CE2"/>
    <w:rsid w:val="00655B71"/>
    <w:rsid w:val="00655CBD"/>
    <w:rsid w:val="00656D4C"/>
    <w:rsid w:val="0066107A"/>
    <w:rsid w:val="00661A78"/>
    <w:rsid w:val="00662E9D"/>
    <w:rsid w:val="006630D2"/>
    <w:rsid w:val="00665EC4"/>
    <w:rsid w:val="006666B8"/>
    <w:rsid w:val="00671F7A"/>
    <w:rsid w:val="00674332"/>
    <w:rsid w:val="00676F90"/>
    <w:rsid w:val="00680BAE"/>
    <w:rsid w:val="0068146F"/>
    <w:rsid w:val="00684473"/>
    <w:rsid w:val="006879C3"/>
    <w:rsid w:val="00691200"/>
    <w:rsid w:val="00693D4E"/>
    <w:rsid w:val="00695FF7"/>
    <w:rsid w:val="00696AC6"/>
    <w:rsid w:val="006A03DB"/>
    <w:rsid w:val="006A30C4"/>
    <w:rsid w:val="006A365A"/>
    <w:rsid w:val="006A5E44"/>
    <w:rsid w:val="006A6170"/>
    <w:rsid w:val="006A6D03"/>
    <w:rsid w:val="006A7EBB"/>
    <w:rsid w:val="006B19EA"/>
    <w:rsid w:val="006B2DEC"/>
    <w:rsid w:val="006B74EE"/>
    <w:rsid w:val="006B7D4F"/>
    <w:rsid w:val="006C0A76"/>
    <w:rsid w:val="006C1356"/>
    <w:rsid w:val="006C197E"/>
    <w:rsid w:val="006C2493"/>
    <w:rsid w:val="006C419A"/>
    <w:rsid w:val="006C5AA8"/>
    <w:rsid w:val="006C71F5"/>
    <w:rsid w:val="006D37E8"/>
    <w:rsid w:val="006D3FA2"/>
    <w:rsid w:val="006D4DF3"/>
    <w:rsid w:val="006D53C3"/>
    <w:rsid w:val="006D5844"/>
    <w:rsid w:val="006D6DFB"/>
    <w:rsid w:val="006E2A5C"/>
    <w:rsid w:val="006E4588"/>
    <w:rsid w:val="006E796B"/>
    <w:rsid w:val="006E7DBC"/>
    <w:rsid w:val="006F11EA"/>
    <w:rsid w:val="006F36A3"/>
    <w:rsid w:val="006F3B2C"/>
    <w:rsid w:val="006F5E93"/>
    <w:rsid w:val="00703D56"/>
    <w:rsid w:val="00706513"/>
    <w:rsid w:val="007066B3"/>
    <w:rsid w:val="0070744C"/>
    <w:rsid w:val="007136EB"/>
    <w:rsid w:val="007156B7"/>
    <w:rsid w:val="007202A5"/>
    <w:rsid w:val="0072115D"/>
    <w:rsid w:val="00721164"/>
    <w:rsid w:val="0072401E"/>
    <w:rsid w:val="007241A0"/>
    <w:rsid w:val="007261B5"/>
    <w:rsid w:val="00726EC1"/>
    <w:rsid w:val="00727290"/>
    <w:rsid w:val="007304D8"/>
    <w:rsid w:val="007306B9"/>
    <w:rsid w:val="007318D7"/>
    <w:rsid w:val="00734F3C"/>
    <w:rsid w:val="00735387"/>
    <w:rsid w:val="00735E94"/>
    <w:rsid w:val="00736BBA"/>
    <w:rsid w:val="007378DC"/>
    <w:rsid w:val="00737D26"/>
    <w:rsid w:val="00740292"/>
    <w:rsid w:val="007417CF"/>
    <w:rsid w:val="007431C5"/>
    <w:rsid w:val="00744125"/>
    <w:rsid w:val="007442C6"/>
    <w:rsid w:val="007457D6"/>
    <w:rsid w:val="00750D05"/>
    <w:rsid w:val="00750EB0"/>
    <w:rsid w:val="00751A94"/>
    <w:rsid w:val="00751C9C"/>
    <w:rsid w:val="00753254"/>
    <w:rsid w:val="0075342B"/>
    <w:rsid w:val="00754328"/>
    <w:rsid w:val="00754B44"/>
    <w:rsid w:val="007628CB"/>
    <w:rsid w:val="007633E7"/>
    <w:rsid w:val="007652C5"/>
    <w:rsid w:val="00765A3F"/>
    <w:rsid w:val="00770445"/>
    <w:rsid w:val="00771A15"/>
    <w:rsid w:val="0078113F"/>
    <w:rsid w:val="0078387C"/>
    <w:rsid w:val="007914CE"/>
    <w:rsid w:val="0079613F"/>
    <w:rsid w:val="007962E4"/>
    <w:rsid w:val="0079799F"/>
    <w:rsid w:val="007A23B5"/>
    <w:rsid w:val="007A68CA"/>
    <w:rsid w:val="007A7578"/>
    <w:rsid w:val="007A799D"/>
    <w:rsid w:val="007A7C0F"/>
    <w:rsid w:val="007B05C3"/>
    <w:rsid w:val="007B7D7D"/>
    <w:rsid w:val="007C5600"/>
    <w:rsid w:val="007D1EB2"/>
    <w:rsid w:val="007D21D5"/>
    <w:rsid w:val="007E077D"/>
    <w:rsid w:val="007E2F21"/>
    <w:rsid w:val="007E748D"/>
    <w:rsid w:val="007F1E9C"/>
    <w:rsid w:val="007F254D"/>
    <w:rsid w:val="007F2B6A"/>
    <w:rsid w:val="007F3EB4"/>
    <w:rsid w:val="007F4820"/>
    <w:rsid w:val="007F56EE"/>
    <w:rsid w:val="007F6D5A"/>
    <w:rsid w:val="008002B8"/>
    <w:rsid w:val="0080095F"/>
    <w:rsid w:val="0080173C"/>
    <w:rsid w:val="00802DC4"/>
    <w:rsid w:val="008034CA"/>
    <w:rsid w:val="00805791"/>
    <w:rsid w:val="00806CD5"/>
    <w:rsid w:val="008073E3"/>
    <w:rsid w:val="00807631"/>
    <w:rsid w:val="00807B4B"/>
    <w:rsid w:val="0081018A"/>
    <w:rsid w:val="00811082"/>
    <w:rsid w:val="00813042"/>
    <w:rsid w:val="0081371A"/>
    <w:rsid w:val="00813D28"/>
    <w:rsid w:val="00814D8A"/>
    <w:rsid w:val="008154F1"/>
    <w:rsid w:val="00817765"/>
    <w:rsid w:val="008177F7"/>
    <w:rsid w:val="00821809"/>
    <w:rsid w:val="00821A3D"/>
    <w:rsid w:val="0082760E"/>
    <w:rsid w:val="00830CDD"/>
    <w:rsid w:val="00831BCD"/>
    <w:rsid w:val="008325A3"/>
    <w:rsid w:val="00833048"/>
    <w:rsid w:val="00835568"/>
    <w:rsid w:val="00835C1F"/>
    <w:rsid w:val="00835FA4"/>
    <w:rsid w:val="00837668"/>
    <w:rsid w:val="00837C8C"/>
    <w:rsid w:val="00843BE3"/>
    <w:rsid w:val="00844A1C"/>
    <w:rsid w:val="008454C1"/>
    <w:rsid w:val="00845950"/>
    <w:rsid w:val="008520A7"/>
    <w:rsid w:val="0085320B"/>
    <w:rsid w:val="008533D1"/>
    <w:rsid w:val="008538A1"/>
    <w:rsid w:val="00853DA7"/>
    <w:rsid w:val="00854059"/>
    <w:rsid w:val="008574C0"/>
    <w:rsid w:val="008610F3"/>
    <w:rsid w:val="00863A33"/>
    <w:rsid w:val="008704DE"/>
    <w:rsid w:val="00870C66"/>
    <w:rsid w:val="008772E4"/>
    <w:rsid w:val="00877D77"/>
    <w:rsid w:val="00880E9F"/>
    <w:rsid w:val="00882348"/>
    <w:rsid w:val="008827DC"/>
    <w:rsid w:val="00882B75"/>
    <w:rsid w:val="00882D82"/>
    <w:rsid w:val="00883714"/>
    <w:rsid w:val="008849E6"/>
    <w:rsid w:val="00885094"/>
    <w:rsid w:val="00885CFE"/>
    <w:rsid w:val="00886A97"/>
    <w:rsid w:val="008878FD"/>
    <w:rsid w:val="00887FC9"/>
    <w:rsid w:val="00894A7A"/>
    <w:rsid w:val="00894F8A"/>
    <w:rsid w:val="008966E0"/>
    <w:rsid w:val="008A3FEF"/>
    <w:rsid w:val="008A4A76"/>
    <w:rsid w:val="008A69F4"/>
    <w:rsid w:val="008B0C46"/>
    <w:rsid w:val="008B2896"/>
    <w:rsid w:val="008B3E9F"/>
    <w:rsid w:val="008B4ABF"/>
    <w:rsid w:val="008B6710"/>
    <w:rsid w:val="008B7C0E"/>
    <w:rsid w:val="008C0E53"/>
    <w:rsid w:val="008C1FAE"/>
    <w:rsid w:val="008C3BA6"/>
    <w:rsid w:val="008C46FC"/>
    <w:rsid w:val="008C61A0"/>
    <w:rsid w:val="008C6297"/>
    <w:rsid w:val="008C7290"/>
    <w:rsid w:val="008C746A"/>
    <w:rsid w:val="008D1B37"/>
    <w:rsid w:val="008D2014"/>
    <w:rsid w:val="008D3374"/>
    <w:rsid w:val="008D35C2"/>
    <w:rsid w:val="008D52A4"/>
    <w:rsid w:val="008D6E13"/>
    <w:rsid w:val="008D6F87"/>
    <w:rsid w:val="008D7BF1"/>
    <w:rsid w:val="008D7D60"/>
    <w:rsid w:val="008E3CD0"/>
    <w:rsid w:val="008E40A2"/>
    <w:rsid w:val="008E40DE"/>
    <w:rsid w:val="008E49D5"/>
    <w:rsid w:val="008E5556"/>
    <w:rsid w:val="008E5A56"/>
    <w:rsid w:val="008E64AB"/>
    <w:rsid w:val="008E6781"/>
    <w:rsid w:val="008E74D4"/>
    <w:rsid w:val="008F36C0"/>
    <w:rsid w:val="008F3B31"/>
    <w:rsid w:val="008F4E75"/>
    <w:rsid w:val="008F54D0"/>
    <w:rsid w:val="008F6F2C"/>
    <w:rsid w:val="009006C7"/>
    <w:rsid w:val="00900B38"/>
    <w:rsid w:val="00900F1A"/>
    <w:rsid w:val="00905DCC"/>
    <w:rsid w:val="00906678"/>
    <w:rsid w:val="00914407"/>
    <w:rsid w:val="00916FDD"/>
    <w:rsid w:val="00917300"/>
    <w:rsid w:val="009234FC"/>
    <w:rsid w:val="00923593"/>
    <w:rsid w:val="009236DE"/>
    <w:rsid w:val="00924F45"/>
    <w:rsid w:val="00926D62"/>
    <w:rsid w:val="009336CF"/>
    <w:rsid w:val="00943110"/>
    <w:rsid w:val="009431B3"/>
    <w:rsid w:val="00943AEF"/>
    <w:rsid w:val="00950367"/>
    <w:rsid w:val="00950A55"/>
    <w:rsid w:val="00953BFF"/>
    <w:rsid w:val="009544FE"/>
    <w:rsid w:val="009565F6"/>
    <w:rsid w:val="009613C6"/>
    <w:rsid w:val="00961BA7"/>
    <w:rsid w:val="00963471"/>
    <w:rsid w:val="009652B9"/>
    <w:rsid w:val="00965E79"/>
    <w:rsid w:val="00967B6D"/>
    <w:rsid w:val="00972B2C"/>
    <w:rsid w:val="0097344A"/>
    <w:rsid w:val="00975425"/>
    <w:rsid w:val="0097555D"/>
    <w:rsid w:val="00980757"/>
    <w:rsid w:val="0098454A"/>
    <w:rsid w:val="009907AA"/>
    <w:rsid w:val="0099234A"/>
    <w:rsid w:val="00993280"/>
    <w:rsid w:val="00994F9F"/>
    <w:rsid w:val="00995067"/>
    <w:rsid w:val="00995C47"/>
    <w:rsid w:val="0099699B"/>
    <w:rsid w:val="00996AAA"/>
    <w:rsid w:val="009A026D"/>
    <w:rsid w:val="009A3923"/>
    <w:rsid w:val="009A4E8F"/>
    <w:rsid w:val="009A7544"/>
    <w:rsid w:val="009B0B5A"/>
    <w:rsid w:val="009B0FB2"/>
    <w:rsid w:val="009B2549"/>
    <w:rsid w:val="009B27F8"/>
    <w:rsid w:val="009B2950"/>
    <w:rsid w:val="009B4A83"/>
    <w:rsid w:val="009B73BF"/>
    <w:rsid w:val="009C1F0D"/>
    <w:rsid w:val="009C280B"/>
    <w:rsid w:val="009C5901"/>
    <w:rsid w:val="009C703E"/>
    <w:rsid w:val="009D071D"/>
    <w:rsid w:val="009D0B61"/>
    <w:rsid w:val="009D2085"/>
    <w:rsid w:val="009D26A2"/>
    <w:rsid w:val="009D30B8"/>
    <w:rsid w:val="009D46ED"/>
    <w:rsid w:val="009D7157"/>
    <w:rsid w:val="009E27C2"/>
    <w:rsid w:val="009E2BB9"/>
    <w:rsid w:val="009E3217"/>
    <w:rsid w:val="009F0BDC"/>
    <w:rsid w:val="009F6A42"/>
    <w:rsid w:val="00A01CFB"/>
    <w:rsid w:val="00A02A4A"/>
    <w:rsid w:val="00A02D29"/>
    <w:rsid w:val="00A057B2"/>
    <w:rsid w:val="00A05D29"/>
    <w:rsid w:val="00A078B3"/>
    <w:rsid w:val="00A11555"/>
    <w:rsid w:val="00A117DC"/>
    <w:rsid w:val="00A11AC1"/>
    <w:rsid w:val="00A12A78"/>
    <w:rsid w:val="00A1327B"/>
    <w:rsid w:val="00A13549"/>
    <w:rsid w:val="00A145D3"/>
    <w:rsid w:val="00A158DC"/>
    <w:rsid w:val="00A16E02"/>
    <w:rsid w:val="00A20B07"/>
    <w:rsid w:val="00A232F4"/>
    <w:rsid w:val="00A23985"/>
    <w:rsid w:val="00A24D4D"/>
    <w:rsid w:val="00A26624"/>
    <w:rsid w:val="00A27A0E"/>
    <w:rsid w:val="00A31531"/>
    <w:rsid w:val="00A32C68"/>
    <w:rsid w:val="00A360D2"/>
    <w:rsid w:val="00A372CC"/>
    <w:rsid w:val="00A401B5"/>
    <w:rsid w:val="00A43AB6"/>
    <w:rsid w:val="00A45700"/>
    <w:rsid w:val="00A46313"/>
    <w:rsid w:val="00A5005B"/>
    <w:rsid w:val="00A548FF"/>
    <w:rsid w:val="00A56709"/>
    <w:rsid w:val="00A57C96"/>
    <w:rsid w:val="00A6046B"/>
    <w:rsid w:val="00A621B4"/>
    <w:rsid w:val="00A62CCF"/>
    <w:rsid w:val="00A65BC8"/>
    <w:rsid w:val="00A676A4"/>
    <w:rsid w:val="00A7080C"/>
    <w:rsid w:val="00A709A6"/>
    <w:rsid w:val="00A70B8F"/>
    <w:rsid w:val="00A70DE8"/>
    <w:rsid w:val="00A72491"/>
    <w:rsid w:val="00A741BD"/>
    <w:rsid w:val="00A760D0"/>
    <w:rsid w:val="00A76EFC"/>
    <w:rsid w:val="00A8294C"/>
    <w:rsid w:val="00A84115"/>
    <w:rsid w:val="00A84237"/>
    <w:rsid w:val="00A85735"/>
    <w:rsid w:val="00A90B4F"/>
    <w:rsid w:val="00A9425B"/>
    <w:rsid w:val="00A95207"/>
    <w:rsid w:val="00A9578B"/>
    <w:rsid w:val="00A958EC"/>
    <w:rsid w:val="00A965AD"/>
    <w:rsid w:val="00A96CE7"/>
    <w:rsid w:val="00A97BB4"/>
    <w:rsid w:val="00AA2C20"/>
    <w:rsid w:val="00AA3B43"/>
    <w:rsid w:val="00AA4332"/>
    <w:rsid w:val="00AA4369"/>
    <w:rsid w:val="00AA711E"/>
    <w:rsid w:val="00AA7989"/>
    <w:rsid w:val="00AB00FB"/>
    <w:rsid w:val="00AB0101"/>
    <w:rsid w:val="00AB2059"/>
    <w:rsid w:val="00AB3F31"/>
    <w:rsid w:val="00AB4812"/>
    <w:rsid w:val="00AC0B2B"/>
    <w:rsid w:val="00AC1EE3"/>
    <w:rsid w:val="00AC3A3F"/>
    <w:rsid w:val="00AC4B12"/>
    <w:rsid w:val="00AC5A3E"/>
    <w:rsid w:val="00AC661B"/>
    <w:rsid w:val="00AC6E22"/>
    <w:rsid w:val="00AD0CFD"/>
    <w:rsid w:val="00AD1738"/>
    <w:rsid w:val="00AD24A5"/>
    <w:rsid w:val="00AD381A"/>
    <w:rsid w:val="00AD58E6"/>
    <w:rsid w:val="00AD73B3"/>
    <w:rsid w:val="00AE0FF0"/>
    <w:rsid w:val="00AE251D"/>
    <w:rsid w:val="00AE2FCB"/>
    <w:rsid w:val="00AE4D94"/>
    <w:rsid w:val="00AE5CC4"/>
    <w:rsid w:val="00AE6BCF"/>
    <w:rsid w:val="00AE700F"/>
    <w:rsid w:val="00AF20C4"/>
    <w:rsid w:val="00AF31AB"/>
    <w:rsid w:val="00AF3C2C"/>
    <w:rsid w:val="00AF447D"/>
    <w:rsid w:val="00AF56F2"/>
    <w:rsid w:val="00AF6A53"/>
    <w:rsid w:val="00AF7B25"/>
    <w:rsid w:val="00B00F51"/>
    <w:rsid w:val="00B01ACF"/>
    <w:rsid w:val="00B01E61"/>
    <w:rsid w:val="00B03387"/>
    <w:rsid w:val="00B065CE"/>
    <w:rsid w:val="00B07DC1"/>
    <w:rsid w:val="00B12998"/>
    <w:rsid w:val="00B13193"/>
    <w:rsid w:val="00B1542B"/>
    <w:rsid w:val="00B168B2"/>
    <w:rsid w:val="00B17C55"/>
    <w:rsid w:val="00B21096"/>
    <w:rsid w:val="00B218E3"/>
    <w:rsid w:val="00B22D73"/>
    <w:rsid w:val="00B23A08"/>
    <w:rsid w:val="00B2654B"/>
    <w:rsid w:val="00B26B47"/>
    <w:rsid w:val="00B278EB"/>
    <w:rsid w:val="00B312E9"/>
    <w:rsid w:val="00B33D4C"/>
    <w:rsid w:val="00B36548"/>
    <w:rsid w:val="00B374ED"/>
    <w:rsid w:val="00B406A3"/>
    <w:rsid w:val="00B41A78"/>
    <w:rsid w:val="00B454A9"/>
    <w:rsid w:val="00B459CD"/>
    <w:rsid w:val="00B45D1D"/>
    <w:rsid w:val="00B467C1"/>
    <w:rsid w:val="00B5057C"/>
    <w:rsid w:val="00B519F6"/>
    <w:rsid w:val="00B525B7"/>
    <w:rsid w:val="00B5270F"/>
    <w:rsid w:val="00B52E64"/>
    <w:rsid w:val="00B53905"/>
    <w:rsid w:val="00B53BCB"/>
    <w:rsid w:val="00B55DC5"/>
    <w:rsid w:val="00B5609E"/>
    <w:rsid w:val="00B56677"/>
    <w:rsid w:val="00B56CBE"/>
    <w:rsid w:val="00B61E2B"/>
    <w:rsid w:val="00B62632"/>
    <w:rsid w:val="00B62921"/>
    <w:rsid w:val="00B6360F"/>
    <w:rsid w:val="00B6382A"/>
    <w:rsid w:val="00B63EEB"/>
    <w:rsid w:val="00B6565D"/>
    <w:rsid w:val="00B658EA"/>
    <w:rsid w:val="00B65CAA"/>
    <w:rsid w:val="00B66328"/>
    <w:rsid w:val="00B66344"/>
    <w:rsid w:val="00B67A9D"/>
    <w:rsid w:val="00B70822"/>
    <w:rsid w:val="00B72864"/>
    <w:rsid w:val="00B72A9D"/>
    <w:rsid w:val="00B72F99"/>
    <w:rsid w:val="00B73058"/>
    <w:rsid w:val="00B74F3F"/>
    <w:rsid w:val="00B75F60"/>
    <w:rsid w:val="00B76AA6"/>
    <w:rsid w:val="00B76C2D"/>
    <w:rsid w:val="00B824FE"/>
    <w:rsid w:val="00B82EE3"/>
    <w:rsid w:val="00B8353D"/>
    <w:rsid w:val="00B83D92"/>
    <w:rsid w:val="00B84FD8"/>
    <w:rsid w:val="00B860FF"/>
    <w:rsid w:val="00B876C4"/>
    <w:rsid w:val="00B9372E"/>
    <w:rsid w:val="00B95F33"/>
    <w:rsid w:val="00B967A9"/>
    <w:rsid w:val="00BA0F4A"/>
    <w:rsid w:val="00BA250C"/>
    <w:rsid w:val="00BA58D9"/>
    <w:rsid w:val="00BA6B4C"/>
    <w:rsid w:val="00BA7211"/>
    <w:rsid w:val="00BB21B8"/>
    <w:rsid w:val="00BB2AA7"/>
    <w:rsid w:val="00BB3908"/>
    <w:rsid w:val="00BB4F6E"/>
    <w:rsid w:val="00BB5150"/>
    <w:rsid w:val="00BB52EE"/>
    <w:rsid w:val="00BC0628"/>
    <w:rsid w:val="00BC1908"/>
    <w:rsid w:val="00BC21BF"/>
    <w:rsid w:val="00BC66FE"/>
    <w:rsid w:val="00BD1723"/>
    <w:rsid w:val="00BD1D68"/>
    <w:rsid w:val="00BD22B8"/>
    <w:rsid w:val="00BD25E9"/>
    <w:rsid w:val="00BD30ED"/>
    <w:rsid w:val="00BD4914"/>
    <w:rsid w:val="00BD5189"/>
    <w:rsid w:val="00BD747A"/>
    <w:rsid w:val="00BE267E"/>
    <w:rsid w:val="00BE47B2"/>
    <w:rsid w:val="00BE5449"/>
    <w:rsid w:val="00BE5A67"/>
    <w:rsid w:val="00BF08DD"/>
    <w:rsid w:val="00BF3B6A"/>
    <w:rsid w:val="00BF49C7"/>
    <w:rsid w:val="00C0318D"/>
    <w:rsid w:val="00C07C4E"/>
    <w:rsid w:val="00C118B2"/>
    <w:rsid w:val="00C12B99"/>
    <w:rsid w:val="00C15624"/>
    <w:rsid w:val="00C15BC0"/>
    <w:rsid w:val="00C20AA1"/>
    <w:rsid w:val="00C210CC"/>
    <w:rsid w:val="00C21D57"/>
    <w:rsid w:val="00C239F6"/>
    <w:rsid w:val="00C24C0A"/>
    <w:rsid w:val="00C25608"/>
    <w:rsid w:val="00C25E36"/>
    <w:rsid w:val="00C26F81"/>
    <w:rsid w:val="00C3027A"/>
    <w:rsid w:val="00C40B7E"/>
    <w:rsid w:val="00C43E84"/>
    <w:rsid w:val="00C45CD5"/>
    <w:rsid w:val="00C56E5D"/>
    <w:rsid w:val="00C60F72"/>
    <w:rsid w:val="00C6107E"/>
    <w:rsid w:val="00C638B2"/>
    <w:rsid w:val="00C63E54"/>
    <w:rsid w:val="00C64047"/>
    <w:rsid w:val="00C64238"/>
    <w:rsid w:val="00C653BC"/>
    <w:rsid w:val="00C66500"/>
    <w:rsid w:val="00C70B0B"/>
    <w:rsid w:val="00C7150D"/>
    <w:rsid w:val="00C7226E"/>
    <w:rsid w:val="00C72674"/>
    <w:rsid w:val="00C73CF9"/>
    <w:rsid w:val="00C74FEF"/>
    <w:rsid w:val="00C76D6D"/>
    <w:rsid w:val="00C8124F"/>
    <w:rsid w:val="00C82870"/>
    <w:rsid w:val="00C8584A"/>
    <w:rsid w:val="00C8624A"/>
    <w:rsid w:val="00C87756"/>
    <w:rsid w:val="00C95278"/>
    <w:rsid w:val="00C954D9"/>
    <w:rsid w:val="00C95B2F"/>
    <w:rsid w:val="00CA0E2F"/>
    <w:rsid w:val="00CA1062"/>
    <w:rsid w:val="00CA2BD7"/>
    <w:rsid w:val="00CA3738"/>
    <w:rsid w:val="00CA42F7"/>
    <w:rsid w:val="00CA5541"/>
    <w:rsid w:val="00CA6969"/>
    <w:rsid w:val="00CA71B7"/>
    <w:rsid w:val="00CB00F3"/>
    <w:rsid w:val="00CB12BA"/>
    <w:rsid w:val="00CB484E"/>
    <w:rsid w:val="00CB4B53"/>
    <w:rsid w:val="00CB7D21"/>
    <w:rsid w:val="00CC16B2"/>
    <w:rsid w:val="00CC2E96"/>
    <w:rsid w:val="00CC4D1C"/>
    <w:rsid w:val="00CC6596"/>
    <w:rsid w:val="00CD1AE3"/>
    <w:rsid w:val="00CD1B01"/>
    <w:rsid w:val="00CD1D5B"/>
    <w:rsid w:val="00CD1E6E"/>
    <w:rsid w:val="00CD341E"/>
    <w:rsid w:val="00CD5187"/>
    <w:rsid w:val="00CD7815"/>
    <w:rsid w:val="00CE3E78"/>
    <w:rsid w:val="00CE40B1"/>
    <w:rsid w:val="00CE6775"/>
    <w:rsid w:val="00CE67D7"/>
    <w:rsid w:val="00CE68DB"/>
    <w:rsid w:val="00CE6EEC"/>
    <w:rsid w:val="00CE7256"/>
    <w:rsid w:val="00CE76FC"/>
    <w:rsid w:val="00CE77E0"/>
    <w:rsid w:val="00CE7B60"/>
    <w:rsid w:val="00CF1AFB"/>
    <w:rsid w:val="00CF22CE"/>
    <w:rsid w:val="00CF297F"/>
    <w:rsid w:val="00CF29E9"/>
    <w:rsid w:val="00CF4052"/>
    <w:rsid w:val="00CF44B9"/>
    <w:rsid w:val="00D15DB8"/>
    <w:rsid w:val="00D15E50"/>
    <w:rsid w:val="00D175DD"/>
    <w:rsid w:val="00D20B49"/>
    <w:rsid w:val="00D22F33"/>
    <w:rsid w:val="00D22F4F"/>
    <w:rsid w:val="00D23E78"/>
    <w:rsid w:val="00D24137"/>
    <w:rsid w:val="00D24BFE"/>
    <w:rsid w:val="00D268C0"/>
    <w:rsid w:val="00D27162"/>
    <w:rsid w:val="00D277DC"/>
    <w:rsid w:val="00D31DC3"/>
    <w:rsid w:val="00D329CF"/>
    <w:rsid w:val="00D33EE5"/>
    <w:rsid w:val="00D347B9"/>
    <w:rsid w:val="00D429EE"/>
    <w:rsid w:val="00D42E2E"/>
    <w:rsid w:val="00D4571D"/>
    <w:rsid w:val="00D46C7B"/>
    <w:rsid w:val="00D47647"/>
    <w:rsid w:val="00D557EE"/>
    <w:rsid w:val="00D56B5F"/>
    <w:rsid w:val="00D57F4F"/>
    <w:rsid w:val="00D62251"/>
    <w:rsid w:val="00D638A6"/>
    <w:rsid w:val="00D65589"/>
    <w:rsid w:val="00D672EC"/>
    <w:rsid w:val="00D67B5C"/>
    <w:rsid w:val="00D67FCD"/>
    <w:rsid w:val="00D702A7"/>
    <w:rsid w:val="00D71F9C"/>
    <w:rsid w:val="00D72813"/>
    <w:rsid w:val="00D75B86"/>
    <w:rsid w:val="00D77BE8"/>
    <w:rsid w:val="00D77CAB"/>
    <w:rsid w:val="00D8213A"/>
    <w:rsid w:val="00D829F0"/>
    <w:rsid w:val="00D85B27"/>
    <w:rsid w:val="00D902D9"/>
    <w:rsid w:val="00D91533"/>
    <w:rsid w:val="00D91F0F"/>
    <w:rsid w:val="00D932DC"/>
    <w:rsid w:val="00D94FEE"/>
    <w:rsid w:val="00D9553B"/>
    <w:rsid w:val="00D97D3C"/>
    <w:rsid w:val="00DA046D"/>
    <w:rsid w:val="00DA269E"/>
    <w:rsid w:val="00DA4798"/>
    <w:rsid w:val="00DA6A48"/>
    <w:rsid w:val="00DB0B42"/>
    <w:rsid w:val="00DB3E84"/>
    <w:rsid w:val="00DB4069"/>
    <w:rsid w:val="00DC2054"/>
    <w:rsid w:val="00DC2472"/>
    <w:rsid w:val="00DC3648"/>
    <w:rsid w:val="00DC3E55"/>
    <w:rsid w:val="00DC4711"/>
    <w:rsid w:val="00DC55DE"/>
    <w:rsid w:val="00DC7DFF"/>
    <w:rsid w:val="00DC7F23"/>
    <w:rsid w:val="00DD0C12"/>
    <w:rsid w:val="00DD1E6F"/>
    <w:rsid w:val="00DD6562"/>
    <w:rsid w:val="00DD6D3A"/>
    <w:rsid w:val="00DE0F8A"/>
    <w:rsid w:val="00DE0FB2"/>
    <w:rsid w:val="00DE23E5"/>
    <w:rsid w:val="00DE495D"/>
    <w:rsid w:val="00DE4C4D"/>
    <w:rsid w:val="00DE4DCD"/>
    <w:rsid w:val="00DE524F"/>
    <w:rsid w:val="00DF3F29"/>
    <w:rsid w:val="00DF421A"/>
    <w:rsid w:val="00DF6982"/>
    <w:rsid w:val="00E0321A"/>
    <w:rsid w:val="00E04179"/>
    <w:rsid w:val="00E04A9E"/>
    <w:rsid w:val="00E064DB"/>
    <w:rsid w:val="00E07081"/>
    <w:rsid w:val="00E07E02"/>
    <w:rsid w:val="00E10293"/>
    <w:rsid w:val="00E104D5"/>
    <w:rsid w:val="00E10C23"/>
    <w:rsid w:val="00E10C47"/>
    <w:rsid w:val="00E12EBA"/>
    <w:rsid w:val="00E12F24"/>
    <w:rsid w:val="00E1439B"/>
    <w:rsid w:val="00E14F1B"/>
    <w:rsid w:val="00E1572D"/>
    <w:rsid w:val="00E164C5"/>
    <w:rsid w:val="00E219E6"/>
    <w:rsid w:val="00E23A33"/>
    <w:rsid w:val="00E31AAA"/>
    <w:rsid w:val="00E32A54"/>
    <w:rsid w:val="00E32C8A"/>
    <w:rsid w:val="00E3399A"/>
    <w:rsid w:val="00E34B38"/>
    <w:rsid w:val="00E354DC"/>
    <w:rsid w:val="00E404E4"/>
    <w:rsid w:val="00E4139F"/>
    <w:rsid w:val="00E414BD"/>
    <w:rsid w:val="00E41791"/>
    <w:rsid w:val="00E4260B"/>
    <w:rsid w:val="00E46F22"/>
    <w:rsid w:val="00E5077C"/>
    <w:rsid w:val="00E5206D"/>
    <w:rsid w:val="00E52B76"/>
    <w:rsid w:val="00E52CF4"/>
    <w:rsid w:val="00E563C2"/>
    <w:rsid w:val="00E56618"/>
    <w:rsid w:val="00E57724"/>
    <w:rsid w:val="00E578CB"/>
    <w:rsid w:val="00E6026B"/>
    <w:rsid w:val="00E612DB"/>
    <w:rsid w:val="00E618C0"/>
    <w:rsid w:val="00E61F6D"/>
    <w:rsid w:val="00E62DFD"/>
    <w:rsid w:val="00E66A52"/>
    <w:rsid w:val="00E672C6"/>
    <w:rsid w:val="00E673B8"/>
    <w:rsid w:val="00E72086"/>
    <w:rsid w:val="00E72F51"/>
    <w:rsid w:val="00E75855"/>
    <w:rsid w:val="00E76131"/>
    <w:rsid w:val="00E76860"/>
    <w:rsid w:val="00E76ABB"/>
    <w:rsid w:val="00E80E71"/>
    <w:rsid w:val="00E818CE"/>
    <w:rsid w:val="00E871BE"/>
    <w:rsid w:val="00E87816"/>
    <w:rsid w:val="00E9133D"/>
    <w:rsid w:val="00E91AB2"/>
    <w:rsid w:val="00E9227E"/>
    <w:rsid w:val="00E939FF"/>
    <w:rsid w:val="00E96F69"/>
    <w:rsid w:val="00EA04C4"/>
    <w:rsid w:val="00EA1623"/>
    <w:rsid w:val="00EA3D48"/>
    <w:rsid w:val="00EA5633"/>
    <w:rsid w:val="00EA6CB9"/>
    <w:rsid w:val="00EB05BA"/>
    <w:rsid w:val="00EB3DB6"/>
    <w:rsid w:val="00EB501C"/>
    <w:rsid w:val="00EB6490"/>
    <w:rsid w:val="00EC0F11"/>
    <w:rsid w:val="00EC18AD"/>
    <w:rsid w:val="00EC2C54"/>
    <w:rsid w:val="00EC3C1D"/>
    <w:rsid w:val="00EC6DCA"/>
    <w:rsid w:val="00ED078D"/>
    <w:rsid w:val="00ED0C71"/>
    <w:rsid w:val="00ED411F"/>
    <w:rsid w:val="00ED46A8"/>
    <w:rsid w:val="00ED5945"/>
    <w:rsid w:val="00ED6B25"/>
    <w:rsid w:val="00ED7B0D"/>
    <w:rsid w:val="00EE01AD"/>
    <w:rsid w:val="00EE31E5"/>
    <w:rsid w:val="00EE320D"/>
    <w:rsid w:val="00EE350A"/>
    <w:rsid w:val="00EF2CE0"/>
    <w:rsid w:val="00EF3C6F"/>
    <w:rsid w:val="00F01239"/>
    <w:rsid w:val="00F01266"/>
    <w:rsid w:val="00F01EE3"/>
    <w:rsid w:val="00F03275"/>
    <w:rsid w:val="00F034E4"/>
    <w:rsid w:val="00F03B70"/>
    <w:rsid w:val="00F04066"/>
    <w:rsid w:val="00F04115"/>
    <w:rsid w:val="00F05164"/>
    <w:rsid w:val="00F0568E"/>
    <w:rsid w:val="00F05D57"/>
    <w:rsid w:val="00F05FDA"/>
    <w:rsid w:val="00F06EFC"/>
    <w:rsid w:val="00F11861"/>
    <w:rsid w:val="00F11BDE"/>
    <w:rsid w:val="00F12BC6"/>
    <w:rsid w:val="00F131D7"/>
    <w:rsid w:val="00F144EA"/>
    <w:rsid w:val="00F15AF4"/>
    <w:rsid w:val="00F203D8"/>
    <w:rsid w:val="00F203F7"/>
    <w:rsid w:val="00F20AB2"/>
    <w:rsid w:val="00F21142"/>
    <w:rsid w:val="00F22605"/>
    <w:rsid w:val="00F24754"/>
    <w:rsid w:val="00F2535F"/>
    <w:rsid w:val="00F261AC"/>
    <w:rsid w:val="00F31503"/>
    <w:rsid w:val="00F31846"/>
    <w:rsid w:val="00F31D8C"/>
    <w:rsid w:val="00F34BB1"/>
    <w:rsid w:val="00F361FB"/>
    <w:rsid w:val="00F363D1"/>
    <w:rsid w:val="00F377FA"/>
    <w:rsid w:val="00F37F8E"/>
    <w:rsid w:val="00F44F32"/>
    <w:rsid w:val="00F46689"/>
    <w:rsid w:val="00F52B27"/>
    <w:rsid w:val="00F52ECF"/>
    <w:rsid w:val="00F5419E"/>
    <w:rsid w:val="00F604AE"/>
    <w:rsid w:val="00F608DE"/>
    <w:rsid w:val="00F61491"/>
    <w:rsid w:val="00F620CD"/>
    <w:rsid w:val="00F62B12"/>
    <w:rsid w:val="00F6413F"/>
    <w:rsid w:val="00F6454F"/>
    <w:rsid w:val="00F662DE"/>
    <w:rsid w:val="00F6711C"/>
    <w:rsid w:val="00F679EC"/>
    <w:rsid w:val="00F67C2B"/>
    <w:rsid w:val="00F67C6A"/>
    <w:rsid w:val="00F67CB5"/>
    <w:rsid w:val="00F72C00"/>
    <w:rsid w:val="00F7525D"/>
    <w:rsid w:val="00F766D1"/>
    <w:rsid w:val="00F77A84"/>
    <w:rsid w:val="00F80021"/>
    <w:rsid w:val="00F853B3"/>
    <w:rsid w:val="00F859AE"/>
    <w:rsid w:val="00F877F1"/>
    <w:rsid w:val="00F9384E"/>
    <w:rsid w:val="00F961A4"/>
    <w:rsid w:val="00F96852"/>
    <w:rsid w:val="00FA0B1A"/>
    <w:rsid w:val="00FA1758"/>
    <w:rsid w:val="00FA17B6"/>
    <w:rsid w:val="00FA470B"/>
    <w:rsid w:val="00FA4731"/>
    <w:rsid w:val="00FB0769"/>
    <w:rsid w:val="00FB3EE3"/>
    <w:rsid w:val="00FB478F"/>
    <w:rsid w:val="00FB56AE"/>
    <w:rsid w:val="00FB6739"/>
    <w:rsid w:val="00FB73EC"/>
    <w:rsid w:val="00FB75C9"/>
    <w:rsid w:val="00FB79B8"/>
    <w:rsid w:val="00FC0D2F"/>
    <w:rsid w:val="00FC1CA4"/>
    <w:rsid w:val="00FC381D"/>
    <w:rsid w:val="00FC5A44"/>
    <w:rsid w:val="00FC5F36"/>
    <w:rsid w:val="00FC6455"/>
    <w:rsid w:val="00FC672E"/>
    <w:rsid w:val="00FC7BE6"/>
    <w:rsid w:val="00FD10DD"/>
    <w:rsid w:val="00FD18F9"/>
    <w:rsid w:val="00FD1C92"/>
    <w:rsid w:val="00FD22F2"/>
    <w:rsid w:val="00FD3646"/>
    <w:rsid w:val="00FD369C"/>
    <w:rsid w:val="00FD42B4"/>
    <w:rsid w:val="00FD6576"/>
    <w:rsid w:val="00FD6903"/>
    <w:rsid w:val="00FD7C40"/>
    <w:rsid w:val="00FE0356"/>
    <w:rsid w:val="00FE0FDE"/>
    <w:rsid w:val="00FE2943"/>
    <w:rsid w:val="00FE3CDC"/>
    <w:rsid w:val="00FE4239"/>
    <w:rsid w:val="00FE4A19"/>
    <w:rsid w:val="00FF5403"/>
    <w:rsid w:val="00FF5ECF"/>
    <w:rsid w:val="00FF650F"/>
    <w:rsid w:val="00FF7C8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f" fillcolor="white" stroke="f">
      <v:fill color="white" on="f"/>
      <v:stroke on="f"/>
      <v:textbox style="layout-flow:vertical;mso-layout-flow-alt:bottom-to-top;mso-fit-shape-to-text:t"/>
      <o:colormru v:ext="edit" colors="#36c,#039"/>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Title" w:qFormat="1"/>
    <w:lsdException w:name="Subtitle" w:qFormat="1"/>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Acronym" w:uiPriority="99"/>
    <w:lsdException w:name="HTML Cite"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9B8"/>
    <w:pPr>
      <w:spacing w:before="120"/>
      <w:jc w:val="both"/>
    </w:pPr>
    <w:rPr>
      <w:rFonts w:ascii="Calibri" w:hAnsi="Calibri"/>
      <w:sz w:val="21"/>
      <w:szCs w:val="22"/>
      <w:lang w:val="fr-FR" w:eastAsia="fr-FR"/>
    </w:rPr>
  </w:style>
  <w:style w:type="paragraph" w:styleId="Heading1">
    <w:name w:val="heading 1"/>
    <w:basedOn w:val="Normal"/>
    <w:next w:val="Normal"/>
    <w:link w:val="Heading1Char"/>
    <w:uiPriority w:val="9"/>
    <w:qFormat/>
    <w:rsid w:val="00F20AB2"/>
    <w:pPr>
      <w:keepNext/>
      <w:keepLines/>
      <w:tabs>
        <w:tab w:val="left" w:pos="851"/>
      </w:tabs>
      <w:spacing w:before="400"/>
      <w:outlineLvl w:val="0"/>
    </w:pPr>
    <w:rPr>
      <w:rFonts w:eastAsia="Times New Roman" w:cs="Helvetica"/>
      <w:b/>
      <w:bCs/>
      <w:color w:val="E36C0A"/>
      <w:sz w:val="28"/>
      <w:szCs w:val="28"/>
      <w:lang w:val="en-US"/>
    </w:rPr>
  </w:style>
  <w:style w:type="paragraph" w:styleId="Heading2">
    <w:name w:val="heading 2"/>
    <w:basedOn w:val="Normal"/>
    <w:next w:val="Normal"/>
    <w:link w:val="Heading2Char"/>
    <w:uiPriority w:val="9"/>
    <w:qFormat/>
    <w:rsid w:val="00F20AB2"/>
    <w:pPr>
      <w:keepNext/>
      <w:tabs>
        <w:tab w:val="left" w:pos="851"/>
      </w:tabs>
      <w:spacing w:before="400"/>
      <w:outlineLvl w:val="1"/>
    </w:pPr>
    <w:rPr>
      <w:rFonts w:eastAsia="Times New Roman" w:cs="Helvetica"/>
      <w:b/>
      <w:bCs/>
      <w:color w:val="E36C0A"/>
      <w:sz w:val="24"/>
      <w:szCs w:val="32"/>
      <w:lang w:val="en-US"/>
    </w:rPr>
  </w:style>
  <w:style w:type="paragraph" w:styleId="Heading3">
    <w:name w:val="heading 3"/>
    <w:basedOn w:val="Heading2"/>
    <w:next w:val="Normal"/>
    <w:link w:val="Heading3Char"/>
    <w:uiPriority w:val="9"/>
    <w:qFormat/>
    <w:rsid w:val="00F20AB2"/>
    <w:pPr>
      <w:spacing w:before="240"/>
      <w:outlineLvl w:val="2"/>
    </w:pPr>
    <w:rPr>
      <w:i/>
      <w:iCs/>
    </w:rPr>
  </w:style>
  <w:style w:type="paragraph" w:styleId="Heading4">
    <w:name w:val="heading 4"/>
    <w:basedOn w:val="Normal"/>
    <w:next w:val="Normal"/>
    <w:link w:val="Heading4Char"/>
    <w:uiPriority w:val="9"/>
    <w:qFormat/>
    <w:rsid w:val="00993280"/>
    <w:pPr>
      <w:keepNext/>
      <w:tabs>
        <w:tab w:val="left" w:pos="993"/>
      </w:tabs>
      <w:spacing w:before="240" w:after="60"/>
      <w:outlineLvl w:val="3"/>
    </w:pPr>
    <w:rPr>
      <w:rFonts w:eastAsia="Times New Roman"/>
      <w:b/>
      <w:bCs/>
      <w:color w:val="E36C0A"/>
      <w:sz w:val="22"/>
      <w:lang w:val="en-GB" w:eastAsia="en-CA"/>
    </w:rPr>
  </w:style>
  <w:style w:type="paragraph" w:styleId="Heading5">
    <w:name w:val="heading 5"/>
    <w:basedOn w:val="Normal"/>
    <w:next w:val="Normal"/>
    <w:link w:val="Heading5Char"/>
    <w:uiPriority w:val="9"/>
    <w:qFormat/>
    <w:rsid w:val="00993280"/>
    <w:pPr>
      <w:keepNext/>
      <w:keepLines/>
      <w:tabs>
        <w:tab w:val="left" w:pos="1134"/>
      </w:tabs>
      <w:spacing w:before="240" w:after="60"/>
      <w:ind w:left="1134" w:hanging="1134"/>
      <w:outlineLvl w:val="4"/>
    </w:pPr>
    <w:rPr>
      <w:rFonts w:eastAsia="Times New Roman"/>
      <w:b/>
      <w:bCs/>
      <w:i/>
      <w:iCs/>
      <w:color w:val="E36C0A"/>
      <w:sz w:val="22"/>
      <w:lang w:val="en-GB"/>
    </w:rPr>
  </w:style>
  <w:style w:type="paragraph" w:styleId="Heading6">
    <w:name w:val="heading 6"/>
    <w:basedOn w:val="Normal"/>
    <w:next w:val="Normal"/>
    <w:link w:val="Heading6Char"/>
    <w:uiPriority w:val="9"/>
    <w:qFormat/>
    <w:rsid w:val="00ED46A8"/>
    <w:pPr>
      <w:spacing w:before="240" w:after="60"/>
      <w:outlineLvl w:val="5"/>
    </w:pPr>
    <w:rPr>
      <w:b/>
      <w:bCs/>
    </w:rPr>
  </w:style>
  <w:style w:type="paragraph" w:styleId="Heading7">
    <w:name w:val="heading 7"/>
    <w:basedOn w:val="Normal"/>
    <w:next w:val="Normal"/>
    <w:link w:val="Heading7Char"/>
    <w:uiPriority w:val="9"/>
    <w:qFormat/>
    <w:rsid w:val="00C43E84"/>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rsid w:val="00C43E84"/>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
    <w:rsid w:val="00C43E8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75AFE"/>
    <w:pPr>
      <w:spacing w:before="0"/>
    </w:pPr>
    <w:rPr>
      <w:rFonts w:ascii="Tahoma" w:hAnsi="Tahoma" w:cs="Tahoma"/>
      <w:sz w:val="16"/>
      <w:szCs w:val="16"/>
    </w:rPr>
  </w:style>
  <w:style w:type="character" w:customStyle="1" w:styleId="BalloonTextChar">
    <w:name w:val="Balloon Text Char"/>
    <w:basedOn w:val="DefaultParagraphFont"/>
    <w:link w:val="BalloonText"/>
    <w:rsid w:val="00075AFE"/>
    <w:rPr>
      <w:rFonts w:ascii="Tahoma" w:hAnsi="Tahoma" w:cs="Tahoma"/>
      <w:sz w:val="16"/>
      <w:szCs w:val="16"/>
      <w:lang w:val="fr-FR" w:eastAsia="fr-FR"/>
    </w:rPr>
  </w:style>
  <w:style w:type="paragraph" w:styleId="Header">
    <w:name w:val="header"/>
    <w:basedOn w:val="Normal"/>
    <w:link w:val="HeaderChar"/>
    <w:uiPriority w:val="99"/>
    <w:rsid w:val="00837668"/>
    <w:pPr>
      <w:pBdr>
        <w:bottom w:val="single" w:sz="12" w:space="1" w:color="E36C0A" w:themeColor="accent6" w:themeShade="BF"/>
      </w:pBdr>
      <w:jc w:val="center"/>
    </w:pPr>
    <w:rPr>
      <w:rFonts w:eastAsia="Times New Roman" w:cs="Calibri"/>
      <w:i/>
      <w:iCs/>
      <w:szCs w:val="21"/>
      <w:lang w:val="en-US"/>
    </w:rPr>
  </w:style>
  <w:style w:type="character" w:customStyle="1" w:styleId="HeaderChar">
    <w:name w:val="Header Char"/>
    <w:basedOn w:val="DefaultParagraphFont"/>
    <w:link w:val="Header"/>
    <w:uiPriority w:val="99"/>
    <w:rsid w:val="00837668"/>
    <w:rPr>
      <w:rFonts w:ascii="Calibri" w:eastAsia="Times New Roman" w:hAnsi="Calibri" w:cs="Calibri"/>
      <w:i/>
      <w:iCs/>
      <w:sz w:val="21"/>
      <w:szCs w:val="21"/>
      <w:lang w:eastAsia="fr-FR"/>
    </w:rPr>
  </w:style>
  <w:style w:type="character" w:styleId="Hyperlink">
    <w:name w:val="Hyperlink"/>
    <w:basedOn w:val="DefaultParagraphFont"/>
    <w:uiPriority w:val="99"/>
    <w:rsid w:val="00FF7C81"/>
    <w:rPr>
      <w:color w:val="0000FF"/>
      <w:u w:val="single"/>
    </w:rPr>
  </w:style>
  <w:style w:type="paragraph" w:styleId="TOC2">
    <w:name w:val="toc 2"/>
    <w:basedOn w:val="Normal"/>
    <w:next w:val="Normal"/>
    <w:autoRedefine/>
    <w:uiPriority w:val="39"/>
    <w:rsid w:val="000861B1"/>
    <w:pPr>
      <w:tabs>
        <w:tab w:val="left" w:pos="567"/>
        <w:tab w:val="left" w:pos="1134"/>
        <w:tab w:val="right" w:leader="dot" w:pos="8505"/>
        <w:tab w:val="right" w:pos="9072"/>
      </w:tabs>
      <w:ind w:left="567" w:rightChars="269" w:right="565"/>
    </w:pPr>
    <w:rPr>
      <w:rFonts w:cs="Helvetica"/>
      <w:bCs/>
      <w:noProof/>
      <w:szCs w:val="24"/>
      <w:u w:color="3366CC"/>
    </w:rPr>
  </w:style>
  <w:style w:type="paragraph" w:styleId="TOC1">
    <w:name w:val="toc 1"/>
    <w:basedOn w:val="Normal"/>
    <w:next w:val="Normal"/>
    <w:uiPriority w:val="39"/>
    <w:rsid w:val="0017278E"/>
    <w:pPr>
      <w:keepNext/>
      <w:keepLines/>
      <w:tabs>
        <w:tab w:val="left" w:pos="567"/>
        <w:tab w:val="right" w:leader="dot" w:pos="8505"/>
        <w:tab w:val="right" w:pos="9071"/>
      </w:tabs>
      <w:spacing w:before="200"/>
      <w:jc w:val="left"/>
    </w:pPr>
    <w:rPr>
      <w:rFonts w:eastAsia="SimSun" w:cs="Helvetica"/>
      <w:b/>
      <w:bCs/>
      <w:noProof/>
      <w:szCs w:val="28"/>
      <w:lang w:val="en-US"/>
    </w:rPr>
  </w:style>
  <w:style w:type="paragraph" w:customStyle="1" w:styleId="Enumlevel2">
    <w:name w:val="Enum level 2"/>
    <w:basedOn w:val="Enumlevel1"/>
    <w:link w:val="Enumlevel2Char"/>
    <w:qFormat/>
    <w:rsid w:val="002B493E"/>
    <w:pPr>
      <w:ind w:left="1134" w:hanging="425"/>
    </w:pPr>
    <w:rPr>
      <w:lang w:val="en-AU"/>
    </w:rPr>
  </w:style>
  <w:style w:type="paragraph" w:customStyle="1" w:styleId="Figuretitle">
    <w:name w:val="Figure title"/>
    <w:basedOn w:val="Normal"/>
    <w:link w:val="FiguretitleChar"/>
    <w:qFormat/>
    <w:rsid w:val="00B9372E"/>
    <w:pPr>
      <w:keepNext/>
      <w:pBdr>
        <w:top w:val="single" w:sz="12" w:space="1" w:color="E36C0A" w:themeColor="accent6" w:themeShade="BF"/>
        <w:left w:val="single" w:sz="12" w:space="1" w:color="E36C0A" w:themeColor="accent6" w:themeShade="BF"/>
        <w:bottom w:val="single" w:sz="12" w:space="1" w:color="E36C0A" w:themeColor="accent6" w:themeShade="BF"/>
        <w:right w:val="single" w:sz="12" w:space="1" w:color="E36C0A" w:themeColor="accent6" w:themeShade="BF"/>
      </w:pBdr>
      <w:shd w:val="clear" w:color="auto" w:fill="FBD4B4" w:themeFill="accent6" w:themeFillTint="66"/>
      <w:autoSpaceDE w:val="0"/>
      <w:autoSpaceDN w:val="0"/>
      <w:adjustRightInd w:val="0"/>
      <w:spacing w:before="200"/>
      <w:ind w:left="425" w:hanging="425"/>
    </w:pPr>
    <w:rPr>
      <w:rFonts w:eastAsia="SimSun" w:cs="Arial"/>
      <w:b/>
      <w:color w:val="000000"/>
      <w:lang w:val="en-AU"/>
    </w:rPr>
  </w:style>
  <w:style w:type="paragraph" w:customStyle="1" w:styleId="PartTitle">
    <w:name w:val="Part Title"/>
    <w:basedOn w:val="Heading2"/>
    <w:next w:val="Normal"/>
    <w:link w:val="PartTitleChar"/>
    <w:rsid w:val="0010485E"/>
    <w:pPr>
      <w:tabs>
        <w:tab w:val="left" w:pos="1134"/>
      </w:tabs>
    </w:pPr>
    <w:rPr>
      <w:i/>
      <w:sz w:val="44"/>
      <w:szCs w:val="36"/>
      <w:u w:color="E36C0A"/>
      <w:lang w:val="en-AU"/>
    </w:rPr>
  </w:style>
  <w:style w:type="character" w:customStyle="1" w:styleId="Enumlevel2Char">
    <w:name w:val="Enum level 2 Char"/>
    <w:basedOn w:val="Enumlevel1Char"/>
    <w:link w:val="Enumlevel2"/>
    <w:rsid w:val="002B493E"/>
    <w:rPr>
      <w:rFonts w:ascii="Calibri" w:eastAsia="SimSun" w:hAnsi="Calibri" w:cs="Calibri"/>
      <w:sz w:val="21"/>
      <w:szCs w:val="21"/>
      <w:lang w:val="en-AU" w:eastAsia="en-GB"/>
    </w:rPr>
  </w:style>
  <w:style w:type="paragraph" w:customStyle="1" w:styleId="Figure">
    <w:name w:val="Figure"/>
    <w:basedOn w:val="Figuretitle"/>
    <w:link w:val="FigureChar"/>
    <w:qFormat/>
    <w:rsid w:val="006D6DFB"/>
    <w:pPr>
      <w:spacing w:before="240" w:after="120"/>
      <w:jc w:val="center"/>
    </w:pPr>
    <w:rPr>
      <w:b w:val="0"/>
      <w:bCs/>
    </w:rPr>
  </w:style>
  <w:style w:type="character" w:customStyle="1" w:styleId="FiguretitleChar">
    <w:name w:val="Figure title Char"/>
    <w:basedOn w:val="DefaultParagraphFont"/>
    <w:link w:val="Figuretitle"/>
    <w:rsid w:val="00B9372E"/>
    <w:rPr>
      <w:rFonts w:ascii="Calibri" w:eastAsia="SimSun" w:hAnsi="Calibri" w:cs="Arial"/>
      <w:b/>
      <w:color w:val="000000"/>
      <w:sz w:val="21"/>
      <w:szCs w:val="22"/>
      <w:shd w:val="clear" w:color="auto" w:fill="FBD4B4" w:themeFill="accent6" w:themeFillTint="66"/>
      <w:lang w:val="en-AU" w:eastAsia="fr-FR"/>
    </w:rPr>
  </w:style>
  <w:style w:type="paragraph" w:customStyle="1" w:styleId="figuresource">
    <w:name w:val="figure source"/>
    <w:basedOn w:val="Figuretitle"/>
    <w:link w:val="figuresourceChar"/>
    <w:qFormat/>
    <w:rsid w:val="006D6DFB"/>
    <w:pPr>
      <w:jc w:val="left"/>
    </w:pPr>
    <w:rPr>
      <w:b w:val="0"/>
      <w:bCs/>
      <w:i/>
      <w:iCs/>
      <w:sz w:val="19"/>
      <w:szCs w:val="19"/>
    </w:rPr>
  </w:style>
  <w:style w:type="character" w:customStyle="1" w:styleId="FigureChar">
    <w:name w:val="Figure Char"/>
    <w:basedOn w:val="FiguretitleChar"/>
    <w:link w:val="Figure"/>
    <w:rsid w:val="006D6DFB"/>
    <w:rPr>
      <w:rFonts w:ascii="Calibri" w:eastAsia="SimSun" w:hAnsi="Calibri" w:cs="Arial"/>
      <w:b w:val="0"/>
      <w:bCs/>
      <w:color w:val="000000"/>
      <w:sz w:val="21"/>
      <w:szCs w:val="22"/>
      <w:shd w:val="clear" w:color="auto" w:fill="C6D9F1" w:themeFill="text2" w:themeFillTint="33"/>
      <w:lang w:val="en-AU" w:eastAsia="fr-FR"/>
    </w:rPr>
  </w:style>
  <w:style w:type="character" w:customStyle="1" w:styleId="href">
    <w:name w:val="href"/>
    <w:basedOn w:val="DefaultParagraphFont"/>
    <w:uiPriority w:val="99"/>
    <w:rsid w:val="006104A4"/>
    <w:rPr>
      <w:rFonts w:cs="Times New Roman"/>
    </w:rPr>
  </w:style>
  <w:style w:type="character" w:customStyle="1" w:styleId="figuresourceChar">
    <w:name w:val="figure source Char"/>
    <w:basedOn w:val="FiguretitleChar"/>
    <w:link w:val="figuresource"/>
    <w:rsid w:val="006D6DFB"/>
    <w:rPr>
      <w:rFonts w:ascii="Calibri" w:eastAsia="SimSun" w:hAnsi="Calibri" w:cs="Arial"/>
      <w:b w:val="0"/>
      <w:bCs/>
      <w:i/>
      <w:iCs/>
      <w:color w:val="000000"/>
      <w:sz w:val="19"/>
      <w:szCs w:val="19"/>
      <w:shd w:val="clear" w:color="auto" w:fill="C6D9F1" w:themeFill="text2" w:themeFillTint="33"/>
      <w:lang w:val="en-AU" w:eastAsia="fr-FR"/>
    </w:rPr>
  </w:style>
  <w:style w:type="paragraph" w:styleId="TOC3">
    <w:name w:val="toc 3"/>
    <w:basedOn w:val="Normal"/>
    <w:next w:val="Normal"/>
    <w:autoRedefine/>
    <w:uiPriority w:val="39"/>
    <w:rsid w:val="0017278E"/>
    <w:pPr>
      <w:tabs>
        <w:tab w:val="right" w:pos="1701"/>
        <w:tab w:val="right" w:pos="1985"/>
        <w:tab w:val="right" w:leader="dot" w:pos="8505"/>
        <w:tab w:val="right" w:pos="9071"/>
      </w:tabs>
      <w:spacing w:before="40"/>
      <w:ind w:left="1701" w:hanging="567"/>
    </w:pPr>
    <w:rPr>
      <w:rFonts w:cs="Arial"/>
      <w:noProof/>
      <w:color w:val="000000"/>
      <w:szCs w:val="24"/>
      <w:lang w:val="en-US"/>
    </w:rPr>
  </w:style>
  <w:style w:type="paragraph" w:styleId="Footer">
    <w:name w:val="footer"/>
    <w:basedOn w:val="Normal"/>
    <w:link w:val="FooterChar"/>
    <w:uiPriority w:val="99"/>
    <w:rsid w:val="00837668"/>
    <w:pPr>
      <w:pBdr>
        <w:top w:val="single" w:sz="4" w:space="1" w:color="E36C0A" w:themeColor="accent6" w:themeShade="BF"/>
      </w:pBdr>
      <w:tabs>
        <w:tab w:val="right" w:pos="9071"/>
      </w:tabs>
      <w:ind w:left="6804"/>
      <w:jc w:val="right"/>
    </w:pPr>
  </w:style>
  <w:style w:type="character" w:customStyle="1" w:styleId="FooterChar">
    <w:name w:val="Footer Char"/>
    <w:basedOn w:val="DefaultParagraphFont"/>
    <w:link w:val="Footer"/>
    <w:uiPriority w:val="99"/>
    <w:rsid w:val="00837668"/>
    <w:rPr>
      <w:rFonts w:ascii="Calibri" w:hAnsi="Calibri"/>
      <w:sz w:val="21"/>
      <w:szCs w:val="22"/>
      <w:lang w:val="fr-FR" w:eastAsia="fr-FR"/>
    </w:rPr>
  </w:style>
  <w:style w:type="table" w:customStyle="1" w:styleId="HIPTable">
    <w:name w:val="HIP Table"/>
    <w:basedOn w:val="TableNormal"/>
    <w:rsid w:val="00B23A08"/>
    <w:rPr>
      <w:rFonts w:ascii="Helvetica" w:hAnsi="Helvetica"/>
      <w:sz w:val="18"/>
    </w:rPr>
    <w:tblPr>
      <w:tblInd w:w="0" w:type="dxa"/>
      <w:tblBorders>
        <w:top w:val="single" w:sz="18" w:space="0" w:color="008000"/>
        <w:bottom w:val="single" w:sz="18" w:space="0" w:color="008000"/>
        <w:insideH w:val="single" w:sz="18" w:space="0" w:color="008000"/>
      </w:tblBorders>
      <w:tblCellMar>
        <w:top w:w="57" w:type="dxa"/>
        <w:left w:w="57" w:type="dxa"/>
        <w:bottom w:w="57" w:type="dxa"/>
        <w:right w:w="57" w:type="dxa"/>
      </w:tblCellMar>
    </w:tblPr>
    <w:tblStylePr w:type="firstRow">
      <w:rPr>
        <w:rFonts w:ascii="Helvetica" w:hAnsi="Helvetica"/>
        <w:sz w:val="20"/>
      </w:rPr>
    </w:tblStylePr>
  </w:style>
  <w:style w:type="numbering" w:customStyle="1" w:styleId="HIPTitlesHierarchy">
    <w:name w:val="HIP Titles Hierarchy"/>
    <w:rsid w:val="00C43E84"/>
    <w:pPr>
      <w:numPr>
        <w:numId w:val="3"/>
      </w:numPr>
    </w:pPr>
  </w:style>
  <w:style w:type="numbering" w:customStyle="1" w:styleId="HIPBulletsHierarchy">
    <w:name w:val="HIP Bullets Hierarchy"/>
    <w:rsid w:val="00C43E84"/>
    <w:pPr>
      <w:numPr>
        <w:numId w:val="2"/>
      </w:numPr>
    </w:pPr>
  </w:style>
  <w:style w:type="character" w:customStyle="1" w:styleId="Heading2Char">
    <w:name w:val="Heading 2 Char"/>
    <w:basedOn w:val="DefaultParagraphFont"/>
    <w:link w:val="Heading2"/>
    <w:uiPriority w:val="9"/>
    <w:rsid w:val="00F20AB2"/>
    <w:rPr>
      <w:rFonts w:ascii="Calibri" w:eastAsia="Times New Roman" w:hAnsi="Calibri" w:cs="Helvetica"/>
      <w:b/>
      <w:bCs/>
      <w:color w:val="E36C0A"/>
      <w:sz w:val="24"/>
      <w:szCs w:val="32"/>
      <w:lang w:eastAsia="fr-FR"/>
    </w:rPr>
  </w:style>
  <w:style w:type="character" w:customStyle="1" w:styleId="PartTitleChar">
    <w:name w:val="Part Title Char"/>
    <w:basedOn w:val="Heading2Char"/>
    <w:link w:val="PartTitle"/>
    <w:rsid w:val="0010485E"/>
    <w:rPr>
      <w:rFonts w:ascii="Calibri" w:eastAsia="Times New Roman" w:hAnsi="Calibri" w:cs="Helvetica"/>
      <w:b/>
      <w:bCs/>
      <w:i/>
      <w:color w:val="548DD4" w:themeColor="text2" w:themeTint="99"/>
      <w:sz w:val="44"/>
      <w:szCs w:val="36"/>
      <w:u w:color="E36C0A"/>
      <w:lang w:val="en-AU" w:eastAsia="fr-FR"/>
    </w:rPr>
  </w:style>
  <w:style w:type="paragraph" w:styleId="FootnoteText">
    <w:name w:val="footnote text"/>
    <w:basedOn w:val="Normal"/>
    <w:link w:val="FootnoteTextChar"/>
    <w:rsid w:val="007202A5"/>
    <w:pPr>
      <w:tabs>
        <w:tab w:val="left" w:pos="284"/>
      </w:tabs>
    </w:pPr>
    <w:rPr>
      <w:sz w:val="18"/>
      <w:szCs w:val="18"/>
      <w:lang w:val="en-US"/>
    </w:rPr>
  </w:style>
  <w:style w:type="character" w:customStyle="1" w:styleId="FootnoteTextChar">
    <w:name w:val="Footnote Text Char"/>
    <w:basedOn w:val="DefaultParagraphFont"/>
    <w:link w:val="FootnoteText"/>
    <w:rsid w:val="007202A5"/>
    <w:rPr>
      <w:rFonts w:ascii="Calibri" w:hAnsi="Calibri"/>
      <w:sz w:val="18"/>
      <w:szCs w:val="18"/>
      <w:lang w:eastAsia="fr-FR"/>
    </w:rPr>
  </w:style>
  <w:style w:type="character" w:styleId="FootnoteReference">
    <w:name w:val="footnote reference"/>
    <w:basedOn w:val="DefaultParagraphFont"/>
    <w:rsid w:val="004866ED"/>
    <w:rPr>
      <w:rFonts w:ascii="Calibri" w:hAnsi="Calibri"/>
      <w:sz w:val="21"/>
      <w:vertAlign w:val="superscript"/>
      <w:lang w:val="fr-CH"/>
    </w:rPr>
  </w:style>
  <w:style w:type="table" w:styleId="TableGrid">
    <w:name w:val="Table Grid"/>
    <w:basedOn w:val="TableNormal"/>
    <w:uiPriority w:val="59"/>
    <w:rsid w:val="00370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621F9"/>
    <w:pPr>
      <w:autoSpaceDE w:val="0"/>
      <w:autoSpaceDN w:val="0"/>
      <w:adjustRightInd w:val="0"/>
    </w:pPr>
    <w:rPr>
      <w:color w:val="000000"/>
      <w:sz w:val="24"/>
      <w:szCs w:val="24"/>
      <w:lang w:val="en-TT" w:eastAsia="en-US"/>
    </w:rPr>
  </w:style>
  <w:style w:type="paragraph" w:customStyle="1" w:styleId="Chapttitle">
    <w:name w:val="Chapt title"/>
    <w:basedOn w:val="Normal"/>
    <w:link w:val="ChapttitleChar"/>
    <w:qFormat/>
    <w:rsid w:val="000A55BE"/>
    <w:pPr>
      <w:keepNext/>
      <w:keepLines/>
      <w:tabs>
        <w:tab w:val="left" w:pos="851"/>
      </w:tabs>
      <w:spacing w:before="0"/>
      <w:jc w:val="center"/>
      <w:outlineLvl w:val="0"/>
    </w:pPr>
    <w:rPr>
      <w:rFonts w:cs="Helvetica"/>
      <w:b/>
      <w:bCs/>
      <w:color w:val="E36C0A" w:themeColor="accent6" w:themeShade="BF"/>
      <w:sz w:val="40"/>
      <w:szCs w:val="28"/>
      <w:lang w:val="en-US"/>
    </w:rPr>
  </w:style>
  <w:style w:type="paragraph" w:customStyle="1" w:styleId="Toc0">
    <w:name w:val="Toc 0"/>
    <w:basedOn w:val="Normal"/>
    <w:link w:val="Toc0Char"/>
    <w:qFormat/>
    <w:rsid w:val="000A55BE"/>
    <w:pPr>
      <w:tabs>
        <w:tab w:val="right" w:pos="9071"/>
      </w:tabs>
      <w:spacing w:before="200"/>
      <w:jc w:val="right"/>
    </w:pPr>
    <w:rPr>
      <w:rFonts w:cs="Helvetica"/>
      <w:bCs/>
      <w:i/>
      <w:iCs/>
      <w:noProof/>
      <w:color w:val="E36C0A" w:themeColor="accent6" w:themeShade="BF"/>
      <w:szCs w:val="28"/>
      <w:lang w:val="en-US"/>
    </w:rPr>
  </w:style>
  <w:style w:type="character" w:customStyle="1" w:styleId="Heading1Char">
    <w:name w:val="Heading 1 Char"/>
    <w:basedOn w:val="DefaultParagraphFont"/>
    <w:link w:val="Heading1"/>
    <w:uiPriority w:val="9"/>
    <w:rsid w:val="00F20AB2"/>
    <w:rPr>
      <w:rFonts w:ascii="Calibri" w:eastAsia="Times New Roman" w:hAnsi="Calibri" w:cs="Helvetica"/>
      <w:b/>
      <w:bCs/>
      <w:color w:val="E36C0A"/>
      <w:sz w:val="28"/>
      <w:szCs w:val="28"/>
      <w:lang w:eastAsia="fr-FR"/>
    </w:rPr>
  </w:style>
  <w:style w:type="character" w:customStyle="1" w:styleId="ChapttitleChar">
    <w:name w:val="Chapt title Char"/>
    <w:basedOn w:val="DefaultParagraphFont"/>
    <w:link w:val="Chapttitle"/>
    <w:rsid w:val="000A55BE"/>
    <w:rPr>
      <w:rFonts w:ascii="Calibri" w:hAnsi="Calibri" w:cs="Helvetica"/>
      <w:b/>
      <w:bCs/>
      <w:color w:val="E36C0A" w:themeColor="accent6" w:themeShade="BF"/>
      <w:sz w:val="40"/>
      <w:szCs w:val="28"/>
      <w:lang w:eastAsia="fr-FR"/>
    </w:rPr>
  </w:style>
  <w:style w:type="character" w:customStyle="1" w:styleId="Toc0Char">
    <w:name w:val="Toc 0 Char"/>
    <w:basedOn w:val="DefaultParagraphFont"/>
    <w:link w:val="Toc0"/>
    <w:rsid w:val="000A55BE"/>
    <w:rPr>
      <w:rFonts w:ascii="Calibri" w:hAnsi="Calibri" w:cs="Helvetica"/>
      <w:bCs/>
      <w:i/>
      <w:iCs/>
      <w:noProof/>
      <w:color w:val="E36C0A" w:themeColor="accent6" w:themeShade="BF"/>
      <w:sz w:val="21"/>
      <w:szCs w:val="28"/>
      <w:lang w:eastAsia="fr-FR"/>
    </w:rPr>
  </w:style>
  <w:style w:type="paragraph" w:customStyle="1" w:styleId="HeadingB">
    <w:name w:val="Heading B"/>
    <w:basedOn w:val="Normal"/>
    <w:link w:val="HeadingBChar"/>
    <w:qFormat/>
    <w:rsid w:val="000A55BE"/>
    <w:pPr>
      <w:spacing w:before="240"/>
    </w:pPr>
    <w:rPr>
      <w:b/>
      <w:bCs/>
      <w:color w:val="E36C0A" w:themeColor="accent6" w:themeShade="BF"/>
      <w:lang w:val="en-AU"/>
    </w:rPr>
  </w:style>
  <w:style w:type="paragraph" w:customStyle="1" w:styleId="Enumlevel1">
    <w:name w:val="Enum level 1"/>
    <w:basedOn w:val="Normal"/>
    <w:link w:val="Enumlevel1Char"/>
    <w:qFormat/>
    <w:rsid w:val="00DD1E6F"/>
    <w:pPr>
      <w:ind w:left="851" w:hanging="494"/>
    </w:pPr>
    <w:rPr>
      <w:rFonts w:eastAsia="SimSun" w:cs="Calibri"/>
      <w:szCs w:val="21"/>
      <w:lang w:val="en-GB" w:eastAsia="en-GB"/>
    </w:rPr>
  </w:style>
  <w:style w:type="character" w:customStyle="1" w:styleId="HeadingBChar">
    <w:name w:val="Heading B Char"/>
    <w:basedOn w:val="DefaultParagraphFont"/>
    <w:link w:val="HeadingB"/>
    <w:rsid w:val="000A55BE"/>
    <w:rPr>
      <w:rFonts w:ascii="Calibri" w:hAnsi="Calibri"/>
      <w:b/>
      <w:bCs/>
      <w:color w:val="E36C0A" w:themeColor="accent6" w:themeShade="BF"/>
      <w:sz w:val="21"/>
      <w:szCs w:val="22"/>
      <w:lang w:val="en-AU" w:eastAsia="fr-FR"/>
    </w:rPr>
  </w:style>
  <w:style w:type="paragraph" w:customStyle="1" w:styleId="Citation">
    <w:name w:val="Citation"/>
    <w:basedOn w:val="Normal"/>
    <w:link w:val="CitationChar"/>
    <w:qFormat/>
    <w:rsid w:val="00CA5541"/>
    <w:pPr>
      <w:pBdr>
        <w:top w:val="single" w:sz="12" w:space="1" w:color="FABF8F" w:themeColor="accent6" w:themeTint="99"/>
        <w:left w:val="single" w:sz="12" w:space="4" w:color="FABF8F" w:themeColor="accent6" w:themeTint="99"/>
        <w:bottom w:val="single" w:sz="12" w:space="1" w:color="FABF8F" w:themeColor="accent6" w:themeTint="99"/>
        <w:right w:val="single" w:sz="12" w:space="4" w:color="FABF8F" w:themeColor="accent6" w:themeTint="99"/>
      </w:pBdr>
      <w:shd w:val="clear" w:color="auto" w:fill="FDE9D9" w:themeFill="accent6" w:themeFillTint="33"/>
      <w:spacing w:before="240" w:after="240"/>
      <w:ind w:left="567" w:right="495"/>
    </w:pPr>
    <w:rPr>
      <w:bCs/>
      <w:i/>
      <w:iCs/>
      <w:lang w:val="en-US"/>
    </w:rPr>
  </w:style>
  <w:style w:type="character" w:customStyle="1" w:styleId="Enumlevel1Char">
    <w:name w:val="Enum level 1 Char"/>
    <w:basedOn w:val="DefaultParagraphFont"/>
    <w:link w:val="Enumlevel1"/>
    <w:rsid w:val="00DD1E6F"/>
    <w:rPr>
      <w:rFonts w:ascii="Calibri" w:eastAsia="SimSun" w:hAnsi="Calibri" w:cs="Calibri"/>
      <w:sz w:val="21"/>
      <w:szCs w:val="21"/>
      <w:lang w:val="en-GB" w:eastAsia="en-GB"/>
    </w:rPr>
  </w:style>
  <w:style w:type="paragraph" w:customStyle="1" w:styleId="Tablesource">
    <w:name w:val="Table source"/>
    <w:basedOn w:val="Tabletext"/>
    <w:link w:val="TablesourceChar"/>
    <w:qFormat/>
    <w:rsid w:val="00075AFE"/>
    <w:rPr>
      <w:i/>
      <w:iCs/>
      <w:lang w:val="en-US"/>
    </w:rPr>
  </w:style>
  <w:style w:type="character" w:customStyle="1" w:styleId="CitationChar">
    <w:name w:val="Citation Char"/>
    <w:basedOn w:val="DefaultParagraphFont"/>
    <w:link w:val="Citation"/>
    <w:rsid w:val="00CA5541"/>
    <w:rPr>
      <w:rFonts w:ascii="Calibri" w:hAnsi="Calibri"/>
      <w:bCs/>
      <w:i/>
      <w:iCs/>
      <w:sz w:val="21"/>
      <w:szCs w:val="22"/>
      <w:shd w:val="clear" w:color="auto" w:fill="FDE9D9" w:themeFill="accent6" w:themeFillTint="33"/>
      <w:lang w:eastAsia="fr-FR"/>
    </w:rPr>
  </w:style>
  <w:style w:type="paragraph" w:customStyle="1" w:styleId="Acknowledgements">
    <w:name w:val="Acknowledgements"/>
    <w:basedOn w:val="Figure"/>
    <w:link w:val="AcknowledgementsChar"/>
    <w:qFormat/>
    <w:rsid w:val="00F859AE"/>
    <w:pPr>
      <w:spacing w:before="0" w:after="0"/>
      <w:ind w:left="0" w:firstLine="0"/>
      <w:jc w:val="both"/>
    </w:pPr>
    <w:rPr>
      <w:lang w:val="en-GB"/>
    </w:rPr>
  </w:style>
  <w:style w:type="character" w:customStyle="1" w:styleId="Heading3Char">
    <w:name w:val="Heading 3 Char"/>
    <w:basedOn w:val="DefaultParagraphFont"/>
    <w:link w:val="Heading3"/>
    <w:uiPriority w:val="9"/>
    <w:locked/>
    <w:rsid w:val="00BB5150"/>
    <w:rPr>
      <w:rFonts w:ascii="Calibri" w:eastAsia="Times New Roman" w:hAnsi="Calibri" w:cs="Helvetica"/>
      <w:b/>
      <w:bCs/>
      <w:i/>
      <w:iCs/>
      <w:color w:val="943634" w:themeColor="accent2" w:themeShade="BF"/>
      <w:sz w:val="24"/>
      <w:szCs w:val="32"/>
      <w:lang w:eastAsia="fr-FR"/>
    </w:rPr>
  </w:style>
  <w:style w:type="character" w:customStyle="1" w:styleId="Heading4Char">
    <w:name w:val="Heading 4 Char"/>
    <w:basedOn w:val="DefaultParagraphFont"/>
    <w:link w:val="Heading4"/>
    <w:uiPriority w:val="9"/>
    <w:locked/>
    <w:rsid w:val="00993280"/>
    <w:rPr>
      <w:rFonts w:ascii="Calibri" w:eastAsia="Times New Roman" w:hAnsi="Calibri"/>
      <w:b/>
      <w:bCs/>
      <w:color w:val="E36C0A"/>
      <w:sz w:val="22"/>
      <w:szCs w:val="22"/>
      <w:lang w:val="en-GB" w:eastAsia="en-CA"/>
    </w:rPr>
  </w:style>
  <w:style w:type="character" w:customStyle="1" w:styleId="Heading5Char">
    <w:name w:val="Heading 5 Char"/>
    <w:basedOn w:val="DefaultParagraphFont"/>
    <w:link w:val="Heading5"/>
    <w:uiPriority w:val="9"/>
    <w:locked/>
    <w:rsid w:val="00993280"/>
    <w:rPr>
      <w:rFonts w:ascii="Calibri" w:eastAsia="Times New Roman" w:hAnsi="Calibri"/>
      <w:b/>
      <w:bCs/>
      <w:i/>
      <w:iCs/>
      <w:color w:val="E36C0A"/>
      <w:sz w:val="22"/>
      <w:szCs w:val="22"/>
      <w:lang w:val="en-GB" w:eastAsia="fr-FR"/>
    </w:rPr>
  </w:style>
  <w:style w:type="character" w:customStyle="1" w:styleId="Heading6Char">
    <w:name w:val="Heading 6 Char"/>
    <w:basedOn w:val="DefaultParagraphFont"/>
    <w:link w:val="Heading6"/>
    <w:uiPriority w:val="9"/>
    <w:locked/>
    <w:rsid w:val="00271D36"/>
    <w:rPr>
      <w:rFonts w:ascii="Calibri" w:hAnsi="Calibri"/>
      <w:b/>
      <w:bCs/>
      <w:sz w:val="21"/>
      <w:szCs w:val="22"/>
      <w:lang w:val="fr-FR" w:eastAsia="fr-FR"/>
    </w:rPr>
  </w:style>
  <w:style w:type="character" w:customStyle="1" w:styleId="Heading7Char">
    <w:name w:val="Heading 7 Char"/>
    <w:basedOn w:val="DefaultParagraphFont"/>
    <w:link w:val="Heading7"/>
    <w:uiPriority w:val="9"/>
    <w:locked/>
    <w:rsid w:val="00271D36"/>
    <w:rPr>
      <w:rFonts w:ascii="Calibri" w:hAnsi="Calibri"/>
      <w:sz w:val="24"/>
      <w:szCs w:val="24"/>
      <w:lang w:val="fr-FR" w:eastAsia="fr-FR"/>
    </w:rPr>
  </w:style>
  <w:style w:type="character" w:customStyle="1" w:styleId="Heading8Char">
    <w:name w:val="Heading 8 Char"/>
    <w:basedOn w:val="DefaultParagraphFont"/>
    <w:link w:val="Heading8"/>
    <w:uiPriority w:val="9"/>
    <w:locked/>
    <w:rsid w:val="00271D36"/>
    <w:rPr>
      <w:rFonts w:ascii="Calibri" w:hAnsi="Calibri"/>
      <w:i/>
      <w:iCs/>
      <w:sz w:val="24"/>
      <w:szCs w:val="24"/>
      <w:lang w:val="fr-FR" w:eastAsia="fr-FR"/>
    </w:rPr>
  </w:style>
  <w:style w:type="character" w:customStyle="1" w:styleId="Heading9Char">
    <w:name w:val="Heading 9 Char"/>
    <w:basedOn w:val="DefaultParagraphFont"/>
    <w:link w:val="Heading9"/>
    <w:uiPriority w:val="9"/>
    <w:locked/>
    <w:rsid w:val="00271D36"/>
    <w:rPr>
      <w:rFonts w:ascii="Arial" w:hAnsi="Arial" w:cs="Arial"/>
      <w:sz w:val="21"/>
      <w:szCs w:val="22"/>
      <w:lang w:val="fr-FR" w:eastAsia="fr-FR"/>
    </w:rPr>
  </w:style>
  <w:style w:type="paragraph" w:styleId="Revision">
    <w:name w:val="Revision"/>
    <w:hidden/>
    <w:uiPriority w:val="99"/>
    <w:semiHidden/>
    <w:rsid w:val="00271D36"/>
    <w:rPr>
      <w:rFonts w:eastAsia="SimSun"/>
      <w:sz w:val="24"/>
      <w:szCs w:val="24"/>
      <w:lang w:val="en-GB" w:eastAsia="en-GB"/>
    </w:rPr>
  </w:style>
  <w:style w:type="character" w:styleId="FollowedHyperlink">
    <w:name w:val="FollowedHyperlink"/>
    <w:basedOn w:val="DefaultParagraphFont"/>
    <w:uiPriority w:val="99"/>
    <w:rsid w:val="00271D36"/>
    <w:rPr>
      <w:rFonts w:cs="Times New Roman"/>
      <w:color w:val="800080"/>
      <w:u w:val="single"/>
    </w:rPr>
  </w:style>
  <w:style w:type="paragraph" w:customStyle="1" w:styleId="Tablehead">
    <w:name w:val="Table head"/>
    <w:basedOn w:val="Normal"/>
    <w:link w:val="TableheadChar"/>
    <w:qFormat/>
    <w:rsid w:val="00446E47"/>
    <w:pPr>
      <w:autoSpaceDE w:val="0"/>
      <w:autoSpaceDN w:val="0"/>
      <w:adjustRightInd w:val="0"/>
      <w:spacing w:before="80" w:after="80"/>
      <w:jc w:val="center"/>
    </w:pPr>
    <w:rPr>
      <w:rFonts w:cs="Arial"/>
      <w:b/>
      <w:bCs/>
      <w:color w:val="FFFFFF" w:themeColor="background1"/>
      <w:sz w:val="19"/>
      <w:lang w:val="en-US"/>
    </w:rPr>
  </w:style>
  <w:style w:type="character" w:customStyle="1" w:styleId="TableheadChar">
    <w:name w:val="Table head Char"/>
    <w:basedOn w:val="DefaultParagraphFont"/>
    <w:link w:val="Tablehead"/>
    <w:rsid w:val="00446E47"/>
    <w:rPr>
      <w:rFonts w:ascii="Calibri" w:hAnsi="Calibri" w:cs="Arial"/>
      <w:b/>
      <w:bCs/>
      <w:color w:val="FFFFFF" w:themeColor="background1"/>
      <w:sz w:val="19"/>
      <w:szCs w:val="22"/>
      <w:lang w:eastAsia="fr-FR"/>
    </w:rPr>
  </w:style>
  <w:style w:type="paragraph" w:customStyle="1" w:styleId="Tabletext">
    <w:name w:val="Table text"/>
    <w:basedOn w:val="Normal"/>
    <w:link w:val="TabletextChar"/>
    <w:qFormat/>
    <w:rsid w:val="001B29B0"/>
    <w:pPr>
      <w:spacing w:before="40" w:after="40"/>
      <w:jc w:val="left"/>
    </w:pPr>
    <w:rPr>
      <w:rFonts w:asciiTheme="minorHAnsi" w:hAnsiTheme="minorHAnsi"/>
      <w:bCs/>
      <w:sz w:val="19"/>
      <w:szCs w:val="18"/>
    </w:rPr>
  </w:style>
  <w:style w:type="character" w:customStyle="1" w:styleId="TabletextChar">
    <w:name w:val="Table text Char"/>
    <w:basedOn w:val="DefaultParagraphFont"/>
    <w:link w:val="Tabletext"/>
    <w:rsid w:val="001B29B0"/>
    <w:rPr>
      <w:rFonts w:asciiTheme="minorHAnsi" w:hAnsiTheme="minorHAnsi"/>
      <w:bCs/>
      <w:sz w:val="19"/>
      <w:szCs w:val="18"/>
      <w:lang w:val="fr-FR" w:eastAsia="fr-FR"/>
    </w:rPr>
  </w:style>
  <w:style w:type="paragraph" w:customStyle="1" w:styleId="Tabletitle">
    <w:name w:val="Table title"/>
    <w:basedOn w:val="Normal"/>
    <w:link w:val="TabletitleChar"/>
    <w:qFormat/>
    <w:rsid w:val="0078387C"/>
    <w:pPr>
      <w:autoSpaceDE w:val="0"/>
      <w:autoSpaceDN w:val="0"/>
      <w:adjustRightInd w:val="0"/>
      <w:spacing w:before="240" w:after="120"/>
      <w:jc w:val="center"/>
    </w:pPr>
    <w:rPr>
      <w:rFonts w:cs="Arial"/>
      <w:b/>
      <w:bCs/>
      <w:color w:val="E36C0A" w:themeColor="accent6" w:themeShade="BF"/>
      <w:szCs w:val="24"/>
      <w:lang w:val="en-US"/>
    </w:rPr>
  </w:style>
  <w:style w:type="character" w:customStyle="1" w:styleId="TabletitleChar">
    <w:name w:val="Table title Char"/>
    <w:basedOn w:val="DefaultParagraphFont"/>
    <w:link w:val="Tabletitle"/>
    <w:rsid w:val="0078387C"/>
    <w:rPr>
      <w:rFonts w:ascii="Calibri" w:hAnsi="Calibri" w:cs="Arial"/>
      <w:b/>
      <w:bCs/>
      <w:color w:val="E36C0A" w:themeColor="accent6" w:themeShade="BF"/>
      <w:sz w:val="21"/>
      <w:szCs w:val="24"/>
      <w:lang w:eastAsia="fr-FR"/>
    </w:rPr>
  </w:style>
  <w:style w:type="paragraph" w:styleId="z-TopofForm">
    <w:name w:val="HTML Top of Form"/>
    <w:basedOn w:val="Normal"/>
    <w:next w:val="Normal"/>
    <w:link w:val="z-TopofFormChar"/>
    <w:hidden/>
    <w:uiPriority w:val="99"/>
    <w:unhideWhenUsed/>
    <w:rsid w:val="00077DE6"/>
    <w:pPr>
      <w:pBdr>
        <w:bottom w:val="single" w:sz="6" w:space="1" w:color="auto"/>
      </w:pBdr>
      <w:spacing w:before="0"/>
      <w:jc w:val="center"/>
    </w:pPr>
    <w:rPr>
      <w:rFonts w:ascii="Arial" w:hAnsi="Arial"/>
      <w:vanish/>
      <w:color w:val="000000"/>
      <w:sz w:val="16"/>
      <w:szCs w:val="16"/>
    </w:rPr>
  </w:style>
  <w:style w:type="character" w:customStyle="1" w:styleId="z-TopofFormChar">
    <w:name w:val="z-Top of Form Char"/>
    <w:basedOn w:val="DefaultParagraphFont"/>
    <w:link w:val="z-TopofForm"/>
    <w:uiPriority w:val="99"/>
    <w:rsid w:val="00077DE6"/>
    <w:rPr>
      <w:rFonts w:ascii="Arial" w:hAnsi="Arial"/>
      <w:vanish/>
      <w:color w:val="000000"/>
      <w:sz w:val="16"/>
      <w:szCs w:val="16"/>
    </w:rPr>
  </w:style>
  <w:style w:type="paragraph" w:styleId="z-BottomofForm">
    <w:name w:val="HTML Bottom of Form"/>
    <w:basedOn w:val="Normal"/>
    <w:next w:val="Normal"/>
    <w:link w:val="z-BottomofFormChar"/>
    <w:hidden/>
    <w:uiPriority w:val="99"/>
    <w:unhideWhenUsed/>
    <w:rsid w:val="00077DE6"/>
    <w:pPr>
      <w:pBdr>
        <w:top w:val="single" w:sz="6" w:space="1" w:color="auto"/>
      </w:pBdr>
      <w:spacing w:before="0"/>
      <w:jc w:val="center"/>
    </w:pPr>
    <w:rPr>
      <w:rFonts w:ascii="Arial" w:hAnsi="Arial"/>
      <w:vanish/>
      <w:color w:val="000000"/>
      <w:sz w:val="16"/>
      <w:szCs w:val="16"/>
    </w:rPr>
  </w:style>
  <w:style w:type="character" w:customStyle="1" w:styleId="z-BottomofFormChar">
    <w:name w:val="z-Bottom of Form Char"/>
    <w:basedOn w:val="DefaultParagraphFont"/>
    <w:link w:val="z-BottomofForm"/>
    <w:uiPriority w:val="99"/>
    <w:rsid w:val="00077DE6"/>
    <w:rPr>
      <w:rFonts w:ascii="Arial" w:hAnsi="Arial"/>
      <w:vanish/>
      <w:color w:val="000000"/>
      <w:sz w:val="16"/>
      <w:szCs w:val="16"/>
    </w:rPr>
  </w:style>
  <w:style w:type="paragraph" w:customStyle="1" w:styleId="Enumlevel3">
    <w:name w:val="Enum level 3"/>
    <w:basedOn w:val="Normal"/>
    <w:link w:val="Enumlevel3Char"/>
    <w:qFormat/>
    <w:rsid w:val="00B9372E"/>
    <w:pPr>
      <w:ind w:left="1701" w:hanging="567"/>
    </w:pPr>
    <w:rPr>
      <w:iCs/>
    </w:rPr>
  </w:style>
  <w:style w:type="character" w:customStyle="1" w:styleId="Enumlevel3Char">
    <w:name w:val="Enum level 3 Char"/>
    <w:basedOn w:val="DefaultParagraphFont"/>
    <w:link w:val="Enumlevel3"/>
    <w:rsid w:val="00B9372E"/>
    <w:rPr>
      <w:rFonts w:ascii="Calibri" w:hAnsi="Calibri"/>
      <w:iCs/>
      <w:sz w:val="21"/>
      <w:szCs w:val="22"/>
      <w:lang w:val="fr-FR" w:eastAsia="fr-FR"/>
    </w:rPr>
  </w:style>
  <w:style w:type="character" w:customStyle="1" w:styleId="BalloonTextChar15">
    <w:name w:val="Balloon Text Char15"/>
    <w:basedOn w:val="DefaultParagraphFont"/>
    <w:uiPriority w:val="99"/>
    <w:semiHidden/>
    <w:rsid w:val="003E2368"/>
    <w:rPr>
      <w:rFonts w:ascii="Lucida Grande" w:hAnsi="Lucida Grande" w:cs="Times New Roman"/>
      <w:sz w:val="18"/>
    </w:rPr>
  </w:style>
  <w:style w:type="character" w:customStyle="1" w:styleId="BalloonTextChar14">
    <w:name w:val="Balloon Text Char14"/>
    <w:basedOn w:val="DefaultParagraphFont"/>
    <w:uiPriority w:val="99"/>
    <w:semiHidden/>
    <w:rsid w:val="003E2368"/>
    <w:rPr>
      <w:rFonts w:ascii="Lucida Grande" w:hAnsi="Lucida Grande" w:cs="Times New Roman"/>
      <w:sz w:val="18"/>
    </w:rPr>
  </w:style>
  <w:style w:type="character" w:customStyle="1" w:styleId="BalloonTextChar13">
    <w:name w:val="Balloon Text Char13"/>
    <w:basedOn w:val="DefaultParagraphFont"/>
    <w:uiPriority w:val="99"/>
    <w:semiHidden/>
    <w:rsid w:val="003E2368"/>
    <w:rPr>
      <w:rFonts w:ascii="Lucida Grande" w:hAnsi="Lucida Grande" w:cs="Times New Roman"/>
      <w:sz w:val="18"/>
    </w:rPr>
  </w:style>
  <w:style w:type="character" w:customStyle="1" w:styleId="BalloonTextChar12">
    <w:name w:val="Balloon Text Char12"/>
    <w:basedOn w:val="DefaultParagraphFont"/>
    <w:uiPriority w:val="99"/>
    <w:semiHidden/>
    <w:rsid w:val="003E2368"/>
    <w:rPr>
      <w:rFonts w:ascii="Lucida Grande" w:hAnsi="Lucida Grande" w:cs="Times New Roman"/>
      <w:sz w:val="18"/>
    </w:rPr>
  </w:style>
  <w:style w:type="character" w:customStyle="1" w:styleId="BalloonTextChar11">
    <w:name w:val="Balloon Text Char11"/>
    <w:basedOn w:val="DefaultParagraphFont"/>
    <w:uiPriority w:val="99"/>
    <w:semiHidden/>
    <w:rsid w:val="003E2368"/>
    <w:rPr>
      <w:rFonts w:ascii="Lucida Grande" w:hAnsi="Lucida Grande" w:cs="Times New Roman"/>
      <w:sz w:val="18"/>
    </w:rPr>
  </w:style>
  <w:style w:type="character" w:customStyle="1" w:styleId="BalloonTextChar10">
    <w:name w:val="Balloon Text Char10"/>
    <w:basedOn w:val="DefaultParagraphFont"/>
    <w:uiPriority w:val="99"/>
    <w:semiHidden/>
    <w:rsid w:val="003E2368"/>
    <w:rPr>
      <w:rFonts w:ascii="Lucida Grande" w:hAnsi="Lucida Grande" w:cs="Times New Roman"/>
      <w:sz w:val="18"/>
    </w:rPr>
  </w:style>
  <w:style w:type="character" w:customStyle="1" w:styleId="BalloonTextChar9">
    <w:name w:val="Balloon Text Char9"/>
    <w:basedOn w:val="DefaultParagraphFont"/>
    <w:uiPriority w:val="99"/>
    <w:semiHidden/>
    <w:rsid w:val="003E2368"/>
    <w:rPr>
      <w:rFonts w:ascii="Lucida Grande" w:hAnsi="Lucida Grande" w:cs="Times New Roman"/>
      <w:sz w:val="18"/>
    </w:rPr>
  </w:style>
  <w:style w:type="character" w:customStyle="1" w:styleId="BalloonTextChar8">
    <w:name w:val="Balloon Text Char8"/>
    <w:basedOn w:val="DefaultParagraphFont"/>
    <w:uiPriority w:val="99"/>
    <w:semiHidden/>
    <w:rsid w:val="003E2368"/>
    <w:rPr>
      <w:rFonts w:ascii="Lucida Grande" w:hAnsi="Lucida Grande" w:cs="Times New Roman"/>
      <w:sz w:val="18"/>
    </w:rPr>
  </w:style>
  <w:style w:type="character" w:customStyle="1" w:styleId="BalloonTextChar7">
    <w:name w:val="Balloon Text Char7"/>
    <w:basedOn w:val="DefaultParagraphFont"/>
    <w:uiPriority w:val="99"/>
    <w:semiHidden/>
    <w:rsid w:val="003E2368"/>
    <w:rPr>
      <w:rFonts w:ascii="Lucida Grande" w:hAnsi="Lucida Grande" w:cs="Times New Roman"/>
      <w:sz w:val="18"/>
    </w:rPr>
  </w:style>
  <w:style w:type="character" w:customStyle="1" w:styleId="BalloonTextChar6">
    <w:name w:val="Balloon Text Char6"/>
    <w:basedOn w:val="DefaultParagraphFont"/>
    <w:uiPriority w:val="99"/>
    <w:semiHidden/>
    <w:rsid w:val="003E2368"/>
    <w:rPr>
      <w:rFonts w:ascii="Lucida Grande" w:hAnsi="Lucida Grande" w:cs="Times New Roman"/>
      <w:sz w:val="18"/>
    </w:rPr>
  </w:style>
  <w:style w:type="character" w:customStyle="1" w:styleId="BalloonTextChar5">
    <w:name w:val="Balloon Text Char5"/>
    <w:basedOn w:val="DefaultParagraphFont"/>
    <w:uiPriority w:val="99"/>
    <w:semiHidden/>
    <w:rsid w:val="003E2368"/>
    <w:rPr>
      <w:rFonts w:ascii="Lucida Grande" w:hAnsi="Lucida Grande" w:cs="Times New Roman"/>
      <w:sz w:val="18"/>
    </w:rPr>
  </w:style>
  <w:style w:type="character" w:customStyle="1" w:styleId="BalloonTextChar4">
    <w:name w:val="Balloon Text Char4"/>
    <w:basedOn w:val="DefaultParagraphFont"/>
    <w:uiPriority w:val="99"/>
    <w:semiHidden/>
    <w:rsid w:val="003E2368"/>
    <w:rPr>
      <w:rFonts w:ascii="Lucida Grande" w:hAnsi="Lucida Grande" w:cs="Times New Roman"/>
      <w:sz w:val="18"/>
    </w:rPr>
  </w:style>
  <w:style w:type="character" w:customStyle="1" w:styleId="BalloonTextChar3">
    <w:name w:val="Balloon Text Char3"/>
    <w:basedOn w:val="DefaultParagraphFont"/>
    <w:uiPriority w:val="99"/>
    <w:semiHidden/>
    <w:rsid w:val="003E2368"/>
    <w:rPr>
      <w:rFonts w:ascii="Lucida Grande" w:hAnsi="Lucida Grande" w:cs="Times New Roman"/>
      <w:sz w:val="18"/>
    </w:rPr>
  </w:style>
  <w:style w:type="character" w:customStyle="1" w:styleId="BalloonTextChar2">
    <w:name w:val="Balloon Text Char2"/>
    <w:basedOn w:val="DefaultParagraphFont"/>
    <w:uiPriority w:val="99"/>
    <w:semiHidden/>
    <w:rsid w:val="003E2368"/>
    <w:rPr>
      <w:rFonts w:ascii="Lucida Grande" w:hAnsi="Lucida Grande" w:cs="Times New Roman"/>
      <w:sz w:val="18"/>
    </w:rPr>
  </w:style>
  <w:style w:type="paragraph" w:customStyle="1" w:styleId="Note">
    <w:name w:val="Note"/>
    <w:basedOn w:val="Normal"/>
    <w:uiPriority w:val="99"/>
    <w:rsid w:val="000A71D3"/>
    <w:pPr>
      <w:overflowPunct w:val="0"/>
      <w:autoSpaceDE w:val="0"/>
      <w:autoSpaceDN w:val="0"/>
      <w:adjustRightInd w:val="0"/>
      <w:spacing w:before="80"/>
      <w:textAlignment w:val="baseline"/>
    </w:pPr>
    <w:rPr>
      <w:rFonts w:cstheme="minorBidi"/>
      <w:sz w:val="20"/>
      <w:lang w:eastAsia="en-US"/>
    </w:rPr>
  </w:style>
  <w:style w:type="table" w:customStyle="1" w:styleId="TableGrid1">
    <w:name w:val="Table Grid1"/>
    <w:basedOn w:val="TableNormal"/>
    <w:next w:val="TableGrid"/>
    <w:rsid w:val="00B824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2">
    <w:name w:val="Table Columns 2"/>
    <w:basedOn w:val="TableNormal"/>
    <w:rsid w:val="00411F98"/>
    <w:rPr>
      <w:rFonts w:eastAsia="Times New Roman"/>
      <w:b/>
      <w:bCs/>
      <w:lang w:val="es-CL" w:eastAsia="es-C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411F98"/>
    <w:rPr>
      <w:rFonts w:eastAsia="Times New Roman"/>
      <w:lang w:val="es-CL" w:eastAsia="es-C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aclara-nfasis11">
    <w:name w:val="Lista clara - Énfasis 11"/>
    <w:basedOn w:val="TableNormal"/>
    <w:uiPriority w:val="61"/>
    <w:rsid w:val="00411F98"/>
    <w:rPr>
      <w:rFonts w:eastAsia="Times New Roman"/>
      <w:lang w:val="es-CL" w:eastAsia="es-C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2-nfasis11">
    <w:name w:val="Sombreado medio 2 - Énfasis 11"/>
    <w:basedOn w:val="TableNormal"/>
    <w:uiPriority w:val="64"/>
    <w:rsid w:val="00411F98"/>
    <w:rPr>
      <w:rFonts w:eastAsia="Times New Roman"/>
      <w:lang w:val="es-CL" w:eastAsia="es-C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eNormal"/>
    <w:uiPriority w:val="63"/>
    <w:rsid w:val="00411F98"/>
    <w:rPr>
      <w:rFonts w:eastAsia="Times New Roman"/>
      <w:lang w:val="es-CL" w:eastAsia="es-C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doclaro-nfasis11">
    <w:name w:val="Sombreado claro - Énfasis 11"/>
    <w:basedOn w:val="TableNormal"/>
    <w:uiPriority w:val="60"/>
    <w:rsid w:val="00411F98"/>
    <w:rPr>
      <w:rFonts w:eastAsia="Times New Roman"/>
      <w:color w:val="365F91" w:themeColor="accent1" w:themeShade="BF"/>
      <w:lang w:val="es-CL" w:eastAsia="es-C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Web2">
    <w:name w:val="Table Web 2"/>
    <w:basedOn w:val="TableNormal"/>
    <w:rsid w:val="00411F98"/>
    <w:rPr>
      <w:rFonts w:eastAsia="Times New Roman"/>
      <w:lang w:val="es-CL" w:eastAsia="es-C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staclara-nfasis111">
    <w:name w:val="Lista clara - Énfasis 111"/>
    <w:basedOn w:val="TableNormal"/>
    <w:uiPriority w:val="61"/>
    <w:rsid w:val="00411F98"/>
    <w:rPr>
      <w:rFonts w:eastAsia="Times New Roman"/>
      <w:lang w:val="es-CL" w:eastAsia="es-C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itlereport">
    <w:name w:val="Title report"/>
    <w:basedOn w:val="Chapttitle"/>
    <w:link w:val="TitlereportChar"/>
    <w:qFormat/>
    <w:rsid w:val="00F859AE"/>
    <w:pPr>
      <w:jc w:val="right"/>
    </w:pPr>
    <w:rPr>
      <w:rFonts w:eastAsia="Times New Roman" w:cs="Calibri"/>
      <w:sz w:val="52"/>
      <w:szCs w:val="52"/>
      <w:lang w:val="en-GB"/>
    </w:rPr>
  </w:style>
  <w:style w:type="character" w:styleId="PlaceholderText">
    <w:name w:val="Placeholder Text"/>
    <w:basedOn w:val="DefaultParagraphFont"/>
    <w:uiPriority w:val="99"/>
    <w:semiHidden/>
    <w:rsid w:val="0011585A"/>
    <w:rPr>
      <w:color w:val="808080"/>
    </w:rPr>
  </w:style>
  <w:style w:type="table" w:customStyle="1" w:styleId="LightShading1">
    <w:name w:val="Light Shading1"/>
    <w:basedOn w:val="TableNormal"/>
    <w:uiPriority w:val="60"/>
    <w:rsid w:val="00133CDA"/>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cknowledgementsChar">
    <w:name w:val="Acknowledgements Char"/>
    <w:basedOn w:val="FigureChar"/>
    <w:link w:val="Acknowledgements"/>
    <w:rsid w:val="00F859AE"/>
    <w:rPr>
      <w:rFonts w:ascii="Calibri" w:eastAsia="SimSun" w:hAnsi="Calibri" w:cs="Arial"/>
      <w:b w:val="0"/>
      <w:bCs/>
      <w:color w:val="000000"/>
      <w:sz w:val="21"/>
      <w:szCs w:val="22"/>
      <w:shd w:val="clear" w:color="auto" w:fill="FBD4B4" w:themeFill="accent6" w:themeFillTint="66"/>
      <w:lang w:val="en-GB" w:eastAsia="fr-FR"/>
    </w:rPr>
  </w:style>
  <w:style w:type="paragraph" w:customStyle="1" w:styleId="Titlereportdate">
    <w:name w:val="Title report date"/>
    <w:basedOn w:val="Normal"/>
    <w:link w:val="TitlereportdateChar"/>
    <w:qFormat/>
    <w:rsid w:val="00F859AE"/>
    <w:pPr>
      <w:keepNext/>
      <w:keepLines/>
      <w:tabs>
        <w:tab w:val="left" w:pos="851"/>
      </w:tabs>
      <w:spacing w:before="240"/>
      <w:jc w:val="right"/>
      <w:outlineLvl w:val="0"/>
    </w:pPr>
    <w:rPr>
      <w:rFonts w:cs="Helvetica"/>
      <w:b/>
      <w:bCs/>
      <w:i/>
      <w:iCs/>
      <w:sz w:val="48"/>
      <w:szCs w:val="36"/>
      <w:lang w:val="en-GB"/>
    </w:rPr>
  </w:style>
  <w:style w:type="character" w:customStyle="1" w:styleId="TitlereportChar">
    <w:name w:val="Title report Char"/>
    <w:basedOn w:val="ChapttitleChar"/>
    <w:link w:val="Titlereport"/>
    <w:rsid w:val="00F859AE"/>
    <w:rPr>
      <w:rFonts w:ascii="Calibri" w:eastAsia="Times New Roman" w:hAnsi="Calibri" w:cs="Calibri"/>
      <w:b/>
      <w:bCs/>
      <w:color w:val="E36C0A" w:themeColor="accent6" w:themeShade="BF"/>
      <w:sz w:val="52"/>
      <w:szCs w:val="52"/>
      <w:lang w:val="en-GB" w:eastAsia="fr-FR"/>
    </w:rPr>
  </w:style>
  <w:style w:type="character" w:customStyle="1" w:styleId="TablesourceChar">
    <w:name w:val="Table source Char"/>
    <w:basedOn w:val="TabletextChar"/>
    <w:link w:val="Tablesource"/>
    <w:rsid w:val="00075AFE"/>
    <w:rPr>
      <w:rFonts w:asciiTheme="minorHAnsi" w:hAnsiTheme="minorHAnsi"/>
      <w:bCs/>
      <w:i/>
      <w:iCs/>
      <w:sz w:val="19"/>
      <w:szCs w:val="18"/>
      <w:lang w:val="fr-FR" w:eastAsia="fr-FR"/>
    </w:rPr>
  </w:style>
  <w:style w:type="character" w:customStyle="1" w:styleId="TitlereportdateChar">
    <w:name w:val="Title report date Char"/>
    <w:basedOn w:val="DefaultParagraphFont"/>
    <w:link w:val="Titlereportdate"/>
    <w:rsid w:val="00F859AE"/>
    <w:rPr>
      <w:rFonts w:ascii="Calibri" w:hAnsi="Calibri" w:cs="Helvetica"/>
      <w:b/>
      <w:bCs/>
      <w:i/>
      <w:iCs/>
      <w:color w:val="E36C0A" w:themeColor="accent6" w:themeShade="BF"/>
      <w:sz w:val="48"/>
      <w:szCs w:val="36"/>
      <w:lang w:val="en-GB" w:eastAsia="fr-FR"/>
    </w:rPr>
  </w:style>
  <w:style w:type="paragraph" w:styleId="TOCHeading">
    <w:name w:val="TOC Heading"/>
    <w:basedOn w:val="Heading1"/>
    <w:next w:val="Normal"/>
    <w:uiPriority w:val="39"/>
    <w:unhideWhenUsed/>
    <w:qFormat/>
    <w:rsid w:val="00D20B49"/>
    <w:pPr>
      <w:tabs>
        <w:tab w:val="clear" w:pos="851"/>
      </w:tabs>
      <w:spacing w:before="480" w:line="276" w:lineRule="auto"/>
      <w:jc w:val="left"/>
      <w:outlineLvl w:val="9"/>
    </w:pPr>
    <w:rPr>
      <w:rFonts w:asciiTheme="majorHAnsi" w:eastAsiaTheme="majorEastAsia" w:hAnsiTheme="majorHAnsi" w:cstheme="majorBidi"/>
      <w:color w:val="365F91" w:themeColor="accent1" w:themeShade="BF"/>
      <w:lang w:eastAsia="ja-JP"/>
    </w:rPr>
  </w:style>
  <w:style w:type="paragraph" w:customStyle="1" w:styleId="Normalaftertitle">
    <w:name w:val="Normal_after_title"/>
    <w:basedOn w:val="Normal"/>
    <w:next w:val="Normal"/>
    <w:rsid w:val="00D15E50"/>
    <w:pPr>
      <w:spacing w:before="360"/>
    </w:pPr>
  </w:style>
  <w:style w:type="paragraph" w:customStyle="1" w:styleId="CEONormal">
    <w:name w:val="CEO_Normal"/>
    <w:autoRedefine/>
    <w:rsid w:val="00943AEF"/>
    <w:pPr>
      <w:spacing w:before="120" w:after="120"/>
      <w:ind w:left="851" w:hanging="567"/>
    </w:pPr>
    <w:rPr>
      <w:rFonts w:ascii="Verdana" w:eastAsia="SimSun" w:hAnsi="Verdana"/>
      <w:sz w:val="19"/>
      <w:szCs w:val="19"/>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Title" w:qFormat="1"/>
    <w:lsdException w:name="Subtitle" w:qFormat="1"/>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Acronym" w:uiPriority="99"/>
    <w:lsdException w:name="HTML Cite"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9B8"/>
    <w:pPr>
      <w:spacing w:before="120"/>
      <w:jc w:val="both"/>
    </w:pPr>
    <w:rPr>
      <w:rFonts w:ascii="Calibri" w:hAnsi="Calibri"/>
      <w:sz w:val="21"/>
      <w:szCs w:val="22"/>
      <w:lang w:val="fr-FR" w:eastAsia="fr-FR"/>
    </w:rPr>
  </w:style>
  <w:style w:type="paragraph" w:styleId="Heading1">
    <w:name w:val="heading 1"/>
    <w:basedOn w:val="Normal"/>
    <w:next w:val="Normal"/>
    <w:link w:val="Heading1Char"/>
    <w:uiPriority w:val="9"/>
    <w:qFormat/>
    <w:rsid w:val="00F20AB2"/>
    <w:pPr>
      <w:keepNext/>
      <w:keepLines/>
      <w:tabs>
        <w:tab w:val="left" w:pos="851"/>
      </w:tabs>
      <w:spacing w:before="400"/>
      <w:outlineLvl w:val="0"/>
    </w:pPr>
    <w:rPr>
      <w:rFonts w:eastAsia="Times New Roman" w:cs="Helvetica"/>
      <w:b/>
      <w:bCs/>
      <w:color w:val="E36C0A"/>
      <w:sz w:val="28"/>
      <w:szCs w:val="28"/>
      <w:lang w:val="en-US"/>
    </w:rPr>
  </w:style>
  <w:style w:type="paragraph" w:styleId="Heading2">
    <w:name w:val="heading 2"/>
    <w:basedOn w:val="Normal"/>
    <w:next w:val="Normal"/>
    <w:link w:val="Heading2Char"/>
    <w:uiPriority w:val="9"/>
    <w:qFormat/>
    <w:rsid w:val="00F20AB2"/>
    <w:pPr>
      <w:keepNext/>
      <w:tabs>
        <w:tab w:val="left" w:pos="851"/>
      </w:tabs>
      <w:spacing w:before="400"/>
      <w:outlineLvl w:val="1"/>
    </w:pPr>
    <w:rPr>
      <w:rFonts w:eastAsia="Times New Roman" w:cs="Helvetica"/>
      <w:b/>
      <w:bCs/>
      <w:color w:val="E36C0A"/>
      <w:sz w:val="24"/>
      <w:szCs w:val="32"/>
      <w:lang w:val="en-US"/>
    </w:rPr>
  </w:style>
  <w:style w:type="paragraph" w:styleId="Heading3">
    <w:name w:val="heading 3"/>
    <w:basedOn w:val="Heading2"/>
    <w:next w:val="Normal"/>
    <w:link w:val="Heading3Char"/>
    <w:uiPriority w:val="9"/>
    <w:qFormat/>
    <w:rsid w:val="00F20AB2"/>
    <w:pPr>
      <w:spacing w:before="240"/>
      <w:outlineLvl w:val="2"/>
    </w:pPr>
    <w:rPr>
      <w:i/>
      <w:iCs/>
    </w:rPr>
  </w:style>
  <w:style w:type="paragraph" w:styleId="Heading4">
    <w:name w:val="heading 4"/>
    <w:basedOn w:val="Normal"/>
    <w:next w:val="Normal"/>
    <w:link w:val="Heading4Char"/>
    <w:uiPriority w:val="9"/>
    <w:qFormat/>
    <w:rsid w:val="00993280"/>
    <w:pPr>
      <w:keepNext/>
      <w:tabs>
        <w:tab w:val="left" w:pos="993"/>
      </w:tabs>
      <w:spacing w:before="240" w:after="60"/>
      <w:outlineLvl w:val="3"/>
    </w:pPr>
    <w:rPr>
      <w:rFonts w:eastAsia="Times New Roman"/>
      <w:b/>
      <w:bCs/>
      <w:color w:val="E36C0A"/>
      <w:sz w:val="22"/>
      <w:lang w:val="en-GB" w:eastAsia="en-CA"/>
    </w:rPr>
  </w:style>
  <w:style w:type="paragraph" w:styleId="Heading5">
    <w:name w:val="heading 5"/>
    <w:basedOn w:val="Normal"/>
    <w:next w:val="Normal"/>
    <w:link w:val="Heading5Char"/>
    <w:uiPriority w:val="9"/>
    <w:qFormat/>
    <w:rsid w:val="00993280"/>
    <w:pPr>
      <w:keepNext/>
      <w:keepLines/>
      <w:tabs>
        <w:tab w:val="left" w:pos="1134"/>
      </w:tabs>
      <w:spacing w:before="240" w:after="60"/>
      <w:ind w:left="1134" w:hanging="1134"/>
      <w:outlineLvl w:val="4"/>
    </w:pPr>
    <w:rPr>
      <w:rFonts w:eastAsia="Times New Roman"/>
      <w:b/>
      <w:bCs/>
      <w:i/>
      <w:iCs/>
      <w:color w:val="E36C0A"/>
      <w:sz w:val="22"/>
      <w:lang w:val="en-GB"/>
    </w:rPr>
  </w:style>
  <w:style w:type="paragraph" w:styleId="Heading6">
    <w:name w:val="heading 6"/>
    <w:basedOn w:val="Normal"/>
    <w:next w:val="Normal"/>
    <w:link w:val="Heading6Char"/>
    <w:uiPriority w:val="9"/>
    <w:qFormat/>
    <w:rsid w:val="00ED46A8"/>
    <w:pPr>
      <w:spacing w:before="240" w:after="60"/>
      <w:outlineLvl w:val="5"/>
    </w:pPr>
    <w:rPr>
      <w:b/>
      <w:bCs/>
    </w:rPr>
  </w:style>
  <w:style w:type="paragraph" w:styleId="Heading7">
    <w:name w:val="heading 7"/>
    <w:basedOn w:val="Normal"/>
    <w:next w:val="Normal"/>
    <w:link w:val="Heading7Char"/>
    <w:uiPriority w:val="9"/>
    <w:qFormat/>
    <w:rsid w:val="00C43E84"/>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rsid w:val="00C43E84"/>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
    <w:rsid w:val="00C43E8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75AFE"/>
    <w:pPr>
      <w:spacing w:before="0"/>
    </w:pPr>
    <w:rPr>
      <w:rFonts w:ascii="Tahoma" w:hAnsi="Tahoma" w:cs="Tahoma"/>
      <w:sz w:val="16"/>
      <w:szCs w:val="16"/>
    </w:rPr>
  </w:style>
  <w:style w:type="character" w:customStyle="1" w:styleId="BalloonTextChar">
    <w:name w:val="Balloon Text Char"/>
    <w:basedOn w:val="DefaultParagraphFont"/>
    <w:link w:val="BalloonText"/>
    <w:rsid w:val="00075AFE"/>
    <w:rPr>
      <w:rFonts w:ascii="Tahoma" w:hAnsi="Tahoma" w:cs="Tahoma"/>
      <w:sz w:val="16"/>
      <w:szCs w:val="16"/>
      <w:lang w:val="fr-FR" w:eastAsia="fr-FR"/>
    </w:rPr>
  </w:style>
  <w:style w:type="paragraph" w:styleId="Header">
    <w:name w:val="header"/>
    <w:basedOn w:val="Normal"/>
    <w:link w:val="HeaderChar"/>
    <w:uiPriority w:val="99"/>
    <w:rsid w:val="00837668"/>
    <w:pPr>
      <w:pBdr>
        <w:bottom w:val="single" w:sz="12" w:space="1" w:color="E36C0A" w:themeColor="accent6" w:themeShade="BF"/>
      </w:pBdr>
      <w:jc w:val="center"/>
    </w:pPr>
    <w:rPr>
      <w:rFonts w:eastAsia="Times New Roman" w:cs="Calibri"/>
      <w:i/>
      <w:iCs/>
      <w:szCs w:val="21"/>
      <w:lang w:val="en-US"/>
    </w:rPr>
  </w:style>
  <w:style w:type="character" w:customStyle="1" w:styleId="HeaderChar">
    <w:name w:val="Header Char"/>
    <w:basedOn w:val="DefaultParagraphFont"/>
    <w:link w:val="Header"/>
    <w:uiPriority w:val="99"/>
    <w:rsid w:val="00837668"/>
    <w:rPr>
      <w:rFonts w:ascii="Calibri" w:eastAsia="Times New Roman" w:hAnsi="Calibri" w:cs="Calibri"/>
      <w:i/>
      <w:iCs/>
      <w:sz w:val="21"/>
      <w:szCs w:val="21"/>
      <w:lang w:eastAsia="fr-FR"/>
    </w:rPr>
  </w:style>
  <w:style w:type="character" w:styleId="Hyperlink">
    <w:name w:val="Hyperlink"/>
    <w:basedOn w:val="DefaultParagraphFont"/>
    <w:uiPriority w:val="99"/>
    <w:rsid w:val="00FF7C81"/>
    <w:rPr>
      <w:color w:val="0000FF"/>
      <w:u w:val="single"/>
    </w:rPr>
  </w:style>
  <w:style w:type="paragraph" w:styleId="TOC2">
    <w:name w:val="toc 2"/>
    <w:basedOn w:val="Normal"/>
    <w:next w:val="Normal"/>
    <w:autoRedefine/>
    <w:uiPriority w:val="39"/>
    <w:rsid w:val="000861B1"/>
    <w:pPr>
      <w:tabs>
        <w:tab w:val="left" w:pos="567"/>
        <w:tab w:val="left" w:pos="1134"/>
        <w:tab w:val="right" w:leader="dot" w:pos="8505"/>
        <w:tab w:val="right" w:pos="9072"/>
      </w:tabs>
      <w:ind w:left="567" w:rightChars="269" w:right="565"/>
    </w:pPr>
    <w:rPr>
      <w:rFonts w:cs="Helvetica"/>
      <w:bCs/>
      <w:noProof/>
      <w:szCs w:val="24"/>
      <w:u w:color="3366CC"/>
    </w:rPr>
  </w:style>
  <w:style w:type="paragraph" w:styleId="TOC1">
    <w:name w:val="toc 1"/>
    <w:basedOn w:val="Normal"/>
    <w:next w:val="Normal"/>
    <w:uiPriority w:val="39"/>
    <w:rsid w:val="0017278E"/>
    <w:pPr>
      <w:keepNext/>
      <w:keepLines/>
      <w:tabs>
        <w:tab w:val="left" w:pos="567"/>
        <w:tab w:val="right" w:leader="dot" w:pos="8505"/>
        <w:tab w:val="right" w:pos="9071"/>
      </w:tabs>
      <w:spacing w:before="200"/>
      <w:jc w:val="left"/>
    </w:pPr>
    <w:rPr>
      <w:rFonts w:eastAsia="SimSun" w:cs="Helvetica"/>
      <w:b/>
      <w:bCs/>
      <w:noProof/>
      <w:szCs w:val="28"/>
      <w:lang w:val="en-US"/>
    </w:rPr>
  </w:style>
  <w:style w:type="paragraph" w:customStyle="1" w:styleId="Enumlevel2">
    <w:name w:val="Enum level 2"/>
    <w:basedOn w:val="Enumlevel1"/>
    <w:link w:val="Enumlevel2Char"/>
    <w:qFormat/>
    <w:rsid w:val="002B493E"/>
    <w:pPr>
      <w:ind w:left="1134" w:hanging="425"/>
    </w:pPr>
    <w:rPr>
      <w:lang w:val="en-AU"/>
    </w:rPr>
  </w:style>
  <w:style w:type="paragraph" w:customStyle="1" w:styleId="Figuretitle">
    <w:name w:val="Figure title"/>
    <w:basedOn w:val="Normal"/>
    <w:link w:val="FiguretitleChar"/>
    <w:qFormat/>
    <w:rsid w:val="00B9372E"/>
    <w:pPr>
      <w:keepNext/>
      <w:pBdr>
        <w:top w:val="single" w:sz="12" w:space="1" w:color="E36C0A" w:themeColor="accent6" w:themeShade="BF"/>
        <w:left w:val="single" w:sz="12" w:space="1" w:color="E36C0A" w:themeColor="accent6" w:themeShade="BF"/>
        <w:bottom w:val="single" w:sz="12" w:space="1" w:color="E36C0A" w:themeColor="accent6" w:themeShade="BF"/>
        <w:right w:val="single" w:sz="12" w:space="1" w:color="E36C0A" w:themeColor="accent6" w:themeShade="BF"/>
      </w:pBdr>
      <w:shd w:val="clear" w:color="auto" w:fill="FBD4B4" w:themeFill="accent6" w:themeFillTint="66"/>
      <w:autoSpaceDE w:val="0"/>
      <w:autoSpaceDN w:val="0"/>
      <w:adjustRightInd w:val="0"/>
      <w:spacing w:before="200"/>
      <w:ind w:left="425" w:hanging="425"/>
    </w:pPr>
    <w:rPr>
      <w:rFonts w:eastAsia="SimSun" w:cs="Arial"/>
      <w:b/>
      <w:color w:val="000000"/>
      <w:lang w:val="en-AU"/>
    </w:rPr>
  </w:style>
  <w:style w:type="paragraph" w:customStyle="1" w:styleId="PartTitle">
    <w:name w:val="Part Title"/>
    <w:basedOn w:val="Heading2"/>
    <w:next w:val="Normal"/>
    <w:link w:val="PartTitleChar"/>
    <w:rsid w:val="0010485E"/>
    <w:pPr>
      <w:tabs>
        <w:tab w:val="left" w:pos="1134"/>
      </w:tabs>
    </w:pPr>
    <w:rPr>
      <w:i/>
      <w:sz w:val="44"/>
      <w:szCs w:val="36"/>
      <w:u w:color="E36C0A"/>
      <w:lang w:val="en-AU"/>
    </w:rPr>
  </w:style>
  <w:style w:type="character" w:customStyle="1" w:styleId="Enumlevel2Char">
    <w:name w:val="Enum level 2 Char"/>
    <w:basedOn w:val="Enumlevel1Char"/>
    <w:link w:val="Enumlevel2"/>
    <w:rsid w:val="002B493E"/>
    <w:rPr>
      <w:rFonts w:ascii="Calibri" w:eastAsia="SimSun" w:hAnsi="Calibri" w:cs="Calibri"/>
      <w:sz w:val="21"/>
      <w:szCs w:val="21"/>
      <w:lang w:val="en-AU" w:eastAsia="en-GB"/>
    </w:rPr>
  </w:style>
  <w:style w:type="paragraph" w:customStyle="1" w:styleId="Figure">
    <w:name w:val="Figure"/>
    <w:basedOn w:val="Figuretitle"/>
    <w:link w:val="FigureChar"/>
    <w:qFormat/>
    <w:rsid w:val="006D6DFB"/>
    <w:pPr>
      <w:spacing w:before="240" w:after="120"/>
      <w:jc w:val="center"/>
    </w:pPr>
    <w:rPr>
      <w:b w:val="0"/>
      <w:bCs/>
    </w:rPr>
  </w:style>
  <w:style w:type="character" w:customStyle="1" w:styleId="FiguretitleChar">
    <w:name w:val="Figure title Char"/>
    <w:basedOn w:val="DefaultParagraphFont"/>
    <w:link w:val="Figuretitle"/>
    <w:rsid w:val="00B9372E"/>
    <w:rPr>
      <w:rFonts w:ascii="Calibri" w:eastAsia="SimSun" w:hAnsi="Calibri" w:cs="Arial"/>
      <w:b/>
      <w:color w:val="000000"/>
      <w:sz w:val="21"/>
      <w:szCs w:val="22"/>
      <w:shd w:val="clear" w:color="auto" w:fill="FBD4B4" w:themeFill="accent6" w:themeFillTint="66"/>
      <w:lang w:val="en-AU" w:eastAsia="fr-FR"/>
    </w:rPr>
  </w:style>
  <w:style w:type="paragraph" w:customStyle="1" w:styleId="figuresource">
    <w:name w:val="figure source"/>
    <w:basedOn w:val="Figuretitle"/>
    <w:link w:val="figuresourceChar"/>
    <w:qFormat/>
    <w:rsid w:val="006D6DFB"/>
    <w:pPr>
      <w:jc w:val="left"/>
    </w:pPr>
    <w:rPr>
      <w:b w:val="0"/>
      <w:bCs/>
      <w:i/>
      <w:iCs/>
      <w:sz w:val="19"/>
      <w:szCs w:val="19"/>
    </w:rPr>
  </w:style>
  <w:style w:type="character" w:customStyle="1" w:styleId="FigureChar">
    <w:name w:val="Figure Char"/>
    <w:basedOn w:val="FiguretitleChar"/>
    <w:link w:val="Figure"/>
    <w:rsid w:val="006D6DFB"/>
    <w:rPr>
      <w:rFonts w:ascii="Calibri" w:eastAsia="SimSun" w:hAnsi="Calibri" w:cs="Arial"/>
      <w:b w:val="0"/>
      <w:bCs/>
      <w:color w:val="000000"/>
      <w:sz w:val="21"/>
      <w:szCs w:val="22"/>
      <w:shd w:val="clear" w:color="auto" w:fill="C6D9F1" w:themeFill="text2" w:themeFillTint="33"/>
      <w:lang w:val="en-AU" w:eastAsia="fr-FR"/>
    </w:rPr>
  </w:style>
  <w:style w:type="character" w:customStyle="1" w:styleId="href">
    <w:name w:val="href"/>
    <w:basedOn w:val="DefaultParagraphFont"/>
    <w:uiPriority w:val="99"/>
    <w:rsid w:val="006104A4"/>
    <w:rPr>
      <w:rFonts w:cs="Times New Roman"/>
    </w:rPr>
  </w:style>
  <w:style w:type="character" w:customStyle="1" w:styleId="figuresourceChar">
    <w:name w:val="figure source Char"/>
    <w:basedOn w:val="FiguretitleChar"/>
    <w:link w:val="figuresource"/>
    <w:rsid w:val="006D6DFB"/>
    <w:rPr>
      <w:rFonts w:ascii="Calibri" w:eastAsia="SimSun" w:hAnsi="Calibri" w:cs="Arial"/>
      <w:b w:val="0"/>
      <w:bCs/>
      <w:i/>
      <w:iCs/>
      <w:color w:val="000000"/>
      <w:sz w:val="19"/>
      <w:szCs w:val="19"/>
      <w:shd w:val="clear" w:color="auto" w:fill="C6D9F1" w:themeFill="text2" w:themeFillTint="33"/>
      <w:lang w:val="en-AU" w:eastAsia="fr-FR"/>
    </w:rPr>
  </w:style>
  <w:style w:type="paragraph" w:styleId="TOC3">
    <w:name w:val="toc 3"/>
    <w:basedOn w:val="Normal"/>
    <w:next w:val="Normal"/>
    <w:autoRedefine/>
    <w:uiPriority w:val="39"/>
    <w:rsid w:val="0017278E"/>
    <w:pPr>
      <w:tabs>
        <w:tab w:val="right" w:pos="1701"/>
        <w:tab w:val="right" w:pos="1985"/>
        <w:tab w:val="right" w:leader="dot" w:pos="8505"/>
        <w:tab w:val="right" w:pos="9071"/>
      </w:tabs>
      <w:spacing w:before="40"/>
      <w:ind w:left="1701" w:hanging="567"/>
    </w:pPr>
    <w:rPr>
      <w:rFonts w:cs="Arial"/>
      <w:noProof/>
      <w:color w:val="000000"/>
      <w:szCs w:val="24"/>
      <w:lang w:val="en-US"/>
    </w:rPr>
  </w:style>
  <w:style w:type="paragraph" w:styleId="Footer">
    <w:name w:val="footer"/>
    <w:basedOn w:val="Normal"/>
    <w:link w:val="FooterChar"/>
    <w:uiPriority w:val="99"/>
    <w:rsid w:val="00837668"/>
    <w:pPr>
      <w:pBdr>
        <w:top w:val="single" w:sz="4" w:space="1" w:color="E36C0A" w:themeColor="accent6" w:themeShade="BF"/>
      </w:pBdr>
      <w:tabs>
        <w:tab w:val="right" w:pos="9071"/>
      </w:tabs>
      <w:ind w:left="6804"/>
      <w:jc w:val="right"/>
    </w:pPr>
  </w:style>
  <w:style w:type="character" w:customStyle="1" w:styleId="FooterChar">
    <w:name w:val="Footer Char"/>
    <w:basedOn w:val="DefaultParagraphFont"/>
    <w:link w:val="Footer"/>
    <w:uiPriority w:val="99"/>
    <w:rsid w:val="00837668"/>
    <w:rPr>
      <w:rFonts w:ascii="Calibri" w:hAnsi="Calibri"/>
      <w:sz w:val="21"/>
      <w:szCs w:val="22"/>
      <w:lang w:val="fr-FR" w:eastAsia="fr-FR"/>
    </w:rPr>
  </w:style>
  <w:style w:type="table" w:customStyle="1" w:styleId="HIPTable">
    <w:name w:val="HIP Table"/>
    <w:basedOn w:val="TableNormal"/>
    <w:rsid w:val="00B23A08"/>
    <w:rPr>
      <w:rFonts w:ascii="Helvetica" w:hAnsi="Helvetica"/>
      <w:sz w:val="18"/>
    </w:rPr>
    <w:tblPr>
      <w:tblInd w:w="0" w:type="dxa"/>
      <w:tblBorders>
        <w:top w:val="single" w:sz="18" w:space="0" w:color="008000"/>
        <w:bottom w:val="single" w:sz="18" w:space="0" w:color="008000"/>
        <w:insideH w:val="single" w:sz="18" w:space="0" w:color="008000"/>
      </w:tblBorders>
      <w:tblCellMar>
        <w:top w:w="57" w:type="dxa"/>
        <w:left w:w="57" w:type="dxa"/>
        <w:bottom w:w="57" w:type="dxa"/>
        <w:right w:w="57" w:type="dxa"/>
      </w:tblCellMar>
    </w:tblPr>
    <w:tblStylePr w:type="firstRow">
      <w:rPr>
        <w:rFonts w:ascii="Helvetica" w:hAnsi="Helvetica"/>
        <w:sz w:val="20"/>
      </w:rPr>
    </w:tblStylePr>
  </w:style>
  <w:style w:type="numbering" w:customStyle="1" w:styleId="HIPTitlesHierarchy">
    <w:name w:val="HIP Titles Hierarchy"/>
    <w:rsid w:val="00C43E84"/>
    <w:pPr>
      <w:numPr>
        <w:numId w:val="3"/>
      </w:numPr>
    </w:pPr>
  </w:style>
  <w:style w:type="numbering" w:customStyle="1" w:styleId="HIPBulletsHierarchy">
    <w:name w:val="HIP Bullets Hierarchy"/>
    <w:rsid w:val="00C43E84"/>
    <w:pPr>
      <w:numPr>
        <w:numId w:val="2"/>
      </w:numPr>
    </w:pPr>
  </w:style>
  <w:style w:type="character" w:customStyle="1" w:styleId="Heading2Char">
    <w:name w:val="Heading 2 Char"/>
    <w:basedOn w:val="DefaultParagraphFont"/>
    <w:link w:val="Heading2"/>
    <w:uiPriority w:val="9"/>
    <w:rsid w:val="00F20AB2"/>
    <w:rPr>
      <w:rFonts w:ascii="Calibri" w:eastAsia="Times New Roman" w:hAnsi="Calibri" w:cs="Helvetica"/>
      <w:b/>
      <w:bCs/>
      <w:color w:val="E36C0A"/>
      <w:sz w:val="24"/>
      <w:szCs w:val="32"/>
      <w:lang w:eastAsia="fr-FR"/>
    </w:rPr>
  </w:style>
  <w:style w:type="character" w:customStyle="1" w:styleId="PartTitleChar">
    <w:name w:val="Part Title Char"/>
    <w:basedOn w:val="Heading2Char"/>
    <w:link w:val="PartTitle"/>
    <w:rsid w:val="0010485E"/>
    <w:rPr>
      <w:rFonts w:ascii="Calibri" w:eastAsia="Times New Roman" w:hAnsi="Calibri" w:cs="Helvetica"/>
      <w:b/>
      <w:bCs/>
      <w:i/>
      <w:color w:val="548DD4" w:themeColor="text2" w:themeTint="99"/>
      <w:sz w:val="44"/>
      <w:szCs w:val="36"/>
      <w:u w:color="E36C0A"/>
      <w:lang w:val="en-AU" w:eastAsia="fr-FR"/>
    </w:rPr>
  </w:style>
  <w:style w:type="paragraph" w:styleId="FootnoteText">
    <w:name w:val="footnote text"/>
    <w:basedOn w:val="Normal"/>
    <w:link w:val="FootnoteTextChar"/>
    <w:rsid w:val="007202A5"/>
    <w:pPr>
      <w:tabs>
        <w:tab w:val="left" w:pos="284"/>
      </w:tabs>
    </w:pPr>
    <w:rPr>
      <w:sz w:val="18"/>
      <w:szCs w:val="18"/>
      <w:lang w:val="en-US"/>
    </w:rPr>
  </w:style>
  <w:style w:type="character" w:customStyle="1" w:styleId="FootnoteTextChar">
    <w:name w:val="Footnote Text Char"/>
    <w:basedOn w:val="DefaultParagraphFont"/>
    <w:link w:val="FootnoteText"/>
    <w:rsid w:val="007202A5"/>
    <w:rPr>
      <w:rFonts w:ascii="Calibri" w:hAnsi="Calibri"/>
      <w:sz w:val="18"/>
      <w:szCs w:val="18"/>
      <w:lang w:eastAsia="fr-FR"/>
    </w:rPr>
  </w:style>
  <w:style w:type="character" w:styleId="FootnoteReference">
    <w:name w:val="footnote reference"/>
    <w:basedOn w:val="DefaultParagraphFont"/>
    <w:rsid w:val="004866ED"/>
    <w:rPr>
      <w:rFonts w:ascii="Calibri" w:hAnsi="Calibri"/>
      <w:sz w:val="21"/>
      <w:vertAlign w:val="superscript"/>
      <w:lang w:val="fr-CH"/>
    </w:rPr>
  </w:style>
  <w:style w:type="table" w:styleId="TableGrid">
    <w:name w:val="Table Grid"/>
    <w:basedOn w:val="TableNormal"/>
    <w:uiPriority w:val="59"/>
    <w:rsid w:val="00370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621F9"/>
    <w:pPr>
      <w:autoSpaceDE w:val="0"/>
      <w:autoSpaceDN w:val="0"/>
      <w:adjustRightInd w:val="0"/>
    </w:pPr>
    <w:rPr>
      <w:color w:val="000000"/>
      <w:sz w:val="24"/>
      <w:szCs w:val="24"/>
      <w:lang w:val="en-TT" w:eastAsia="en-US"/>
    </w:rPr>
  </w:style>
  <w:style w:type="paragraph" w:customStyle="1" w:styleId="Chapttitle">
    <w:name w:val="Chapt title"/>
    <w:basedOn w:val="Normal"/>
    <w:link w:val="ChapttitleChar"/>
    <w:qFormat/>
    <w:rsid w:val="000A55BE"/>
    <w:pPr>
      <w:keepNext/>
      <w:keepLines/>
      <w:tabs>
        <w:tab w:val="left" w:pos="851"/>
      </w:tabs>
      <w:spacing w:before="0"/>
      <w:jc w:val="center"/>
      <w:outlineLvl w:val="0"/>
    </w:pPr>
    <w:rPr>
      <w:rFonts w:cs="Helvetica"/>
      <w:b/>
      <w:bCs/>
      <w:color w:val="E36C0A" w:themeColor="accent6" w:themeShade="BF"/>
      <w:sz w:val="40"/>
      <w:szCs w:val="28"/>
      <w:lang w:val="en-US"/>
    </w:rPr>
  </w:style>
  <w:style w:type="paragraph" w:customStyle="1" w:styleId="Toc0">
    <w:name w:val="Toc 0"/>
    <w:basedOn w:val="Normal"/>
    <w:link w:val="Toc0Char"/>
    <w:qFormat/>
    <w:rsid w:val="000A55BE"/>
    <w:pPr>
      <w:tabs>
        <w:tab w:val="right" w:pos="9071"/>
      </w:tabs>
      <w:spacing w:before="200"/>
      <w:jc w:val="right"/>
    </w:pPr>
    <w:rPr>
      <w:rFonts w:cs="Helvetica"/>
      <w:bCs/>
      <w:i/>
      <w:iCs/>
      <w:noProof/>
      <w:color w:val="E36C0A" w:themeColor="accent6" w:themeShade="BF"/>
      <w:szCs w:val="28"/>
      <w:lang w:val="en-US"/>
    </w:rPr>
  </w:style>
  <w:style w:type="character" w:customStyle="1" w:styleId="Heading1Char">
    <w:name w:val="Heading 1 Char"/>
    <w:basedOn w:val="DefaultParagraphFont"/>
    <w:link w:val="Heading1"/>
    <w:uiPriority w:val="9"/>
    <w:rsid w:val="00F20AB2"/>
    <w:rPr>
      <w:rFonts w:ascii="Calibri" w:eastAsia="Times New Roman" w:hAnsi="Calibri" w:cs="Helvetica"/>
      <w:b/>
      <w:bCs/>
      <w:color w:val="E36C0A"/>
      <w:sz w:val="28"/>
      <w:szCs w:val="28"/>
      <w:lang w:eastAsia="fr-FR"/>
    </w:rPr>
  </w:style>
  <w:style w:type="character" w:customStyle="1" w:styleId="ChapttitleChar">
    <w:name w:val="Chapt title Char"/>
    <w:basedOn w:val="DefaultParagraphFont"/>
    <w:link w:val="Chapttitle"/>
    <w:rsid w:val="000A55BE"/>
    <w:rPr>
      <w:rFonts w:ascii="Calibri" w:hAnsi="Calibri" w:cs="Helvetica"/>
      <w:b/>
      <w:bCs/>
      <w:color w:val="E36C0A" w:themeColor="accent6" w:themeShade="BF"/>
      <w:sz w:val="40"/>
      <w:szCs w:val="28"/>
      <w:lang w:eastAsia="fr-FR"/>
    </w:rPr>
  </w:style>
  <w:style w:type="character" w:customStyle="1" w:styleId="Toc0Char">
    <w:name w:val="Toc 0 Char"/>
    <w:basedOn w:val="DefaultParagraphFont"/>
    <w:link w:val="Toc0"/>
    <w:rsid w:val="000A55BE"/>
    <w:rPr>
      <w:rFonts w:ascii="Calibri" w:hAnsi="Calibri" w:cs="Helvetica"/>
      <w:bCs/>
      <w:i/>
      <w:iCs/>
      <w:noProof/>
      <w:color w:val="E36C0A" w:themeColor="accent6" w:themeShade="BF"/>
      <w:sz w:val="21"/>
      <w:szCs w:val="28"/>
      <w:lang w:eastAsia="fr-FR"/>
    </w:rPr>
  </w:style>
  <w:style w:type="paragraph" w:customStyle="1" w:styleId="HeadingB">
    <w:name w:val="Heading B"/>
    <w:basedOn w:val="Normal"/>
    <w:link w:val="HeadingBChar"/>
    <w:qFormat/>
    <w:rsid w:val="000A55BE"/>
    <w:pPr>
      <w:spacing w:before="240"/>
    </w:pPr>
    <w:rPr>
      <w:b/>
      <w:bCs/>
      <w:color w:val="E36C0A" w:themeColor="accent6" w:themeShade="BF"/>
      <w:lang w:val="en-AU"/>
    </w:rPr>
  </w:style>
  <w:style w:type="paragraph" w:customStyle="1" w:styleId="Enumlevel1">
    <w:name w:val="Enum level 1"/>
    <w:basedOn w:val="Normal"/>
    <w:link w:val="Enumlevel1Char"/>
    <w:qFormat/>
    <w:rsid w:val="00DD1E6F"/>
    <w:pPr>
      <w:ind w:left="851" w:hanging="494"/>
    </w:pPr>
    <w:rPr>
      <w:rFonts w:eastAsia="SimSun" w:cs="Calibri"/>
      <w:szCs w:val="21"/>
      <w:lang w:val="en-GB" w:eastAsia="en-GB"/>
    </w:rPr>
  </w:style>
  <w:style w:type="character" w:customStyle="1" w:styleId="HeadingBChar">
    <w:name w:val="Heading B Char"/>
    <w:basedOn w:val="DefaultParagraphFont"/>
    <w:link w:val="HeadingB"/>
    <w:rsid w:val="000A55BE"/>
    <w:rPr>
      <w:rFonts w:ascii="Calibri" w:hAnsi="Calibri"/>
      <w:b/>
      <w:bCs/>
      <w:color w:val="E36C0A" w:themeColor="accent6" w:themeShade="BF"/>
      <w:sz w:val="21"/>
      <w:szCs w:val="22"/>
      <w:lang w:val="en-AU" w:eastAsia="fr-FR"/>
    </w:rPr>
  </w:style>
  <w:style w:type="paragraph" w:customStyle="1" w:styleId="Citation">
    <w:name w:val="Citation"/>
    <w:basedOn w:val="Normal"/>
    <w:link w:val="CitationChar"/>
    <w:qFormat/>
    <w:rsid w:val="00CA5541"/>
    <w:pPr>
      <w:pBdr>
        <w:top w:val="single" w:sz="12" w:space="1" w:color="FABF8F" w:themeColor="accent6" w:themeTint="99"/>
        <w:left w:val="single" w:sz="12" w:space="4" w:color="FABF8F" w:themeColor="accent6" w:themeTint="99"/>
        <w:bottom w:val="single" w:sz="12" w:space="1" w:color="FABF8F" w:themeColor="accent6" w:themeTint="99"/>
        <w:right w:val="single" w:sz="12" w:space="4" w:color="FABF8F" w:themeColor="accent6" w:themeTint="99"/>
      </w:pBdr>
      <w:shd w:val="clear" w:color="auto" w:fill="FDE9D9" w:themeFill="accent6" w:themeFillTint="33"/>
      <w:spacing w:before="240" w:after="240"/>
      <w:ind w:left="567" w:right="495"/>
    </w:pPr>
    <w:rPr>
      <w:bCs/>
      <w:i/>
      <w:iCs/>
      <w:lang w:val="en-US"/>
    </w:rPr>
  </w:style>
  <w:style w:type="character" w:customStyle="1" w:styleId="Enumlevel1Char">
    <w:name w:val="Enum level 1 Char"/>
    <w:basedOn w:val="DefaultParagraphFont"/>
    <w:link w:val="Enumlevel1"/>
    <w:rsid w:val="00DD1E6F"/>
    <w:rPr>
      <w:rFonts w:ascii="Calibri" w:eastAsia="SimSun" w:hAnsi="Calibri" w:cs="Calibri"/>
      <w:sz w:val="21"/>
      <w:szCs w:val="21"/>
      <w:lang w:val="en-GB" w:eastAsia="en-GB"/>
    </w:rPr>
  </w:style>
  <w:style w:type="paragraph" w:customStyle="1" w:styleId="Tablesource">
    <w:name w:val="Table source"/>
    <w:basedOn w:val="Tabletext"/>
    <w:link w:val="TablesourceChar"/>
    <w:qFormat/>
    <w:rsid w:val="00075AFE"/>
    <w:rPr>
      <w:i/>
      <w:iCs/>
      <w:lang w:val="en-US"/>
    </w:rPr>
  </w:style>
  <w:style w:type="character" w:customStyle="1" w:styleId="CitationChar">
    <w:name w:val="Citation Char"/>
    <w:basedOn w:val="DefaultParagraphFont"/>
    <w:link w:val="Citation"/>
    <w:rsid w:val="00CA5541"/>
    <w:rPr>
      <w:rFonts w:ascii="Calibri" w:hAnsi="Calibri"/>
      <w:bCs/>
      <w:i/>
      <w:iCs/>
      <w:sz w:val="21"/>
      <w:szCs w:val="22"/>
      <w:shd w:val="clear" w:color="auto" w:fill="FDE9D9" w:themeFill="accent6" w:themeFillTint="33"/>
      <w:lang w:eastAsia="fr-FR"/>
    </w:rPr>
  </w:style>
  <w:style w:type="paragraph" w:customStyle="1" w:styleId="Acknowledgements">
    <w:name w:val="Acknowledgements"/>
    <w:basedOn w:val="Figure"/>
    <w:link w:val="AcknowledgementsChar"/>
    <w:qFormat/>
    <w:rsid w:val="00F859AE"/>
    <w:pPr>
      <w:spacing w:before="0" w:after="0"/>
      <w:ind w:left="0" w:firstLine="0"/>
      <w:jc w:val="both"/>
    </w:pPr>
    <w:rPr>
      <w:lang w:val="en-GB"/>
    </w:rPr>
  </w:style>
  <w:style w:type="character" w:customStyle="1" w:styleId="Heading3Char">
    <w:name w:val="Heading 3 Char"/>
    <w:basedOn w:val="DefaultParagraphFont"/>
    <w:link w:val="Heading3"/>
    <w:uiPriority w:val="9"/>
    <w:locked/>
    <w:rsid w:val="00BB5150"/>
    <w:rPr>
      <w:rFonts w:ascii="Calibri" w:eastAsia="Times New Roman" w:hAnsi="Calibri" w:cs="Helvetica"/>
      <w:b/>
      <w:bCs/>
      <w:i/>
      <w:iCs/>
      <w:color w:val="943634" w:themeColor="accent2" w:themeShade="BF"/>
      <w:sz w:val="24"/>
      <w:szCs w:val="32"/>
      <w:lang w:eastAsia="fr-FR"/>
    </w:rPr>
  </w:style>
  <w:style w:type="character" w:customStyle="1" w:styleId="Heading4Char">
    <w:name w:val="Heading 4 Char"/>
    <w:basedOn w:val="DefaultParagraphFont"/>
    <w:link w:val="Heading4"/>
    <w:uiPriority w:val="9"/>
    <w:locked/>
    <w:rsid w:val="00993280"/>
    <w:rPr>
      <w:rFonts w:ascii="Calibri" w:eastAsia="Times New Roman" w:hAnsi="Calibri"/>
      <w:b/>
      <w:bCs/>
      <w:color w:val="E36C0A"/>
      <w:sz w:val="22"/>
      <w:szCs w:val="22"/>
      <w:lang w:val="en-GB" w:eastAsia="en-CA"/>
    </w:rPr>
  </w:style>
  <w:style w:type="character" w:customStyle="1" w:styleId="Heading5Char">
    <w:name w:val="Heading 5 Char"/>
    <w:basedOn w:val="DefaultParagraphFont"/>
    <w:link w:val="Heading5"/>
    <w:uiPriority w:val="9"/>
    <w:locked/>
    <w:rsid w:val="00993280"/>
    <w:rPr>
      <w:rFonts w:ascii="Calibri" w:eastAsia="Times New Roman" w:hAnsi="Calibri"/>
      <w:b/>
      <w:bCs/>
      <w:i/>
      <w:iCs/>
      <w:color w:val="E36C0A"/>
      <w:sz w:val="22"/>
      <w:szCs w:val="22"/>
      <w:lang w:val="en-GB" w:eastAsia="fr-FR"/>
    </w:rPr>
  </w:style>
  <w:style w:type="character" w:customStyle="1" w:styleId="Heading6Char">
    <w:name w:val="Heading 6 Char"/>
    <w:basedOn w:val="DefaultParagraphFont"/>
    <w:link w:val="Heading6"/>
    <w:uiPriority w:val="9"/>
    <w:locked/>
    <w:rsid w:val="00271D36"/>
    <w:rPr>
      <w:rFonts w:ascii="Calibri" w:hAnsi="Calibri"/>
      <w:b/>
      <w:bCs/>
      <w:sz w:val="21"/>
      <w:szCs w:val="22"/>
      <w:lang w:val="fr-FR" w:eastAsia="fr-FR"/>
    </w:rPr>
  </w:style>
  <w:style w:type="character" w:customStyle="1" w:styleId="Heading7Char">
    <w:name w:val="Heading 7 Char"/>
    <w:basedOn w:val="DefaultParagraphFont"/>
    <w:link w:val="Heading7"/>
    <w:uiPriority w:val="9"/>
    <w:locked/>
    <w:rsid w:val="00271D36"/>
    <w:rPr>
      <w:rFonts w:ascii="Calibri" w:hAnsi="Calibri"/>
      <w:sz w:val="24"/>
      <w:szCs w:val="24"/>
      <w:lang w:val="fr-FR" w:eastAsia="fr-FR"/>
    </w:rPr>
  </w:style>
  <w:style w:type="character" w:customStyle="1" w:styleId="Heading8Char">
    <w:name w:val="Heading 8 Char"/>
    <w:basedOn w:val="DefaultParagraphFont"/>
    <w:link w:val="Heading8"/>
    <w:uiPriority w:val="9"/>
    <w:locked/>
    <w:rsid w:val="00271D36"/>
    <w:rPr>
      <w:rFonts w:ascii="Calibri" w:hAnsi="Calibri"/>
      <w:i/>
      <w:iCs/>
      <w:sz w:val="24"/>
      <w:szCs w:val="24"/>
      <w:lang w:val="fr-FR" w:eastAsia="fr-FR"/>
    </w:rPr>
  </w:style>
  <w:style w:type="character" w:customStyle="1" w:styleId="Heading9Char">
    <w:name w:val="Heading 9 Char"/>
    <w:basedOn w:val="DefaultParagraphFont"/>
    <w:link w:val="Heading9"/>
    <w:uiPriority w:val="9"/>
    <w:locked/>
    <w:rsid w:val="00271D36"/>
    <w:rPr>
      <w:rFonts w:ascii="Arial" w:hAnsi="Arial" w:cs="Arial"/>
      <w:sz w:val="21"/>
      <w:szCs w:val="22"/>
      <w:lang w:val="fr-FR" w:eastAsia="fr-FR"/>
    </w:rPr>
  </w:style>
  <w:style w:type="paragraph" w:styleId="Revision">
    <w:name w:val="Revision"/>
    <w:hidden/>
    <w:uiPriority w:val="99"/>
    <w:semiHidden/>
    <w:rsid w:val="00271D36"/>
    <w:rPr>
      <w:rFonts w:eastAsia="SimSun"/>
      <w:sz w:val="24"/>
      <w:szCs w:val="24"/>
      <w:lang w:val="en-GB" w:eastAsia="en-GB"/>
    </w:rPr>
  </w:style>
  <w:style w:type="character" w:styleId="FollowedHyperlink">
    <w:name w:val="FollowedHyperlink"/>
    <w:basedOn w:val="DefaultParagraphFont"/>
    <w:uiPriority w:val="99"/>
    <w:rsid w:val="00271D36"/>
    <w:rPr>
      <w:rFonts w:cs="Times New Roman"/>
      <w:color w:val="800080"/>
      <w:u w:val="single"/>
    </w:rPr>
  </w:style>
  <w:style w:type="paragraph" w:customStyle="1" w:styleId="Tablehead">
    <w:name w:val="Table head"/>
    <w:basedOn w:val="Normal"/>
    <w:link w:val="TableheadChar"/>
    <w:qFormat/>
    <w:rsid w:val="00446E47"/>
    <w:pPr>
      <w:autoSpaceDE w:val="0"/>
      <w:autoSpaceDN w:val="0"/>
      <w:adjustRightInd w:val="0"/>
      <w:spacing w:before="80" w:after="80"/>
      <w:jc w:val="center"/>
    </w:pPr>
    <w:rPr>
      <w:rFonts w:cs="Arial"/>
      <w:b/>
      <w:bCs/>
      <w:color w:val="FFFFFF" w:themeColor="background1"/>
      <w:sz w:val="19"/>
      <w:lang w:val="en-US"/>
    </w:rPr>
  </w:style>
  <w:style w:type="character" w:customStyle="1" w:styleId="TableheadChar">
    <w:name w:val="Table head Char"/>
    <w:basedOn w:val="DefaultParagraphFont"/>
    <w:link w:val="Tablehead"/>
    <w:rsid w:val="00446E47"/>
    <w:rPr>
      <w:rFonts w:ascii="Calibri" w:hAnsi="Calibri" w:cs="Arial"/>
      <w:b/>
      <w:bCs/>
      <w:color w:val="FFFFFF" w:themeColor="background1"/>
      <w:sz w:val="19"/>
      <w:szCs w:val="22"/>
      <w:lang w:eastAsia="fr-FR"/>
    </w:rPr>
  </w:style>
  <w:style w:type="paragraph" w:customStyle="1" w:styleId="Tabletext">
    <w:name w:val="Table text"/>
    <w:basedOn w:val="Normal"/>
    <w:link w:val="TabletextChar"/>
    <w:qFormat/>
    <w:rsid w:val="001B29B0"/>
    <w:pPr>
      <w:spacing w:before="40" w:after="40"/>
      <w:jc w:val="left"/>
    </w:pPr>
    <w:rPr>
      <w:rFonts w:asciiTheme="minorHAnsi" w:hAnsiTheme="minorHAnsi"/>
      <w:bCs/>
      <w:sz w:val="19"/>
      <w:szCs w:val="18"/>
    </w:rPr>
  </w:style>
  <w:style w:type="character" w:customStyle="1" w:styleId="TabletextChar">
    <w:name w:val="Table text Char"/>
    <w:basedOn w:val="DefaultParagraphFont"/>
    <w:link w:val="Tabletext"/>
    <w:rsid w:val="001B29B0"/>
    <w:rPr>
      <w:rFonts w:asciiTheme="minorHAnsi" w:hAnsiTheme="minorHAnsi"/>
      <w:bCs/>
      <w:sz w:val="19"/>
      <w:szCs w:val="18"/>
      <w:lang w:val="fr-FR" w:eastAsia="fr-FR"/>
    </w:rPr>
  </w:style>
  <w:style w:type="paragraph" w:customStyle="1" w:styleId="Tabletitle">
    <w:name w:val="Table title"/>
    <w:basedOn w:val="Normal"/>
    <w:link w:val="TabletitleChar"/>
    <w:qFormat/>
    <w:rsid w:val="0078387C"/>
    <w:pPr>
      <w:autoSpaceDE w:val="0"/>
      <w:autoSpaceDN w:val="0"/>
      <w:adjustRightInd w:val="0"/>
      <w:spacing w:before="240" w:after="120"/>
      <w:jc w:val="center"/>
    </w:pPr>
    <w:rPr>
      <w:rFonts w:cs="Arial"/>
      <w:b/>
      <w:bCs/>
      <w:color w:val="E36C0A" w:themeColor="accent6" w:themeShade="BF"/>
      <w:szCs w:val="24"/>
      <w:lang w:val="en-US"/>
    </w:rPr>
  </w:style>
  <w:style w:type="character" w:customStyle="1" w:styleId="TabletitleChar">
    <w:name w:val="Table title Char"/>
    <w:basedOn w:val="DefaultParagraphFont"/>
    <w:link w:val="Tabletitle"/>
    <w:rsid w:val="0078387C"/>
    <w:rPr>
      <w:rFonts w:ascii="Calibri" w:hAnsi="Calibri" w:cs="Arial"/>
      <w:b/>
      <w:bCs/>
      <w:color w:val="E36C0A" w:themeColor="accent6" w:themeShade="BF"/>
      <w:sz w:val="21"/>
      <w:szCs w:val="24"/>
      <w:lang w:eastAsia="fr-FR"/>
    </w:rPr>
  </w:style>
  <w:style w:type="paragraph" w:styleId="z-TopofForm">
    <w:name w:val="HTML Top of Form"/>
    <w:basedOn w:val="Normal"/>
    <w:next w:val="Normal"/>
    <w:link w:val="z-TopofFormChar"/>
    <w:hidden/>
    <w:uiPriority w:val="99"/>
    <w:unhideWhenUsed/>
    <w:rsid w:val="00077DE6"/>
    <w:pPr>
      <w:pBdr>
        <w:bottom w:val="single" w:sz="6" w:space="1" w:color="auto"/>
      </w:pBdr>
      <w:spacing w:before="0"/>
      <w:jc w:val="center"/>
    </w:pPr>
    <w:rPr>
      <w:rFonts w:ascii="Arial" w:hAnsi="Arial"/>
      <w:vanish/>
      <w:color w:val="000000"/>
      <w:sz w:val="16"/>
      <w:szCs w:val="16"/>
    </w:rPr>
  </w:style>
  <w:style w:type="character" w:customStyle="1" w:styleId="z-TopofFormChar">
    <w:name w:val="z-Top of Form Char"/>
    <w:basedOn w:val="DefaultParagraphFont"/>
    <w:link w:val="z-TopofForm"/>
    <w:uiPriority w:val="99"/>
    <w:rsid w:val="00077DE6"/>
    <w:rPr>
      <w:rFonts w:ascii="Arial" w:hAnsi="Arial"/>
      <w:vanish/>
      <w:color w:val="000000"/>
      <w:sz w:val="16"/>
      <w:szCs w:val="16"/>
    </w:rPr>
  </w:style>
  <w:style w:type="paragraph" w:styleId="z-BottomofForm">
    <w:name w:val="HTML Bottom of Form"/>
    <w:basedOn w:val="Normal"/>
    <w:next w:val="Normal"/>
    <w:link w:val="z-BottomofFormChar"/>
    <w:hidden/>
    <w:uiPriority w:val="99"/>
    <w:unhideWhenUsed/>
    <w:rsid w:val="00077DE6"/>
    <w:pPr>
      <w:pBdr>
        <w:top w:val="single" w:sz="6" w:space="1" w:color="auto"/>
      </w:pBdr>
      <w:spacing w:before="0"/>
      <w:jc w:val="center"/>
    </w:pPr>
    <w:rPr>
      <w:rFonts w:ascii="Arial" w:hAnsi="Arial"/>
      <w:vanish/>
      <w:color w:val="000000"/>
      <w:sz w:val="16"/>
      <w:szCs w:val="16"/>
    </w:rPr>
  </w:style>
  <w:style w:type="character" w:customStyle="1" w:styleId="z-BottomofFormChar">
    <w:name w:val="z-Bottom of Form Char"/>
    <w:basedOn w:val="DefaultParagraphFont"/>
    <w:link w:val="z-BottomofForm"/>
    <w:uiPriority w:val="99"/>
    <w:rsid w:val="00077DE6"/>
    <w:rPr>
      <w:rFonts w:ascii="Arial" w:hAnsi="Arial"/>
      <w:vanish/>
      <w:color w:val="000000"/>
      <w:sz w:val="16"/>
      <w:szCs w:val="16"/>
    </w:rPr>
  </w:style>
  <w:style w:type="paragraph" w:customStyle="1" w:styleId="Enumlevel3">
    <w:name w:val="Enum level 3"/>
    <w:basedOn w:val="Normal"/>
    <w:link w:val="Enumlevel3Char"/>
    <w:qFormat/>
    <w:rsid w:val="00B9372E"/>
    <w:pPr>
      <w:ind w:left="1701" w:hanging="567"/>
    </w:pPr>
    <w:rPr>
      <w:iCs/>
    </w:rPr>
  </w:style>
  <w:style w:type="character" w:customStyle="1" w:styleId="Enumlevel3Char">
    <w:name w:val="Enum level 3 Char"/>
    <w:basedOn w:val="DefaultParagraphFont"/>
    <w:link w:val="Enumlevel3"/>
    <w:rsid w:val="00B9372E"/>
    <w:rPr>
      <w:rFonts w:ascii="Calibri" w:hAnsi="Calibri"/>
      <w:iCs/>
      <w:sz w:val="21"/>
      <w:szCs w:val="22"/>
      <w:lang w:val="fr-FR" w:eastAsia="fr-FR"/>
    </w:rPr>
  </w:style>
  <w:style w:type="character" w:customStyle="1" w:styleId="BalloonTextChar15">
    <w:name w:val="Balloon Text Char15"/>
    <w:basedOn w:val="DefaultParagraphFont"/>
    <w:uiPriority w:val="99"/>
    <w:semiHidden/>
    <w:rsid w:val="003E2368"/>
    <w:rPr>
      <w:rFonts w:ascii="Lucida Grande" w:hAnsi="Lucida Grande" w:cs="Times New Roman"/>
      <w:sz w:val="18"/>
    </w:rPr>
  </w:style>
  <w:style w:type="character" w:customStyle="1" w:styleId="BalloonTextChar14">
    <w:name w:val="Balloon Text Char14"/>
    <w:basedOn w:val="DefaultParagraphFont"/>
    <w:uiPriority w:val="99"/>
    <w:semiHidden/>
    <w:rsid w:val="003E2368"/>
    <w:rPr>
      <w:rFonts w:ascii="Lucida Grande" w:hAnsi="Lucida Grande" w:cs="Times New Roman"/>
      <w:sz w:val="18"/>
    </w:rPr>
  </w:style>
  <w:style w:type="character" w:customStyle="1" w:styleId="BalloonTextChar13">
    <w:name w:val="Balloon Text Char13"/>
    <w:basedOn w:val="DefaultParagraphFont"/>
    <w:uiPriority w:val="99"/>
    <w:semiHidden/>
    <w:rsid w:val="003E2368"/>
    <w:rPr>
      <w:rFonts w:ascii="Lucida Grande" w:hAnsi="Lucida Grande" w:cs="Times New Roman"/>
      <w:sz w:val="18"/>
    </w:rPr>
  </w:style>
  <w:style w:type="character" w:customStyle="1" w:styleId="BalloonTextChar12">
    <w:name w:val="Balloon Text Char12"/>
    <w:basedOn w:val="DefaultParagraphFont"/>
    <w:uiPriority w:val="99"/>
    <w:semiHidden/>
    <w:rsid w:val="003E2368"/>
    <w:rPr>
      <w:rFonts w:ascii="Lucida Grande" w:hAnsi="Lucida Grande" w:cs="Times New Roman"/>
      <w:sz w:val="18"/>
    </w:rPr>
  </w:style>
  <w:style w:type="character" w:customStyle="1" w:styleId="BalloonTextChar11">
    <w:name w:val="Balloon Text Char11"/>
    <w:basedOn w:val="DefaultParagraphFont"/>
    <w:uiPriority w:val="99"/>
    <w:semiHidden/>
    <w:rsid w:val="003E2368"/>
    <w:rPr>
      <w:rFonts w:ascii="Lucida Grande" w:hAnsi="Lucida Grande" w:cs="Times New Roman"/>
      <w:sz w:val="18"/>
    </w:rPr>
  </w:style>
  <w:style w:type="character" w:customStyle="1" w:styleId="BalloonTextChar10">
    <w:name w:val="Balloon Text Char10"/>
    <w:basedOn w:val="DefaultParagraphFont"/>
    <w:uiPriority w:val="99"/>
    <w:semiHidden/>
    <w:rsid w:val="003E2368"/>
    <w:rPr>
      <w:rFonts w:ascii="Lucida Grande" w:hAnsi="Lucida Grande" w:cs="Times New Roman"/>
      <w:sz w:val="18"/>
    </w:rPr>
  </w:style>
  <w:style w:type="character" w:customStyle="1" w:styleId="BalloonTextChar9">
    <w:name w:val="Balloon Text Char9"/>
    <w:basedOn w:val="DefaultParagraphFont"/>
    <w:uiPriority w:val="99"/>
    <w:semiHidden/>
    <w:rsid w:val="003E2368"/>
    <w:rPr>
      <w:rFonts w:ascii="Lucida Grande" w:hAnsi="Lucida Grande" w:cs="Times New Roman"/>
      <w:sz w:val="18"/>
    </w:rPr>
  </w:style>
  <w:style w:type="character" w:customStyle="1" w:styleId="BalloonTextChar8">
    <w:name w:val="Balloon Text Char8"/>
    <w:basedOn w:val="DefaultParagraphFont"/>
    <w:uiPriority w:val="99"/>
    <w:semiHidden/>
    <w:rsid w:val="003E2368"/>
    <w:rPr>
      <w:rFonts w:ascii="Lucida Grande" w:hAnsi="Lucida Grande" w:cs="Times New Roman"/>
      <w:sz w:val="18"/>
    </w:rPr>
  </w:style>
  <w:style w:type="character" w:customStyle="1" w:styleId="BalloonTextChar7">
    <w:name w:val="Balloon Text Char7"/>
    <w:basedOn w:val="DefaultParagraphFont"/>
    <w:uiPriority w:val="99"/>
    <w:semiHidden/>
    <w:rsid w:val="003E2368"/>
    <w:rPr>
      <w:rFonts w:ascii="Lucida Grande" w:hAnsi="Lucida Grande" w:cs="Times New Roman"/>
      <w:sz w:val="18"/>
    </w:rPr>
  </w:style>
  <w:style w:type="character" w:customStyle="1" w:styleId="BalloonTextChar6">
    <w:name w:val="Balloon Text Char6"/>
    <w:basedOn w:val="DefaultParagraphFont"/>
    <w:uiPriority w:val="99"/>
    <w:semiHidden/>
    <w:rsid w:val="003E2368"/>
    <w:rPr>
      <w:rFonts w:ascii="Lucida Grande" w:hAnsi="Lucida Grande" w:cs="Times New Roman"/>
      <w:sz w:val="18"/>
    </w:rPr>
  </w:style>
  <w:style w:type="character" w:customStyle="1" w:styleId="BalloonTextChar5">
    <w:name w:val="Balloon Text Char5"/>
    <w:basedOn w:val="DefaultParagraphFont"/>
    <w:uiPriority w:val="99"/>
    <w:semiHidden/>
    <w:rsid w:val="003E2368"/>
    <w:rPr>
      <w:rFonts w:ascii="Lucida Grande" w:hAnsi="Lucida Grande" w:cs="Times New Roman"/>
      <w:sz w:val="18"/>
    </w:rPr>
  </w:style>
  <w:style w:type="character" w:customStyle="1" w:styleId="BalloonTextChar4">
    <w:name w:val="Balloon Text Char4"/>
    <w:basedOn w:val="DefaultParagraphFont"/>
    <w:uiPriority w:val="99"/>
    <w:semiHidden/>
    <w:rsid w:val="003E2368"/>
    <w:rPr>
      <w:rFonts w:ascii="Lucida Grande" w:hAnsi="Lucida Grande" w:cs="Times New Roman"/>
      <w:sz w:val="18"/>
    </w:rPr>
  </w:style>
  <w:style w:type="character" w:customStyle="1" w:styleId="BalloonTextChar3">
    <w:name w:val="Balloon Text Char3"/>
    <w:basedOn w:val="DefaultParagraphFont"/>
    <w:uiPriority w:val="99"/>
    <w:semiHidden/>
    <w:rsid w:val="003E2368"/>
    <w:rPr>
      <w:rFonts w:ascii="Lucida Grande" w:hAnsi="Lucida Grande" w:cs="Times New Roman"/>
      <w:sz w:val="18"/>
    </w:rPr>
  </w:style>
  <w:style w:type="character" w:customStyle="1" w:styleId="BalloonTextChar2">
    <w:name w:val="Balloon Text Char2"/>
    <w:basedOn w:val="DefaultParagraphFont"/>
    <w:uiPriority w:val="99"/>
    <w:semiHidden/>
    <w:rsid w:val="003E2368"/>
    <w:rPr>
      <w:rFonts w:ascii="Lucida Grande" w:hAnsi="Lucida Grande" w:cs="Times New Roman"/>
      <w:sz w:val="18"/>
    </w:rPr>
  </w:style>
  <w:style w:type="paragraph" w:customStyle="1" w:styleId="Note">
    <w:name w:val="Note"/>
    <w:basedOn w:val="Normal"/>
    <w:uiPriority w:val="99"/>
    <w:rsid w:val="000A71D3"/>
    <w:pPr>
      <w:overflowPunct w:val="0"/>
      <w:autoSpaceDE w:val="0"/>
      <w:autoSpaceDN w:val="0"/>
      <w:adjustRightInd w:val="0"/>
      <w:spacing w:before="80"/>
      <w:textAlignment w:val="baseline"/>
    </w:pPr>
    <w:rPr>
      <w:rFonts w:cstheme="minorBidi"/>
      <w:sz w:val="20"/>
      <w:lang w:eastAsia="en-US"/>
    </w:rPr>
  </w:style>
  <w:style w:type="table" w:customStyle="1" w:styleId="TableGrid1">
    <w:name w:val="Table Grid1"/>
    <w:basedOn w:val="TableNormal"/>
    <w:next w:val="TableGrid"/>
    <w:rsid w:val="00B824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2">
    <w:name w:val="Table Columns 2"/>
    <w:basedOn w:val="TableNormal"/>
    <w:rsid w:val="00411F98"/>
    <w:rPr>
      <w:rFonts w:eastAsia="Times New Roman"/>
      <w:b/>
      <w:bCs/>
      <w:lang w:val="es-CL" w:eastAsia="es-C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411F98"/>
    <w:rPr>
      <w:rFonts w:eastAsia="Times New Roman"/>
      <w:lang w:val="es-CL" w:eastAsia="es-C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aclara-nfasis11">
    <w:name w:val="Lista clara - Énfasis 11"/>
    <w:basedOn w:val="TableNormal"/>
    <w:uiPriority w:val="61"/>
    <w:rsid w:val="00411F98"/>
    <w:rPr>
      <w:rFonts w:eastAsia="Times New Roman"/>
      <w:lang w:val="es-CL" w:eastAsia="es-C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2-nfasis11">
    <w:name w:val="Sombreado medio 2 - Énfasis 11"/>
    <w:basedOn w:val="TableNormal"/>
    <w:uiPriority w:val="64"/>
    <w:rsid w:val="00411F98"/>
    <w:rPr>
      <w:rFonts w:eastAsia="Times New Roman"/>
      <w:lang w:val="es-CL" w:eastAsia="es-C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eNormal"/>
    <w:uiPriority w:val="63"/>
    <w:rsid w:val="00411F98"/>
    <w:rPr>
      <w:rFonts w:eastAsia="Times New Roman"/>
      <w:lang w:val="es-CL" w:eastAsia="es-C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doclaro-nfasis11">
    <w:name w:val="Sombreado claro - Énfasis 11"/>
    <w:basedOn w:val="TableNormal"/>
    <w:uiPriority w:val="60"/>
    <w:rsid w:val="00411F98"/>
    <w:rPr>
      <w:rFonts w:eastAsia="Times New Roman"/>
      <w:color w:val="365F91" w:themeColor="accent1" w:themeShade="BF"/>
      <w:lang w:val="es-CL" w:eastAsia="es-C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Web2">
    <w:name w:val="Table Web 2"/>
    <w:basedOn w:val="TableNormal"/>
    <w:rsid w:val="00411F98"/>
    <w:rPr>
      <w:rFonts w:eastAsia="Times New Roman"/>
      <w:lang w:val="es-CL" w:eastAsia="es-C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staclara-nfasis111">
    <w:name w:val="Lista clara - Énfasis 111"/>
    <w:basedOn w:val="TableNormal"/>
    <w:uiPriority w:val="61"/>
    <w:rsid w:val="00411F98"/>
    <w:rPr>
      <w:rFonts w:eastAsia="Times New Roman"/>
      <w:lang w:val="es-CL" w:eastAsia="es-C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itlereport">
    <w:name w:val="Title report"/>
    <w:basedOn w:val="Chapttitle"/>
    <w:link w:val="TitlereportChar"/>
    <w:qFormat/>
    <w:rsid w:val="00F859AE"/>
    <w:pPr>
      <w:jc w:val="right"/>
    </w:pPr>
    <w:rPr>
      <w:rFonts w:eastAsia="Times New Roman" w:cs="Calibri"/>
      <w:sz w:val="52"/>
      <w:szCs w:val="52"/>
      <w:lang w:val="en-GB"/>
    </w:rPr>
  </w:style>
  <w:style w:type="character" w:styleId="PlaceholderText">
    <w:name w:val="Placeholder Text"/>
    <w:basedOn w:val="DefaultParagraphFont"/>
    <w:uiPriority w:val="99"/>
    <w:semiHidden/>
    <w:rsid w:val="0011585A"/>
    <w:rPr>
      <w:color w:val="808080"/>
    </w:rPr>
  </w:style>
  <w:style w:type="table" w:customStyle="1" w:styleId="LightShading1">
    <w:name w:val="Light Shading1"/>
    <w:basedOn w:val="TableNormal"/>
    <w:uiPriority w:val="60"/>
    <w:rsid w:val="00133CDA"/>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cknowledgementsChar">
    <w:name w:val="Acknowledgements Char"/>
    <w:basedOn w:val="FigureChar"/>
    <w:link w:val="Acknowledgements"/>
    <w:rsid w:val="00F859AE"/>
    <w:rPr>
      <w:rFonts w:ascii="Calibri" w:eastAsia="SimSun" w:hAnsi="Calibri" w:cs="Arial"/>
      <w:b w:val="0"/>
      <w:bCs/>
      <w:color w:val="000000"/>
      <w:sz w:val="21"/>
      <w:szCs w:val="22"/>
      <w:shd w:val="clear" w:color="auto" w:fill="FBD4B4" w:themeFill="accent6" w:themeFillTint="66"/>
      <w:lang w:val="en-GB" w:eastAsia="fr-FR"/>
    </w:rPr>
  </w:style>
  <w:style w:type="paragraph" w:customStyle="1" w:styleId="Titlereportdate">
    <w:name w:val="Title report date"/>
    <w:basedOn w:val="Normal"/>
    <w:link w:val="TitlereportdateChar"/>
    <w:qFormat/>
    <w:rsid w:val="00F859AE"/>
    <w:pPr>
      <w:keepNext/>
      <w:keepLines/>
      <w:tabs>
        <w:tab w:val="left" w:pos="851"/>
      </w:tabs>
      <w:spacing w:before="240"/>
      <w:jc w:val="right"/>
      <w:outlineLvl w:val="0"/>
    </w:pPr>
    <w:rPr>
      <w:rFonts w:cs="Helvetica"/>
      <w:b/>
      <w:bCs/>
      <w:i/>
      <w:iCs/>
      <w:sz w:val="48"/>
      <w:szCs w:val="36"/>
      <w:lang w:val="en-GB"/>
    </w:rPr>
  </w:style>
  <w:style w:type="character" w:customStyle="1" w:styleId="TitlereportChar">
    <w:name w:val="Title report Char"/>
    <w:basedOn w:val="ChapttitleChar"/>
    <w:link w:val="Titlereport"/>
    <w:rsid w:val="00F859AE"/>
    <w:rPr>
      <w:rFonts w:ascii="Calibri" w:eastAsia="Times New Roman" w:hAnsi="Calibri" w:cs="Calibri"/>
      <w:b/>
      <w:bCs/>
      <w:color w:val="E36C0A" w:themeColor="accent6" w:themeShade="BF"/>
      <w:sz w:val="52"/>
      <w:szCs w:val="52"/>
      <w:lang w:val="en-GB" w:eastAsia="fr-FR"/>
    </w:rPr>
  </w:style>
  <w:style w:type="character" w:customStyle="1" w:styleId="TablesourceChar">
    <w:name w:val="Table source Char"/>
    <w:basedOn w:val="TabletextChar"/>
    <w:link w:val="Tablesource"/>
    <w:rsid w:val="00075AFE"/>
    <w:rPr>
      <w:rFonts w:asciiTheme="minorHAnsi" w:hAnsiTheme="minorHAnsi"/>
      <w:bCs/>
      <w:i/>
      <w:iCs/>
      <w:sz w:val="19"/>
      <w:szCs w:val="18"/>
      <w:lang w:val="fr-FR" w:eastAsia="fr-FR"/>
    </w:rPr>
  </w:style>
  <w:style w:type="character" w:customStyle="1" w:styleId="TitlereportdateChar">
    <w:name w:val="Title report date Char"/>
    <w:basedOn w:val="DefaultParagraphFont"/>
    <w:link w:val="Titlereportdate"/>
    <w:rsid w:val="00F859AE"/>
    <w:rPr>
      <w:rFonts w:ascii="Calibri" w:hAnsi="Calibri" w:cs="Helvetica"/>
      <w:b/>
      <w:bCs/>
      <w:i/>
      <w:iCs/>
      <w:color w:val="E36C0A" w:themeColor="accent6" w:themeShade="BF"/>
      <w:sz w:val="48"/>
      <w:szCs w:val="36"/>
      <w:lang w:val="en-GB" w:eastAsia="fr-FR"/>
    </w:rPr>
  </w:style>
  <w:style w:type="paragraph" w:styleId="TOCHeading">
    <w:name w:val="TOC Heading"/>
    <w:basedOn w:val="Heading1"/>
    <w:next w:val="Normal"/>
    <w:uiPriority w:val="39"/>
    <w:unhideWhenUsed/>
    <w:qFormat/>
    <w:rsid w:val="00D20B49"/>
    <w:pPr>
      <w:tabs>
        <w:tab w:val="clear" w:pos="851"/>
      </w:tabs>
      <w:spacing w:before="480" w:line="276" w:lineRule="auto"/>
      <w:jc w:val="left"/>
      <w:outlineLvl w:val="9"/>
    </w:pPr>
    <w:rPr>
      <w:rFonts w:asciiTheme="majorHAnsi" w:eastAsiaTheme="majorEastAsia" w:hAnsiTheme="majorHAnsi" w:cstheme="majorBidi"/>
      <w:color w:val="365F91" w:themeColor="accent1" w:themeShade="BF"/>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package" Target="embeddings/Microsoft_Office_Word_Document1.docx"/><Relationship Id="rId33" Type="http://schemas.openxmlformats.org/officeDocument/2006/relationships/footer" Target="footer7.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hyperlink" Target="http://www.tuketici.gov.tr"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www.btk.gov.t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1.xml"/><Relationship Id="rId27" Type="http://schemas.openxmlformats.org/officeDocument/2006/relationships/image" Target="media/image7.png"/><Relationship Id="rId30" Type="http://schemas.openxmlformats.org/officeDocument/2006/relationships/hyperlink" Target="www1.skmm.gov.my/?lang=en-US" TargetMode="External"/><Relationship Id="rId35"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8" Type="http://schemas.openxmlformats.org/officeDocument/2006/relationships/hyperlink" Target="http://advanced-television.com/2009/07/06/iptv-subs-increases-in-korea/" TargetMode="External"/><Relationship Id="rId3" Type="http://schemas.openxmlformats.org/officeDocument/2006/relationships/hyperlink" Target="http://www.physorg.com/news/2011-06-dutch-parliament-mobile-net-neutrality.html" TargetMode="External"/><Relationship Id="rId7" Type="http://schemas.openxmlformats.org/officeDocument/2006/relationships/hyperlink" Target="http://www.tra.gov.om/newsite1/NewsDetails.aspx?newsid=273" TargetMode="External"/><Relationship Id="rId2" Type="http://schemas.openxmlformats.org/officeDocument/2006/relationships/hyperlink" Target="http://www.misurainternet.it/" TargetMode="External"/><Relationship Id="rId1" Type="http://schemas.openxmlformats.org/officeDocument/2006/relationships/hyperlink" Target="http://www.broadbandcommission.org/Documents/bb-annualreport2012.pdf" TargetMode="External"/><Relationship Id="rId6" Type="http://schemas.openxmlformats.org/officeDocument/2006/relationships/hyperlink" Target="http://www.fcc.gov/document/chairman-genachowski-announces-post-superstorm-sandy-field-hearings" TargetMode="External"/><Relationship Id="rId5" Type="http://schemas.openxmlformats.org/officeDocument/2006/relationships/hyperlink" Target="http://dcmscommsreview.readandcomment.com/consumers/" TargetMode="External"/><Relationship Id="rId10" Type="http://schemas.openxmlformats.org/officeDocument/2006/relationships/hyperlink" Target="http://advanced-television.com/2012/09/19/brazil-wants-better-customer-service-from-pay-tv/" TargetMode="External"/><Relationship Id="rId4" Type="http://schemas.openxmlformats.org/officeDocument/2006/relationships/hyperlink" Target="http://www.broadbanduk.org/category/open-internet/" TargetMode="External"/><Relationship Id="rId9" Type="http://schemas.openxmlformats.org/officeDocument/2006/relationships/hyperlink" Target="https://www.gov.uk/government/news/new-proposals-for-consumer-righ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illarc\LOCALS~1\Temp\Temporary%20Directory%202%20for%20Bundle%20for%20new%20user%20(3).zip\Bundle%20for%20new%20user\EN\HIPSSA%20Template%20EN.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view3D>
      <c:rotX val="30"/>
      <c:perspective val="30"/>
    </c:view3D>
    <c:plotArea>
      <c:layout/>
      <c:pie3DChart>
        <c:varyColors val="1"/>
        <c:ser>
          <c:idx val="0"/>
          <c:order val="0"/>
          <c:explosion val="25"/>
          <c:cat>
            <c:strRef>
              <c:f>Sheet1!$A$1:$A$5</c:f>
              <c:strCache>
                <c:ptCount val="5"/>
                <c:pt idx="0">
                  <c:v>Africa</c:v>
                </c:pt>
                <c:pt idx="1">
                  <c:v>E.Europe/Nth.Africa</c:v>
                </c:pt>
                <c:pt idx="2">
                  <c:v>W.Europe</c:v>
                </c:pt>
                <c:pt idx="3">
                  <c:v>Americas</c:v>
                </c:pt>
                <c:pt idx="4">
                  <c:v>Australia/Australasia</c:v>
                </c:pt>
              </c:strCache>
            </c:strRef>
          </c:cat>
          <c:val>
            <c:numRef>
              <c:f>Sheet1!$B$1:$B$5</c:f>
              <c:numCache>
                <c:formatCode>General</c:formatCode>
                <c:ptCount val="5"/>
                <c:pt idx="0">
                  <c:v>11</c:v>
                </c:pt>
                <c:pt idx="1">
                  <c:v>2</c:v>
                </c:pt>
                <c:pt idx="2">
                  <c:v>8</c:v>
                </c:pt>
                <c:pt idx="3">
                  <c:v>8</c:v>
                </c:pt>
                <c:pt idx="4">
                  <c:v>8</c:v>
                </c:pt>
              </c:numCache>
            </c:numRef>
          </c:val>
        </c:ser>
      </c:pie3DChart>
    </c:plotArea>
    <c:legend>
      <c:legendPos val="r"/>
    </c:legend>
    <c:plotVisOnly val="1"/>
    <c:dispBlanksAs val="zero"/>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0.73408</cdr:x>
      <cdr:y>0.09869</cdr:y>
    </cdr:from>
    <cdr:to>
      <cdr:x>0.99977</cdr:x>
      <cdr:y>0.94514</cdr:y>
    </cdr:to>
    <cdr:sp macro="" textlink="">
      <cdr:nvSpPr>
        <cdr:cNvPr id="3" name="TextBox 2"/>
        <cdr:cNvSpPr txBox="1"/>
      </cdr:nvSpPr>
      <cdr:spPr>
        <a:xfrm xmlns:a="http://schemas.openxmlformats.org/drawingml/2006/main">
          <a:off x="3363669" y="145855"/>
          <a:ext cx="1217439" cy="1250989"/>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US" sz="950"/>
            <a:t>Afrique</a:t>
          </a:r>
        </a:p>
        <a:p xmlns:a="http://schemas.openxmlformats.org/drawingml/2006/main">
          <a:endParaRPr lang="en-US" sz="100"/>
        </a:p>
        <a:p xmlns:a="http://schemas.openxmlformats.org/drawingml/2006/main">
          <a:r>
            <a:rPr lang="en-US" sz="950"/>
            <a:t>Europe de l'Est/ Afrique du Nord</a:t>
          </a:r>
        </a:p>
        <a:p xmlns:a="http://schemas.openxmlformats.org/drawingml/2006/main">
          <a:endParaRPr lang="en-US" sz="100"/>
        </a:p>
        <a:p xmlns:a="http://schemas.openxmlformats.org/drawingml/2006/main">
          <a:r>
            <a:rPr lang="en-US" sz="950"/>
            <a:t>Europe</a:t>
          </a:r>
          <a:r>
            <a:rPr lang="en-US" sz="950" baseline="0"/>
            <a:t> de l'Ouest</a:t>
          </a:r>
        </a:p>
        <a:p xmlns:a="http://schemas.openxmlformats.org/drawingml/2006/main">
          <a:endParaRPr lang="en-US" sz="500" baseline="0"/>
        </a:p>
        <a:p xmlns:a="http://schemas.openxmlformats.org/drawingml/2006/main">
          <a:r>
            <a:rPr lang="en-US" sz="950" baseline="0"/>
            <a:t>Amériques</a:t>
          </a:r>
        </a:p>
        <a:p xmlns:a="http://schemas.openxmlformats.org/drawingml/2006/main">
          <a:endParaRPr lang="en-US" sz="550" baseline="0"/>
        </a:p>
        <a:p xmlns:a="http://schemas.openxmlformats.org/drawingml/2006/main">
          <a:r>
            <a:rPr lang="en-US" sz="950" baseline="0"/>
            <a:t>Australie/Australasie</a:t>
          </a:r>
          <a:endParaRPr lang="en-US" sz="95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BF726-C713-40D3-B86E-4A7FCE4F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HIPSSA Template EN.dot</Template>
  <TotalTime>894</TotalTime>
  <Pages>33</Pages>
  <Words>12161</Words>
  <Characters>69324</Characters>
  <Application>Microsoft Office Word</Application>
  <DocSecurity>0</DocSecurity>
  <Lines>577</Lines>
  <Paragraphs>162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Title of the report</vt:lpstr>
      <vt:lpstr>HIPCAR Model Policy Guidelines and Legislative Text: Access to Public Information (Freedom of Information)</vt:lpstr>
    </vt:vector>
  </TitlesOfParts>
  <Company>ITU</Company>
  <LinksUpToDate>false</LinksUpToDate>
  <CharactersWithSpaces>81323</CharactersWithSpaces>
  <SharedDoc>false</SharedDoc>
  <HLinks>
    <vt:vector size="90" baseType="variant">
      <vt:variant>
        <vt:i4>1179711</vt:i4>
      </vt:variant>
      <vt:variant>
        <vt:i4>80</vt:i4>
      </vt:variant>
      <vt:variant>
        <vt:i4>0</vt:i4>
      </vt:variant>
      <vt:variant>
        <vt:i4>5</vt:i4>
      </vt:variant>
      <vt:variant>
        <vt:lpwstr/>
      </vt:variant>
      <vt:variant>
        <vt:lpwstr>_Toc261948823</vt:lpwstr>
      </vt:variant>
      <vt:variant>
        <vt:i4>1179711</vt:i4>
      </vt:variant>
      <vt:variant>
        <vt:i4>74</vt:i4>
      </vt:variant>
      <vt:variant>
        <vt:i4>0</vt:i4>
      </vt:variant>
      <vt:variant>
        <vt:i4>5</vt:i4>
      </vt:variant>
      <vt:variant>
        <vt:lpwstr/>
      </vt:variant>
      <vt:variant>
        <vt:lpwstr>_Toc261948822</vt:lpwstr>
      </vt:variant>
      <vt:variant>
        <vt:i4>1179711</vt:i4>
      </vt:variant>
      <vt:variant>
        <vt:i4>68</vt:i4>
      </vt:variant>
      <vt:variant>
        <vt:i4>0</vt:i4>
      </vt:variant>
      <vt:variant>
        <vt:i4>5</vt:i4>
      </vt:variant>
      <vt:variant>
        <vt:lpwstr/>
      </vt:variant>
      <vt:variant>
        <vt:lpwstr>_Toc261948821</vt:lpwstr>
      </vt:variant>
      <vt:variant>
        <vt:i4>1179711</vt:i4>
      </vt:variant>
      <vt:variant>
        <vt:i4>62</vt:i4>
      </vt:variant>
      <vt:variant>
        <vt:i4>0</vt:i4>
      </vt:variant>
      <vt:variant>
        <vt:i4>5</vt:i4>
      </vt:variant>
      <vt:variant>
        <vt:lpwstr/>
      </vt:variant>
      <vt:variant>
        <vt:lpwstr>_Toc261948820</vt:lpwstr>
      </vt:variant>
      <vt:variant>
        <vt:i4>1114175</vt:i4>
      </vt:variant>
      <vt:variant>
        <vt:i4>56</vt:i4>
      </vt:variant>
      <vt:variant>
        <vt:i4>0</vt:i4>
      </vt:variant>
      <vt:variant>
        <vt:i4>5</vt:i4>
      </vt:variant>
      <vt:variant>
        <vt:lpwstr/>
      </vt:variant>
      <vt:variant>
        <vt:lpwstr>_Toc261948818</vt:lpwstr>
      </vt:variant>
      <vt:variant>
        <vt:i4>1114175</vt:i4>
      </vt:variant>
      <vt:variant>
        <vt:i4>50</vt:i4>
      </vt:variant>
      <vt:variant>
        <vt:i4>0</vt:i4>
      </vt:variant>
      <vt:variant>
        <vt:i4>5</vt:i4>
      </vt:variant>
      <vt:variant>
        <vt:lpwstr/>
      </vt:variant>
      <vt:variant>
        <vt:lpwstr>_Toc261948817</vt:lpwstr>
      </vt:variant>
      <vt:variant>
        <vt:i4>1114175</vt:i4>
      </vt:variant>
      <vt:variant>
        <vt:i4>44</vt:i4>
      </vt:variant>
      <vt:variant>
        <vt:i4>0</vt:i4>
      </vt:variant>
      <vt:variant>
        <vt:i4>5</vt:i4>
      </vt:variant>
      <vt:variant>
        <vt:lpwstr/>
      </vt:variant>
      <vt:variant>
        <vt:lpwstr>_Toc261948816</vt:lpwstr>
      </vt:variant>
      <vt:variant>
        <vt:i4>1114175</vt:i4>
      </vt:variant>
      <vt:variant>
        <vt:i4>38</vt:i4>
      </vt:variant>
      <vt:variant>
        <vt:i4>0</vt:i4>
      </vt:variant>
      <vt:variant>
        <vt:i4>5</vt:i4>
      </vt:variant>
      <vt:variant>
        <vt:lpwstr/>
      </vt:variant>
      <vt:variant>
        <vt:lpwstr>_Toc261948815</vt:lpwstr>
      </vt:variant>
      <vt:variant>
        <vt:i4>1114175</vt:i4>
      </vt:variant>
      <vt:variant>
        <vt:i4>32</vt:i4>
      </vt:variant>
      <vt:variant>
        <vt:i4>0</vt:i4>
      </vt:variant>
      <vt:variant>
        <vt:i4>5</vt:i4>
      </vt:variant>
      <vt:variant>
        <vt:lpwstr/>
      </vt:variant>
      <vt:variant>
        <vt:lpwstr>_Toc261948813</vt:lpwstr>
      </vt:variant>
      <vt:variant>
        <vt:i4>1114175</vt:i4>
      </vt:variant>
      <vt:variant>
        <vt:i4>26</vt:i4>
      </vt:variant>
      <vt:variant>
        <vt:i4>0</vt:i4>
      </vt:variant>
      <vt:variant>
        <vt:i4>5</vt:i4>
      </vt:variant>
      <vt:variant>
        <vt:lpwstr/>
      </vt:variant>
      <vt:variant>
        <vt:lpwstr>_Toc261948811</vt:lpwstr>
      </vt:variant>
      <vt:variant>
        <vt:i4>1114175</vt:i4>
      </vt:variant>
      <vt:variant>
        <vt:i4>20</vt:i4>
      </vt:variant>
      <vt:variant>
        <vt:i4>0</vt:i4>
      </vt:variant>
      <vt:variant>
        <vt:i4>5</vt:i4>
      </vt:variant>
      <vt:variant>
        <vt:lpwstr/>
      </vt:variant>
      <vt:variant>
        <vt:lpwstr>_Toc261948810</vt:lpwstr>
      </vt:variant>
      <vt:variant>
        <vt:i4>1048639</vt:i4>
      </vt:variant>
      <vt:variant>
        <vt:i4>14</vt:i4>
      </vt:variant>
      <vt:variant>
        <vt:i4>0</vt:i4>
      </vt:variant>
      <vt:variant>
        <vt:i4>5</vt:i4>
      </vt:variant>
      <vt:variant>
        <vt:lpwstr/>
      </vt:variant>
      <vt:variant>
        <vt:lpwstr>_Toc261948809</vt:lpwstr>
      </vt:variant>
      <vt:variant>
        <vt:i4>1048639</vt:i4>
      </vt:variant>
      <vt:variant>
        <vt:i4>8</vt:i4>
      </vt:variant>
      <vt:variant>
        <vt:i4>0</vt:i4>
      </vt:variant>
      <vt:variant>
        <vt:i4>5</vt:i4>
      </vt:variant>
      <vt:variant>
        <vt:lpwstr/>
      </vt:variant>
      <vt:variant>
        <vt:lpwstr>_Toc261948808</vt:lpwstr>
      </vt:variant>
      <vt:variant>
        <vt:i4>1048639</vt:i4>
      </vt:variant>
      <vt:variant>
        <vt:i4>2</vt:i4>
      </vt:variant>
      <vt:variant>
        <vt:i4>0</vt:i4>
      </vt:variant>
      <vt:variant>
        <vt:i4>5</vt:i4>
      </vt:variant>
      <vt:variant>
        <vt:lpwstr/>
      </vt:variant>
      <vt:variant>
        <vt:lpwstr>_Toc261948807</vt:lpwstr>
      </vt:variant>
      <vt:variant>
        <vt:i4>4063337</vt:i4>
      </vt:variant>
      <vt:variant>
        <vt:i4>0</vt:i4>
      </vt:variant>
      <vt:variant>
        <vt:i4>0</vt:i4>
      </vt:variant>
      <vt:variant>
        <vt:i4>5</vt:i4>
      </vt:variant>
      <vt:variant>
        <vt:lpwstr>http://www.uncitral.org/uncitral/en/uncitral_texts/electronic_commerce/1996Model.html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report</dc:title>
  <dc:subject>ITU/EU-funded HIPCAR project</dc:subject>
  <dc:creator>ITU</dc:creator>
  <cp:lastModifiedBy>meraud</cp:lastModifiedBy>
  <cp:revision>81</cp:revision>
  <cp:lastPrinted>2013-03-15T15:26:00Z</cp:lastPrinted>
  <dcterms:created xsi:type="dcterms:W3CDTF">2013-03-15T15:28:00Z</dcterms:created>
  <dcterms:modified xsi:type="dcterms:W3CDTF">2013-09-19T08:34:00Z</dcterms:modified>
</cp:coreProperties>
</file>