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B17647" w:rsidRPr="00403C69" w14:paraId="396B6965" w14:textId="77777777" w:rsidTr="009130FD">
        <w:trPr>
          <w:cantSplit/>
          <w:trHeight w:val="1134"/>
        </w:trPr>
        <w:tc>
          <w:tcPr>
            <w:tcW w:w="6663" w:type="dxa"/>
          </w:tcPr>
          <w:p w14:paraId="1631F0CB" w14:textId="77777777" w:rsidR="00B17647" w:rsidRDefault="00B17647" w:rsidP="009130FD">
            <w:pPr>
              <w:ind w:left="34"/>
              <w:rPr>
                <w:b/>
                <w:bCs/>
                <w:sz w:val="32"/>
                <w:szCs w:val="32"/>
              </w:rPr>
            </w:pPr>
            <w:r w:rsidRPr="006F3D93">
              <w:rPr>
                <w:b/>
                <w:bCs/>
                <w:sz w:val="32"/>
                <w:szCs w:val="32"/>
              </w:rPr>
              <w:t>Telecommunication</w:t>
            </w:r>
            <w:r>
              <w:rPr>
                <w:b/>
                <w:bCs/>
                <w:sz w:val="32"/>
                <w:szCs w:val="32"/>
              </w:rPr>
              <w:t xml:space="preserve"> Development</w:t>
            </w:r>
            <w:r>
              <w:rPr>
                <w:b/>
                <w:bCs/>
                <w:sz w:val="32"/>
                <w:szCs w:val="32"/>
              </w:rPr>
              <w:br/>
              <w:t>Advisory Group (TDAG)</w:t>
            </w:r>
          </w:p>
          <w:p w14:paraId="14EF537F" w14:textId="77777777" w:rsidR="00B17647" w:rsidRPr="00403C69" w:rsidRDefault="00B17647" w:rsidP="009130FD">
            <w:pPr>
              <w:tabs>
                <w:tab w:val="clear" w:pos="1134"/>
              </w:tabs>
              <w:spacing w:after="48" w:line="240" w:lineRule="atLeast"/>
              <w:ind w:left="34"/>
              <w:rPr>
                <w:b/>
                <w:bCs/>
                <w:sz w:val="28"/>
                <w:szCs w:val="28"/>
              </w:rPr>
            </w:pPr>
            <w:r>
              <w:rPr>
                <w:b/>
                <w:bCs/>
                <w:sz w:val="26"/>
                <w:szCs w:val="26"/>
              </w:rPr>
              <w:t>33rd Meeting, Geneva, Switzerland, 7-10</w:t>
            </w:r>
            <w:r w:rsidRPr="006F24AF">
              <w:rPr>
                <w:b/>
                <w:bCs/>
                <w:sz w:val="26"/>
                <w:szCs w:val="26"/>
              </w:rPr>
              <w:t xml:space="preserve"> </w:t>
            </w:r>
            <w:r>
              <w:rPr>
                <w:b/>
                <w:bCs/>
                <w:sz w:val="26"/>
                <w:szCs w:val="26"/>
              </w:rPr>
              <w:t>April</w:t>
            </w:r>
            <w:r w:rsidRPr="006F24AF">
              <w:rPr>
                <w:b/>
                <w:bCs/>
                <w:sz w:val="26"/>
                <w:szCs w:val="26"/>
              </w:rPr>
              <w:t xml:space="preserve"> 202</w:t>
            </w:r>
            <w:r>
              <w:rPr>
                <w:b/>
                <w:bCs/>
                <w:sz w:val="26"/>
                <w:szCs w:val="26"/>
              </w:rPr>
              <w:t>6</w:t>
            </w:r>
          </w:p>
        </w:tc>
        <w:tc>
          <w:tcPr>
            <w:tcW w:w="3368" w:type="dxa"/>
          </w:tcPr>
          <w:p w14:paraId="3C62E802" w14:textId="77777777" w:rsidR="00B17647" w:rsidRPr="00403C69" w:rsidRDefault="00B17647" w:rsidP="009130FD">
            <w:pPr>
              <w:spacing w:line="240" w:lineRule="atLeast"/>
              <w:jc w:val="right"/>
              <w:rPr>
                <w:rFonts w:cstheme="minorHAnsi"/>
              </w:rPr>
            </w:pPr>
            <w:bookmarkStart w:id="0" w:name="ditulogo"/>
            <w:bookmarkEnd w:id="0"/>
            <w:r>
              <w:rPr>
                <w:noProof/>
                <w:lang w:val="fr-FR" w:eastAsia="fr-FR"/>
              </w:rPr>
              <w:drawing>
                <wp:inline distT="0" distB="0" distL="0" distR="0" wp14:anchorId="431CE905" wp14:editId="4724488C">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B17647" w:rsidRPr="00403C69" w14:paraId="6D990E70" w14:textId="77777777" w:rsidTr="009130FD">
        <w:trPr>
          <w:cantSplit/>
        </w:trPr>
        <w:tc>
          <w:tcPr>
            <w:tcW w:w="6663" w:type="dxa"/>
            <w:tcBorders>
              <w:top w:val="single" w:sz="12" w:space="0" w:color="auto"/>
            </w:tcBorders>
          </w:tcPr>
          <w:p w14:paraId="68B72B45" w14:textId="77777777" w:rsidR="00B17647" w:rsidRPr="00403C69" w:rsidRDefault="00B17647" w:rsidP="009130FD">
            <w:pPr>
              <w:spacing w:before="0" w:after="48" w:line="240" w:lineRule="atLeast"/>
              <w:rPr>
                <w:rFonts w:cstheme="minorHAnsi"/>
                <w:b/>
                <w:smallCaps/>
                <w:sz w:val="20"/>
              </w:rPr>
            </w:pPr>
            <w:bookmarkStart w:id="1" w:name="dhead"/>
          </w:p>
        </w:tc>
        <w:tc>
          <w:tcPr>
            <w:tcW w:w="3368" w:type="dxa"/>
            <w:tcBorders>
              <w:top w:val="single" w:sz="12" w:space="0" w:color="auto"/>
            </w:tcBorders>
          </w:tcPr>
          <w:p w14:paraId="5603DF44" w14:textId="77777777" w:rsidR="00B17647" w:rsidRPr="00403C69" w:rsidRDefault="00B17647" w:rsidP="009130FD">
            <w:pPr>
              <w:spacing w:before="0" w:line="240" w:lineRule="atLeast"/>
              <w:rPr>
                <w:rFonts w:cstheme="minorHAnsi"/>
                <w:sz w:val="20"/>
              </w:rPr>
            </w:pPr>
          </w:p>
        </w:tc>
      </w:tr>
      <w:tr w:rsidR="00B17647" w:rsidRPr="008E2908" w14:paraId="61E9997D" w14:textId="77777777" w:rsidTr="009130FD">
        <w:trPr>
          <w:cantSplit/>
          <w:trHeight w:val="23"/>
        </w:trPr>
        <w:tc>
          <w:tcPr>
            <w:tcW w:w="6663" w:type="dxa"/>
          </w:tcPr>
          <w:p w14:paraId="23CBDD9E" w14:textId="77777777" w:rsidR="00B17647" w:rsidRPr="00403C69" w:rsidRDefault="00B17647" w:rsidP="009130FD">
            <w:pPr>
              <w:pStyle w:val="Committee"/>
              <w:framePr w:hSpace="0" w:wrap="auto" w:hAnchor="text" w:yAlign="inline"/>
            </w:pPr>
            <w:bookmarkStart w:id="2" w:name="dnum" w:colFirst="1" w:colLast="1"/>
            <w:bookmarkStart w:id="3" w:name="dmeeting" w:colFirst="0" w:colLast="0"/>
            <w:bookmarkEnd w:id="1"/>
          </w:p>
        </w:tc>
        <w:tc>
          <w:tcPr>
            <w:tcW w:w="3368" w:type="dxa"/>
          </w:tcPr>
          <w:p w14:paraId="5F01C4D9" w14:textId="2F3299ED" w:rsidR="00B17647" w:rsidRPr="00FB6CC4" w:rsidRDefault="00B17647" w:rsidP="009130FD">
            <w:pPr>
              <w:tabs>
                <w:tab w:val="left" w:pos="851"/>
              </w:tabs>
              <w:spacing w:before="0" w:line="240" w:lineRule="atLeast"/>
              <w:rPr>
                <w:rFonts w:cstheme="minorBidi"/>
                <w:lang w:val="de-DE"/>
              </w:rPr>
            </w:pPr>
            <w:r w:rsidRPr="00FB6CC4">
              <w:rPr>
                <w:b/>
                <w:bCs/>
                <w:lang w:val="de-DE"/>
              </w:rPr>
              <w:t xml:space="preserve">Document </w:t>
            </w:r>
            <w:bookmarkStart w:id="4" w:name="DocRef1"/>
            <w:bookmarkEnd w:id="4"/>
            <w:r w:rsidRPr="00FB6CC4">
              <w:rPr>
                <w:b/>
                <w:bCs/>
                <w:lang w:val="de-DE"/>
              </w:rPr>
              <w:t>TDAG-26/INF/</w:t>
            </w:r>
            <w:r w:rsidR="00BF2E5F">
              <w:rPr>
                <w:b/>
                <w:bCs/>
                <w:lang w:val="de-DE"/>
              </w:rPr>
              <w:t>9</w:t>
            </w:r>
            <w:r w:rsidRPr="00FB6CC4">
              <w:rPr>
                <w:b/>
                <w:bCs/>
                <w:lang w:val="de-DE"/>
              </w:rPr>
              <w:t>-E</w:t>
            </w:r>
          </w:p>
        </w:tc>
      </w:tr>
      <w:tr w:rsidR="00B17647" w:rsidRPr="00403C69" w14:paraId="5A37FB69" w14:textId="77777777" w:rsidTr="009130FD">
        <w:trPr>
          <w:cantSplit/>
          <w:trHeight w:val="23"/>
        </w:trPr>
        <w:tc>
          <w:tcPr>
            <w:tcW w:w="6663" w:type="dxa"/>
          </w:tcPr>
          <w:p w14:paraId="59B23663" w14:textId="77777777" w:rsidR="00B17647" w:rsidRPr="00FB6CC4" w:rsidRDefault="00B17647" w:rsidP="009130FD">
            <w:pPr>
              <w:tabs>
                <w:tab w:val="left" w:pos="851"/>
              </w:tabs>
              <w:spacing w:before="0" w:line="240" w:lineRule="atLeast"/>
              <w:rPr>
                <w:rFonts w:cstheme="minorHAnsi"/>
                <w:b/>
                <w:szCs w:val="24"/>
                <w:lang w:val="de-DE"/>
              </w:rPr>
            </w:pPr>
            <w:bookmarkStart w:id="5" w:name="ddate" w:colFirst="1" w:colLast="1"/>
            <w:bookmarkStart w:id="6" w:name="dblank" w:colFirst="0" w:colLast="0"/>
            <w:bookmarkEnd w:id="2"/>
            <w:bookmarkEnd w:id="3"/>
          </w:p>
        </w:tc>
        <w:tc>
          <w:tcPr>
            <w:tcW w:w="3368" w:type="dxa"/>
          </w:tcPr>
          <w:p w14:paraId="24DD55F9" w14:textId="3F3281E7" w:rsidR="00B17647" w:rsidRPr="00403C69" w:rsidRDefault="00BF2E5F" w:rsidP="009130FD">
            <w:pPr>
              <w:spacing w:before="0" w:line="240" w:lineRule="atLeast"/>
              <w:rPr>
                <w:rFonts w:cstheme="minorHAnsi"/>
                <w:szCs w:val="24"/>
              </w:rPr>
            </w:pPr>
            <w:r>
              <w:rPr>
                <w:b/>
                <w:bCs/>
                <w:szCs w:val="28"/>
              </w:rPr>
              <w:t>1</w:t>
            </w:r>
            <w:r w:rsidR="00B17647">
              <w:rPr>
                <w:b/>
                <w:bCs/>
                <w:szCs w:val="28"/>
              </w:rPr>
              <w:t xml:space="preserve"> </w:t>
            </w:r>
            <w:r>
              <w:rPr>
                <w:b/>
                <w:bCs/>
                <w:szCs w:val="28"/>
              </w:rPr>
              <w:t>April</w:t>
            </w:r>
            <w:r w:rsidR="00B17647">
              <w:rPr>
                <w:b/>
                <w:bCs/>
                <w:szCs w:val="28"/>
              </w:rPr>
              <w:t xml:space="preserve"> 2026</w:t>
            </w:r>
          </w:p>
        </w:tc>
      </w:tr>
      <w:bookmarkEnd w:id="5"/>
      <w:bookmarkEnd w:id="6"/>
      <w:tr w:rsidR="00B17647" w:rsidRPr="00403C69" w14:paraId="068A691A" w14:textId="77777777" w:rsidTr="009130FD">
        <w:trPr>
          <w:cantSplit/>
          <w:trHeight w:val="23"/>
        </w:trPr>
        <w:tc>
          <w:tcPr>
            <w:tcW w:w="6663" w:type="dxa"/>
          </w:tcPr>
          <w:p w14:paraId="30B4CFB3" w14:textId="77777777" w:rsidR="00B17647" w:rsidRPr="00403C69" w:rsidRDefault="00B17647" w:rsidP="009130FD">
            <w:pPr>
              <w:tabs>
                <w:tab w:val="left" w:pos="851"/>
              </w:tabs>
              <w:spacing w:before="0" w:line="240" w:lineRule="atLeast"/>
              <w:rPr>
                <w:rFonts w:cstheme="minorHAnsi"/>
                <w:szCs w:val="24"/>
              </w:rPr>
            </w:pPr>
          </w:p>
        </w:tc>
        <w:tc>
          <w:tcPr>
            <w:tcW w:w="3368" w:type="dxa"/>
          </w:tcPr>
          <w:p w14:paraId="2390D6BA" w14:textId="77777777" w:rsidR="00B17647" w:rsidRPr="00403C69" w:rsidRDefault="00B17647" w:rsidP="009130FD">
            <w:pPr>
              <w:tabs>
                <w:tab w:val="left" w:pos="993"/>
              </w:tabs>
              <w:spacing w:before="0"/>
              <w:rPr>
                <w:rFonts w:cstheme="minorHAnsi"/>
                <w:b/>
                <w:szCs w:val="24"/>
              </w:rPr>
            </w:pPr>
            <w:r w:rsidRPr="00403C69">
              <w:rPr>
                <w:b/>
                <w:bCs/>
                <w:szCs w:val="24"/>
              </w:rPr>
              <w:t>English</w:t>
            </w:r>
            <w:r>
              <w:rPr>
                <w:b/>
                <w:bCs/>
                <w:szCs w:val="24"/>
              </w:rPr>
              <w:t xml:space="preserve"> only</w:t>
            </w:r>
          </w:p>
        </w:tc>
      </w:tr>
      <w:tr w:rsidR="00B17647" w:rsidRPr="00403C69" w14:paraId="1082D234" w14:textId="77777777" w:rsidTr="009130FD">
        <w:trPr>
          <w:cantSplit/>
          <w:trHeight w:val="23"/>
        </w:trPr>
        <w:tc>
          <w:tcPr>
            <w:tcW w:w="10031" w:type="dxa"/>
            <w:gridSpan w:val="2"/>
          </w:tcPr>
          <w:p w14:paraId="06EEC185" w14:textId="77777777" w:rsidR="00B17647" w:rsidRPr="00052262" w:rsidRDefault="00B17647" w:rsidP="00052262">
            <w:pPr>
              <w:pStyle w:val="Source"/>
              <w:framePr w:hSpace="0" w:wrap="auto" w:hAnchor="text" w:yAlign="inline"/>
            </w:pPr>
            <w:bookmarkStart w:id="7" w:name="dbluepink"/>
            <w:bookmarkStart w:id="8" w:name="dorlang"/>
            <w:r w:rsidRPr="00052262">
              <w:t>Director, Telecommunication Development Bureau</w:t>
            </w:r>
          </w:p>
        </w:tc>
      </w:tr>
      <w:tr w:rsidR="00B17647" w:rsidRPr="00403C69" w14:paraId="350A5AF1" w14:textId="77777777" w:rsidTr="009130FD">
        <w:trPr>
          <w:cantSplit/>
          <w:trHeight w:val="23"/>
        </w:trPr>
        <w:tc>
          <w:tcPr>
            <w:tcW w:w="10031" w:type="dxa"/>
            <w:gridSpan w:val="2"/>
            <w:vAlign w:val="center"/>
          </w:tcPr>
          <w:p w14:paraId="05C6C1ED" w14:textId="14BC13F2" w:rsidR="00B17647" w:rsidRPr="00052262" w:rsidRDefault="00B917AE" w:rsidP="00B917AE">
            <w:pPr>
              <w:pStyle w:val="Title1"/>
              <w:framePr w:hSpace="0" w:wrap="auto" w:hAnchor="text" w:yAlign="inline"/>
            </w:pPr>
            <w:r w:rsidRPr="00D64312">
              <w:t>Review of the ITU Regional Presence</w:t>
            </w:r>
            <w:r w:rsidR="00097B2C" w:rsidRPr="00D64312">
              <w:t xml:space="preserve"> </w:t>
            </w:r>
            <w:r w:rsidRPr="00D64312">
              <w:t>Work done by BDT</w:t>
            </w:r>
          </w:p>
        </w:tc>
      </w:tr>
      <w:bookmarkEnd w:id="7"/>
      <w:bookmarkEnd w:id="8"/>
    </w:tbl>
    <w:p w14:paraId="3BEE067A" w14:textId="77777777" w:rsidR="00B17647" w:rsidRPr="00B17647" w:rsidRDefault="00B17647" w:rsidP="00B17647"/>
    <w:p w14:paraId="6F4209F9" w14:textId="4BDB6CE9" w:rsidR="009A1871" w:rsidRDefault="009A1871">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cstheme="minorHAnsi"/>
          <w:b/>
          <w:bCs/>
          <w:sz w:val="40"/>
          <w:szCs w:val="40"/>
          <w:lang w:val="en-US"/>
        </w:rPr>
      </w:pPr>
      <w:r>
        <w:rPr>
          <w:rFonts w:asciiTheme="minorHAnsi" w:hAnsiTheme="minorHAnsi" w:cstheme="minorHAnsi"/>
          <w:b/>
          <w:bCs/>
          <w:sz w:val="40"/>
          <w:szCs w:val="40"/>
          <w:lang w:val="en-US"/>
        </w:rPr>
        <w:br w:type="page"/>
      </w:r>
    </w:p>
    <w:p w14:paraId="21D0A425" w14:textId="77777777" w:rsidR="00617FC9" w:rsidRDefault="00617FC9" w:rsidP="00617FC9">
      <w:pPr>
        <w:spacing w:before="0" w:after="160" w:line="278" w:lineRule="auto"/>
        <w:jc w:val="center"/>
        <w:rPr>
          <w:rFonts w:asciiTheme="minorHAnsi" w:hAnsiTheme="minorHAnsi" w:cstheme="minorHAnsi"/>
          <w:b/>
          <w:bCs/>
          <w:sz w:val="40"/>
          <w:szCs w:val="40"/>
          <w:lang w:val="en-US"/>
        </w:rPr>
      </w:pPr>
    </w:p>
    <w:p w14:paraId="02EBEE27" w14:textId="77777777" w:rsidR="00D62158" w:rsidRDefault="00D62158" w:rsidP="00617FC9">
      <w:pPr>
        <w:spacing w:before="0" w:after="160" w:line="278" w:lineRule="auto"/>
        <w:jc w:val="center"/>
        <w:rPr>
          <w:rFonts w:asciiTheme="minorHAnsi" w:hAnsiTheme="minorHAnsi" w:cstheme="minorHAnsi"/>
          <w:b/>
          <w:bCs/>
          <w:sz w:val="40"/>
          <w:szCs w:val="40"/>
          <w:lang w:val="en-US"/>
        </w:rPr>
      </w:pPr>
    </w:p>
    <w:p w14:paraId="3097C5FF" w14:textId="77777777" w:rsidR="00D62158" w:rsidRPr="00986D12" w:rsidRDefault="00D62158" w:rsidP="00617FC9">
      <w:pPr>
        <w:spacing w:before="0" w:after="160" w:line="278" w:lineRule="auto"/>
        <w:jc w:val="center"/>
        <w:rPr>
          <w:rFonts w:asciiTheme="minorHAnsi" w:hAnsiTheme="minorHAnsi" w:cstheme="minorHAnsi"/>
          <w:b/>
          <w:bCs/>
          <w:sz w:val="40"/>
          <w:szCs w:val="40"/>
          <w:lang w:val="en-US"/>
        </w:rPr>
      </w:pPr>
    </w:p>
    <w:p w14:paraId="53857836" w14:textId="77777777" w:rsidR="00617FC9" w:rsidRPr="00986D12" w:rsidRDefault="00617FC9" w:rsidP="00617FC9">
      <w:pPr>
        <w:spacing w:before="0" w:after="160" w:line="278" w:lineRule="auto"/>
        <w:jc w:val="center"/>
        <w:rPr>
          <w:rFonts w:asciiTheme="minorHAnsi" w:hAnsiTheme="minorHAnsi" w:cstheme="minorHAnsi"/>
          <w:b/>
          <w:bCs/>
          <w:sz w:val="40"/>
          <w:szCs w:val="40"/>
          <w:lang w:val="en-US"/>
        </w:rPr>
      </w:pPr>
    </w:p>
    <w:p w14:paraId="4261990B" w14:textId="77777777" w:rsidR="00617FC9" w:rsidRDefault="00617FC9" w:rsidP="00617FC9">
      <w:pPr>
        <w:spacing w:before="0" w:after="160" w:line="278" w:lineRule="auto"/>
        <w:jc w:val="center"/>
        <w:rPr>
          <w:rFonts w:asciiTheme="minorHAnsi" w:hAnsiTheme="minorHAnsi" w:cstheme="minorHAnsi"/>
          <w:b/>
          <w:bCs/>
          <w:sz w:val="40"/>
          <w:szCs w:val="40"/>
          <w:lang w:val="en-US"/>
        </w:rPr>
      </w:pPr>
    </w:p>
    <w:p w14:paraId="35390447" w14:textId="77777777" w:rsidR="00617FC9" w:rsidRDefault="00617FC9" w:rsidP="00617FC9">
      <w:pPr>
        <w:spacing w:before="0" w:after="160" w:line="278" w:lineRule="auto"/>
        <w:jc w:val="center"/>
        <w:rPr>
          <w:rFonts w:asciiTheme="minorHAnsi" w:hAnsiTheme="minorHAnsi" w:cstheme="minorHAnsi"/>
          <w:b/>
          <w:bCs/>
          <w:sz w:val="40"/>
          <w:szCs w:val="40"/>
          <w:lang w:val="en-US"/>
        </w:rPr>
      </w:pPr>
    </w:p>
    <w:p w14:paraId="06C9051F" w14:textId="12C52099" w:rsidR="006D6A16" w:rsidRPr="00986D12" w:rsidRDefault="00617FC9" w:rsidP="007A26F4">
      <w:pPr>
        <w:spacing w:before="0" w:after="160" w:line="278" w:lineRule="auto"/>
        <w:jc w:val="center"/>
        <w:rPr>
          <w:rFonts w:asciiTheme="minorHAnsi" w:hAnsiTheme="minorHAnsi" w:cstheme="minorHAnsi"/>
          <w:b/>
          <w:sz w:val="40"/>
          <w:szCs w:val="40"/>
          <w:lang w:val="en-US"/>
        </w:rPr>
      </w:pPr>
      <w:r w:rsidRPr="00986D12">
        <w:rPr>
          <w:rFonts w:asciiTheme="minorHAnsi" w:hAnsiTheme="minorHAnsi" w:cstheme="minorHAnsi"/>
          <w:b/>
          <w:bCs/>
          <w:sz w:val="40"/>
          <w:szCs w:val="40"/>
          <w:lang w:val="en-US"/>
        </w:rPr>
        <w:t xml:space="preserve">Review of </w:t>
      </w:r>
      <w:r w:rsidRPr="00986D12">
        <w:rPr>
          <w:rFonts w:asciiTheme="minorHAnsi" w:hAnsiTheme="minorHAnsi" w:cstheme="minorHAnsi"/>
          <w:b/>
          <w:sz w:val="40"/>
          <w:szCs w:val="40"/>
          <w:lang w:val="en-US"/>
        </w:rPr>
        <w:t xml:space="preserve">the </w:t>
      </w:r>
      <w:r w:rsidRPr="00986D12">
        <w:rPr>
          <w:rFonts w:asciiTheme="minorHAnsi" w:hAnsiTheme="minorHAnsi" w:cstheme="minorHAnsi"/>
          <w:b/>
          <w:bCs/>
          <w:sz w:val="40"/>
          <w:szCs w:val="40"/>
          <w:lang w:val="en-US"/>
        </w:rPr>
        <w:t>ITU Regional Presence</w:t>
      </w:r>
      <w:r w:rsidR="007A26F4">
        <w:rPr>
          <w:rFonts w:asciiTheme="minorHAnsi" w:hAnsiTheme="minorHAnsi" w:cstheme="minorHAnsi"/>
          <w:b/>
          <w:bCs/>
          <w:sz w:val="40"/>
          <w:szCs w:val="40"/>
          <w:lang w:val="en-US"/>
        </w:rPr>
        <w:br/>
      </w:r>
      <w:r w:rsidR="006D6A16">
        <w:rPr>
          <w:rFonts w:asciiTheme="minorHAnsi" w:hAnsiTheme="minorHAnsi" w:cstheme="minorHAnsi"/>
          <w:b/>
          <w:bCs/>
          <w:sz w:val="40"/>
          <w:szCs w:val="40"/>
          <w:lang w:val="en-US"/>
        </w:rPr>
        <w:t>Work done by BDT</w:t>
      </w:r>
    </w:p>
    <w:p w14:paraId="4AE87D0F" w14:textId="77777777" w:rsidR="00617FC9" w:rsidRPr="00986D12" w:rsidRDefault="00617FC9" w:rsidP="00617FC9">
      <w:pPr>
        <w:spacing w:before="0" w:after="160" w:line="278" w:lineRule="auto"/>
        <w:rPr>
          <w:rFonts w:asciiTheme="minorHAnsi" w:hAnsiTheme="minorHAnsi" w:cstheme="minorHAnsi"/>
          <w:lang w:val="en-US"/>
        </w:rPr>
      </w:pPr>
      <w:r w:rsidRPr="00986D12">
        <w:rPr>
          <w:rFonts w:asciiTheme="minorHAnsi" w:hAnsiTheme="minorHAnsi" w:cstheme="minorHAnsi"/>
          <w:lang w:val="en-US"/>
        </w:rPr>
        <w:br/>
      </w:r>
    </w:p>
    <w:p w14:paraId="541296F8" w14:textId="77777777" w:rsidR="00617FC9" w:rsidRPr="00986D12" w:rsidRDefault="00617FC9" w:rsidP="00617FC9">
      <w:pPr>
        <w:spacing w:before="0" w:after="160" w:line="278" w:lineRule="auto"/>
        <w:rPr>
          <w:rFonts w:asciiTheme="minorHAnsi" w:hAnsiTheme="minorHAnsi" w:cstheme="minorHAnsi"/>
          <w:lang w:val="en-US"/>
        </w:rPr>
      </w:pPr>
    </w:p>
    <w:p w14:paraId="68367EDC" w14:textId="77777777" w:rsidR="00617FC9" w:rsidRPr="00986D12" w:rsidRDefault="00617FC9" w:rsidP="00617FC9">
      <w:pPr>
        <w:spacing w:before="0" w:after="160" w:line="278" w:lineRule="auto"/>
        <w:rPr>
          <w:rFonts w:asciiTheme="minorHAnsi" w:hAnsiTheme="minorHAnsi" w:cstheme="minorHAnsi"/>
          <w:lang w:val="en-US"/>
        </w:rPr>
      </w:pPr>
    </w:p>
    <w:p w14:paraId="0DADA4CD" w14:textId="77777777" w:rsidR="00617FC9" w:rsidRPr="00986D12" w:rsidRDefault="00617FC9" w:rsidP="00617FC9">
      <w:pPr>
        <w:spacing w:before="0" w:after="160" w:line="278" w:lineRule="auto"/>
        <w:rPr>
          <w:rFonts w:asciiTheme="minorHAnsi" w:hAnsiTheme="minorHAnsi" w:cstheme="minorHAnsi"/>
          <w:lang w:val="en-US"/>
        </w:rPr>
      </w:pPr>
    </w:p>
    <w:p w14:paraId="59980F02" w14:textId="77777777" w:rsidR="00617FC9" w:rsidRPr="00986D12" w:rsidRDefault="00617FC9" w:rsidP="00617FC9">
      <w:pPr>
        <w:spacing w:before="0" w:after="160" w:line="278" w:lineRule="auto"/>
        <w:rPr>
          <w:rFonts w:asciiTheme="minorHAnsi" w:hAnsiTheme="minorHAnsi" w:cstheme="minorHAnsi"/>
          <w:lang w:val="en-US"/>
        </w:rPr>
      </w:pPr>
    </w:p>
    <w:p w14:paraId="3984A4F5" w14:textId="77777777" w:rsidR="00617FC9" w:rsidRPr="00986D12" w:rsidRDefault="00617FC9" w:rsidP="00617FC9">
      <w:pPr>
        <w:spacing w:before="0" w:after="160" w:line="278" w:lineRule="auto"/>
        <w:rPr>
          <w:rFonts w:asciiTheme="minorHAnsi" w:hAnsiTheme="minorHAnsi" w:cstheme="minorHAnsi"/>
          <w:lang w:val="en-US"/>
        </w:rPr>
      </w:pPr>
    </w:p>
    <w:p w14:paraId="61902240" w14:textId="77777777" w:rsidR="00617FC9" w:rsidRPr="00986D12" w:rsidRDefault="00617FC9" w:rsidP="00617FC9">
      <w:pPr>
        <w:spacing w:before="0" w:after="160" w:line="278" w:lineRule="auto"/>
        <w:rPr>
          <w:rFonts w:asciiTheme="minorHAnsi" w:hAnsiTheme="minorHAnsi" w:cstheme="minorHAnsi"/>
          <w:lang w:val="en-US"/>
        </w:rPr>
      </w:pPr>
    </w:p>
    <w:p w14:paraId="6F32EF08" w14:textId="77777777" w:rsidR="00617FC9" w:rsidRPr="00986D12" w:rsidRDefault="00617FC9" w:rsidP="00617FC9">
      <w:pPr>
        <w:spacing w:before="0" w:after="160" w:line="278" w:lineRule="auto"/>
        <w:rPr>
          <w:rFonts w:asciiTheme="minorHAnsi" w:hAnsiTheme="minorHAnsi" w:cstheme="minorHAnsi"/>
          <w:lang w:val="en-US"/>
        </w:rPr>
      </w:pPr>
    </w:p>
    <w:p w14:paraId="1008F15B" w14:textId="77777777" w:rsidR="00617FC9" w:rsidRPr="00986D12" w:rsidRDefault="00617FC9" w:rsidP="00617FC9">
      <w:pPr>
        <w:spacing w:before="0" w:after="160" w:line="278" w:lineRule="auto"/>
        <w:rPr>
          <w:rFonts w:asciiTheme="minorHAnsi" w:hAnsiTheme="minorHAnsi" w:cstheme="minorHAnsi"/>
          <w:lang w:val="en-US"/>
        </w:rPr>
      </w:pPr>
    </w:p>
    <w:p w14:paraId="421FF5D1" w14:textId="77777777" w:rsidR="00617FC9" w:rsidRDefault="00617FC9" w:rsidP="00617FC9">
      <w:pPr>
        <w:spacing w:before="0" w:after="160" w:line="278" w:lineRule="auto"/>
        <w:jc w:val="center"/>
        <w:rPr>
          <w:rFonts w:asciiTheme="minorHAnsi" w:hAnsiTheme="minorHAnsi" w:cstheme="minorHAnsi"/>
          <w:lang w:val="en-US"/>
        </w:rPr>
      </w:pPr>
      <w:r w:rsidRPr="00986D12">
        <w:rPr>
          <w:rFonts w:asciiTheme="minorHAnsi" w:hAnsiTheme="minorHAnsi" w:cstheme="minorHAnsi"/>
          <w:lang w:val="en-US"/>
        </w:rPr>
        <w:t>March 2026</w:t>
      </w:r>
    </w:p>
    <w:p w14:paraId="29EBE229" w14:textId="77777777" w:rsidR="00D62158" w:rsidRDefault="00D62158" w:rsidP="00617FC9">
      <w:pPr>
        <w:spacing w:before="0" w:after="160" w:line="278" w:lineRule="auto"/>
        <w:jc w:val="center"/>
        <w:rPr>
          <w:rFonts w:asciiTheme="minorHAnsi" w:hAnsiTheme="minorHAnsi" w:cstheme="minorHAnsi"/>
          <w:lang w:val="en-US"/>
        </w:rPr>
      </w:pPr>
    </w:p>
    <w:p w14:paraId="6BA1B1B7" w14:textId="77777777" w:rsidR="00D62158" w:rsidRPr="00986D12" w:rsidRDefault="00D62158" w:rsidP="00617FC9">
      <w:pPr>
        <w:spacing w:before="0" w:after="160" w:line="278" w:lineRule="auto"/>
        <w:jc w:val="center"/>
        <w:rPr>
          <w:rFonts w:asciiTheme="minorHAnsi" w:hAnsiTheme="minorHAnsi" w:cstheme="minorHAnsi"/>
          <w:lang w:val="en-US"/>
        </w:rPr>
      </w:pPr>
    </w:p>
    <w:p w14:paraId="253726C1" w14:textId="77777777" w:rsidR="00617FC9" w:rsidRPr="00986D12" w:rsidRDefault="00617FC9" w:rsidP="00617FC9">
      <w:pPr>
        <w:spacing w:before="0" w:after="160" w:line="278" w:lineRule="auto"/>
        <w:jc w:val="center"/>
        <w:rPr>
          <w:rFonts w:asciiTheme="minorHAnsi" w:hAnsiTheme="minorHAnsi" w:cstheme="minorHAnsi"/>
          <w:lang w:val="en-US"/>
        </w:rPr>
      </w:pPr>
      <w:r w:rsidRPr="00986D12">
        <w:rPr>
          <w:rFonts w:asciiTheme="minorHAnsi" w:hAnsiTheme="minorHAnsi" w:cstheme="minorHAnsi"/>
          <w:noProof/>
          <w:lang w:val="fr-FR"/>
        </w:rPr>
        <w:drawing>
          <wp:inline distT="0" distB="0" distL="0" distR="0" wp14:anchorId="60D1C527" wp14:editId="6A854780">
            <wp:extent cx="712653" cy="785648"/>
            <wp:effectExtent l="0" t="0" r="0" b="0"/>
            <wp:docPr id="954620593" name="Picture 95462059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ITU-RG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4545" cy="798758"/>
                    </a:xfrm>
                    <a:prstGeom prst="rect">
                      <a:avLst/>
                    </a:prstGeom>
                  </pic:spPr>
                </pic:pic>
              </a:graphicData>
            </a:graphic>
          </wp:inline>
        </w:drawing>
      </w:r>
      <w:r w:rsidRPr="00986D12">
        <w:rPr>
          <w:rFonts w:asciiTheme="minorHAnsi" w:hAnsiTheme="minorHAnsi" w:cstheme="minorHAnsi"/>
          <w:lang w:val="en-US"/>
        </w:rPr>
        <w:br w:type="page"/>
      </w:r>
    </w:p>
    <w:p w14:paraId="4FD67694" w14:textId="77777777" w:rsidR="00617FC9" w:rsidRDefault="00617FC9" w:rsidP="00617FC9">
      <w:pPr>
        <w:rPr>
          <w:b/>
          <w:sz w:val="28"/>
          <w:szCs w:val="22"/>
        </w:rPr>
      </w:pPr>
      <w:r w:rsidRPr="00E16FD3">
        <w:rPr>
          <w:b/>
          <w:sz w:val="28"/>
          <w:szCs w:val="22"/>
        </w:rPr>
        <w:lastRenderedPageBreak/>
        <w:t>Table of contents</w:t>
      </w:r>
    </w:p>
    <w:p w14:paraId="01B966EC" w14:textId="14C6CE56" w:rsidR="003F611D" w:rsidRDefault="00617FC9">
      <w:pPr>
        <w:pStyle w:val="TOC1"/>
        <w:rPr>
          <w:rFonts w:asciiTheme="minorHAnsi" w:eastAsiaTheme="minorEastAsia" w:hAnsiTheme="minorHAnsi" w:cstheme="minorBidi"/>
          <w:noProof/>
          <w:kern w:val="2"/>
          <w:szCs w:val="24"/>
          <w:lang w:eastAsia="zh-CN"/>
          <w14:ligatures w14:val="standardContextual"/>
        </w:rPr>
      </w:pPr>
      <w:r>
        <w:rPr>
          <w:rFonts w:cstheme="minorHAnsi"/>
          <w:caps/>
          <w:noProof/>
          <w:lang w:val="en-US"/>
        </w:rPr>
        <w:fldChar w:fldCharType="begin"/>
      </w:r>
      <w:r>
        <w:rPr>
          <w:rFonts w:cstheme="minorHAnsi"/>
          <w:caps/>
          <w:noProof/>
          <w:lang w:val="en-US"/>
        </w:rPr>
        <w:instrText xml:space="preserve"> TOC \h \z \t "Heading 1,1,Heading 2,2,Heading 3,3" </w:instrText>
      </w:r>
      <w:r>
        <w:rPr>
          <w:rFonts w:cstheme="minorHAnsi"/>
          <w:caps/>
          <w:noProof/>
          <w:lang w:val="en-US"/>
        </w:rPr>
        <w:fldChar w:fldCharType="separate"/>
      </w:r>
      <w:hyperlink w:anchor="_Toc226580549" w:history="1">
        <w:r w:rsidR="003F611D" w:rsidRPr="000D1778">
          <w:rPr>
            <w:rStyle w:val="Hyperlink"/>
            <w:noProof/>
          </w:rPr>
          <w:t>Introduction</w:t>
        </w:r>
        <w:r w:rsidR="003F611D">
          <w:rPr>
            <w:noProof/>
            <w:webHidden/>
          </w:rPr>
          <w:tab/>
        </w:r>
        <w:r w:rsidR="003F611D">
          <w:rPr>
            <w:noProof/>
            <w:webHidden/>
          </w:rPr>
          <w:fldChar w:fldCharType="begin"/>
        </w:r>
        <w:r w:rsidR="003F611D">
          <w:rPr>
            <w:noProof/>
            <w:webHidden/>
          </w:rPr>
          <w:instrText xml:space="preserve"> PAGEREF _Toc226580549 \h </w:instrText>
        </w:r>
        <w:r w:rsidR="003F611D">
          <w:rPr>
            <w:noProof/>
            <w:webHidden/>
          </w:rPr>
        </w:r>
        <w:r w:rsidR="003F611D">
          <w:rPr>
            <w:noProof/>
            <w:webHidden/>
          </w:rPr>
          <w:fldChar w:fldCharType="separate"/>
        </w:r>
        <w:r w:rsidR="009845D4">
          <w:rPr>
            <w:noProof/>
            <w:webHidden/>
          </w:rPr>
          <w:t>5</w:t>
        </w:r>
        <w:r w:rsidR="003F611D">
          <w:rPr>
            <w:noProof/>
            <w:webHidden/>
          </w:rPr>
          <w:fldChar w:fldCharType="end"/>
        </w:r>
      </w:hyperlink>
    </w:p>
    <w:p w14:paraId="40AE231B" w14:textId="25836692" w:rsidR="003F611D" w:rsidRDefault="003F611D">
      <w:pPr>
        <w:pStyle w:val="TOC1"/>
        <w:rPr>
          <w:rFonts w:asciiTheme="minorHAnsi" w:eastAsiaTheme="minorEastAsia" w:hAnsiTheme="minorHAnsi" w:cstheme="minorBidi"/>
          <w:noProof/>
          <w:kern w:val="2"/>
          <w:szCs w:val="24"/>
          <w:lang w:eastAsia="zh-CN"/>
          <w14:ligatures w14:val="standardContextual"/>
        </w:rPr>
      </w:pPr>
      <w:hyperlink w:anchor="_Toc226580550" w:history="1">
        <w:r w:rsidRPr="000D1778">
          <w:rPr>
            <w:rStyle w:val="Hyperlink"/>
            <w:noProof/>
          </w:rPr>
          <w:t>Key findings</w:t>
        </w:r>
        <w:r>
          <w:rPr>
            <w:noProof/>
            <w:webHidden/>
          </w:rPr>
          <w:tab/>
        </w:r>
        <w:r>
          <w:rPr>
            <w:noProof/>
            <w:webHidden/>
          </w:rPr>
          <w:fldChar w:fldCharType="begin"/>
        </w:r>
        <w:r>
          <w:rPr>
            <w:noProof/>
            <w:webHidden/>
          </w:rPr>
          <w:instrText xml:space="preserve"> PAGEREF _Toc226580550 \h </w:instrText>
        </w:r>
        <w:r>
          <w:rPr>
            <w:noProof/>
            <w:webHidden/>
          </w:rPr>
        </w:r>
        <w:r>
          <w:rPr>
            <w:noProof/>
            <w:webHidden/>
          </w:rPr>
          <w:fldChar w:fldCharType="separate"/>
        </w:r>
        <w:r w:rsidR="009845D4">
          <w:rPr>
            <w:noProof/>
            <w:webHidden/>
          </w:rPr>
          <w:t>5</w:t>
        </w:r>
        <w:r>
          <w:rPr>
            <w:noProof/>
            <w:webHidden/>
          </w:rPr>
          <w:fldChar w:fldCharType="end"/>
        </w:r>
      </w:hyperlink>
    </w:p>
    <w:p w14:paraId="7385A590" w14:textId="4EA8111E" w:rsidR="003F611D" w:rsidRDefault="003F611D">
      <w:pPr>
        <w:pStyle w:val="TOC2"/>
        <w:rPr>
          <w:rFonts w:asciiTheme="minorHAnsi" w:eastAsiaTheme="minorEastAsia" w:hAnsiTheme="minorHAnsi" w:cstheme="minorBidi"/>
          <w:kern w:val="2"/>
          <w:szCs w:val="24"/>
          <w:lang w:eastAsia="zh-CN"/>
          <w14:ligatures w14:val="standardContextual"/>
        </w:rPr>
      </w:pPr>
      <w:hyperlink w:anchor="_Toc226580551" w:history="1">
        <w:r w:rsidRPr="000D1778">
          <w:rPr>
            <w:rStyle w:val="Hyperlink"/>
          </w:rPr>
          <w:t>Areas of strengths</w:t>
        </w:r>
        <w:r>
          <w:rPr>
            <w:webHidden/>
          </w:rPr>
          <w:tab/>
        </w:r>
        <w:r>
          <w:rPr>
            <w:webHidden/>
          </w:rPr>
          <w:fldChar w:fldCharType="begin"/>
        </w:r>
        <w:r>
          <w:rPr>
            <w:webHidden/>
          </w:rPr>
          <w:instrText xml:space="preserve"> PAGEREF _Toc226580551 \h </w:instrText>
        </w:r>
        <w:r>
          <w:rPr>
            <w:webHidden/>
          </w:rPr>
        </w:r>
        <w:r>
          <w:rPr>
            <w:webHidden/>
          </w:rPr>
          <w:fldChar w:fldCharType="separate"/>
        </w:r>
        <w:r w:rsidR="009845D4">
          <w:rPr>
            <w:webHidden/>
          </w:rPr>
          <w:t>5</w:t>
        </w:r>
        <w:r>
          <w:rPr>
            <w:webHidden/>
          </w:rPr>
          <w:fldChar w:fldCharType="end"/>
        </w:r>
      </w:hyperlink>
    </w:p>
    <w:p w14:paraId="692D8596" w14:textId="2522A3FB" w:rsidR="003F611D" w:rsidRDefault="003F611D">
      <w:pPr>
        <w:pStyle w:val="TOC3"/>
        <w:rPr>
          <w:rFonts w:asciiTheme="minorHAnsi" w:eastAsiaTheme="minorEastAsia" w:hAnsiTheme="minorHAnsi" w:cstheme="minorBidi"/>
          <w:kern w:val="2"/>
          <w:szCs w:val="24"/>
          <w:lang w:eastAsia="zh-CN"/>
          <w14:ligatures w14:val="standardContextual"/>
        </w:rPr>
      </w:pPr>
      <w:hyperlink w:anchor="_Toc226580552" w:history="1">
        <w:r w:rsidRPr="000D1778">
          <w:rPr>
            <w:rStyle w:val="Hyperlink"/>
            <w:rFonts w:cstheme="minorHAnsi"/>
          </w:rPr>
          <w:t>Strong overall satisfaction with regional activities</w:t>
        </w:r>
        <w:r>
          <w:rPr>
            <w:webHidden/>
          </w:rPr>
          <w:tab/>
        </w:r>
        <w:r>
          <w:rPr>
            <w:webHidden/>
          </w:rPr>
          <w:fldChar w:fldCharType="begin"/>
        </w:r>
        <w:r>
          <w:rPr>
            <w:webHidden/>
          </w:rPr>
          <w:instrText xml:space="preserve"> PAGEREF _Toc226580552 \h </w:instrText>
        </w:r>
        <w:r>
          <w:rPr>
            <w:webHidden/>
          </w:rPr>
        </w:r>
        <w:r>
          <w:rPr>
            <w:webHidden/>
          </w:rPr>
          <w:fldChar w:fldCharType="separate"/>
        </w:r>
        <w:r w:rsidR="009845D4">
          <w:rPr>
            <w:webHidden/>
          </w:rPr>
          <w:t>5</w:t>
        </w:r>
        <w:r>
          <w:rPr>
            <w:webHidden/>
          </w:rPr>
          <w:fldChar w:fldCharType="end"/>
        </w:r>
      </w:hyperlink>
    </w:p>
    <w:p w14:paraId="126ACA80" w14:textId="5A105B60" w:rsidR="003F611D" w:rsidRDefault="003F611D">
      <w:pPr>
        <w:pStyle w:val="TOC3"/>
        <w:rPr>
          <w:rFonts w:asciiTheme="minorHAnsi" w:eastAsiaTheme="minorEastAsia" w:hAnsiTheme="minorHAnsi" w:cstheme="minorBidi"/>
          <w:kern w:val="2"/>
          <w:szCs w:val="24"/>
          <w:lang w:eastAsia="zh-CN"/>
          <w14:ligatures w14:val="standardContextual"/>
        </w:rPr>
      </w:pPr>
      <w:hyperlink w:anchor="_Toc226580553" w:history="1">
        <w:r w:rsidRPr="000D1778">
          <w:rPr>
            <w:rStyle w:val="Hyperlink"/>
            <w:rFonts w:cstheme="minorHAnsi"/>
          </w:rPr>
          <w:t>Strong engagement with Member States and stakeholders</w:t>
        </w:r>
        <w:r>
          <w:rPr>
            <w:webHidden/>
          </w:rPr>
          <w:tab/>
        </w:r>
        <w:r>
          <w:rPr>
            <w:webHidden/>
          </w:rPr>
          <w:fldChar w:fldCharType="begin"/>
        </w:r>
        <w:r>
          <w:rPr>
            <w:webHidden/>
          </w:rPr>
          <w:instrText xml:space="preserve"> PAGEREF _Toc226580553 \h </w:instrText>
        </w:r>
        <w:r>
          <w:rPr>
            <w:webHidden/>
          </w:rPr>
        </w:r>
        <w:r>
          <w:rPr>
            <w:webHidden/>
          </w:rPr>
          <w:fldChar w:fldCharType="separate"/>
        </w:r>
        <w:r w:rsidR="009845D4">
          <w:rPr>
            <w:webHidden/>
          </w:rPr>
          <w:t>6</w:t>
        </w:r>
        <w:r>
          <w:rPr>
            <w:webHidden/>
          </w:rPr>
          <w:fldChar w:fldCharType="end"/>
        </w:r>
      </w:hyperlink>
    </w:p>
    <w:p w14:paraId="25E73F68" w14:textId="4BB64682" w:rsidR="003F611D" w:rsidRDefault="003F611D">
      <w:pPr>
        <w:pStyle w:val="TOC3"/>
        <w:rPr>
          <w:rFonts w:asciiTheme="minorHAnsi" w:eastAsiaTheme="minorEastAsia" w:hAnsiTheme="minorHAnsi" w:cstheme="minorBidi"/>
          <w:kern w:val="2"/>
          <w:szCs w:val="24"/>
          <w:lang w:eastAsia="zh-CN"/>
          <w14:ligatures w14:val="standardContextual"/>
        </w:rPr>
      </w:pPr>
      <w:hyperlink w:anchor="_Toc226580554" w:history="1">
        <w:r w:rsidRPr="000D1778">
          <w:rPr>
            <w:rStyle w:val="Hyperlink"/>
            <w:rFonts w:cstheme="minorHAnsi"/>
          </w:rPr>
          <w:t>Effective dissemination of information and knowledge</w:t>
        </w:r>
        <w:r>
          <w:rPr>
            <w:webHidden/>
          </w:rPr>
          <w:tab/>
        </w:r>
        <w:r>
          <w:rPr>
            <w:webHidden/>
          </w:rPr>
          <w:fldChar w:fldCharType="begin"/>
        </w:r>
        <w:r>
          <w:rPr>
            <w:webHidden/>
          </w:rPr>
          <w:instrText xml:space="preserve"> PAGEREF _Toc226580554 \h </w:instrText>
        </w:r>
        <w:r>
          <w:rPr>
            <w:webHidden/>
          </w:rPr>
        </w:r>
        <w:r>
          <w:rPr>
            <w:webHidden/>
          </w:rPr>
          <w:fldChar w:fldCharType="separate"/>
        </w:r>
        <w:r w:rsidR="009845D4">
          <w:rPr>
            <w:webHidden/>
          </w:rPr>
          <w:t>6</w:t>
        </w:r>
        <w:r>
          <w:rPr>
            <w:webHidden/>
          </w:rPr>
          <w:fldChar w:fldCharType="end"/>
        </w:r>
      </w:hyperlink>
    </w:p>
    <w:p w14:paraId="33784762" w14:textId="68D2EB43" w:rsidR="003F611D" w:rsidRDefault="003F611D">
      <w:pPr>
        <w:pStyle w:val="TOC3"/>
        <w:rPr>
          <w:rFonts w:asciiTheme="minorHAnsi" w:eastAsiaTheme="minorEastAsia" w:hAnsiTheme="minorHAnsi" w:cstheme="minorBidi"/>
          <w:kern w:val="2"/>
          <w:szCs w:val="24"/>
          <w:lang w:eastAsia="zh-CN"/>
          <w14:ligatures w14:val="standardContextual"/>
        </w:rPr>
      </w:pPr>
      <w:hyperlink w:anchor="_Toc226580555" w:history="1">
        <w:r w:rsidRPr="000D1778">
          <w:rPr>
            <w:rStyle w:val="Hyperlink"/>
            <w:rFonts w:cstheme="minorHAnsi"/>
          </w:rPr>
          <w:t>Strong contribution to awareness-raising and capacity development</w:t>
        </w:r>
        <w:r>
          <w:rPr>
            <w:webHidden/>
          </w:rPr>
          <w:tab/>
        </w:r>
        <w:r>
          <w:rPr>
            <w:webHidden/>
          </w:rPr>
          <w:fldChar w:fldCharType="begin"/>
        </w:r>
        <w:r>
          <w:rPr>
            <w:webHidden/>
          </w:rPr>
          <w:instrText xml:space="preserve"> PAGEREF _Toc226580555 \h </w:instrText>
        </w:r>
        <w:r>
          <w:rPr>
            <w:webHidden/>
          </w:rPr>
        </w:r>
        <w:r>
          <w:rPr>
            <w:webHidden/>
          </w:rPr>
          <w:fldChar w:fldCharType="separate"/>
        </w:r>
        <w:r w:rsidR="009845D4">
          <w:rPr>
            <w:webHidden/>
          </w:rPr>
          <w:t>7</w:t>
        </w:r>
        <w:r>
          <w:rPr>
            <w:webHidden/>
          </w:rPr>
          <w:fldChar w:fldCharType="end"/>
        </w:r>
      </w:hyperlink>
    </w:p>
    <w:p w14:paraId="285742D6" w14:textId="1FF62F72" w:rsidR="003F611D" w:rsidRDefault="003F611D">
      <w:pPr>
        <w:pStyle w:val="TOC3"/>
        <w:rPr>
          <w:rFonts w:asciiTheme="minorHAnsi" w:eastAsiaTheme="minorEastAsia" w:hAnsiTheme="minorHAnsi" w:cstheme="minorBidi"/>
          <w:kern w:val="2"/>
          <w:szCs w:val="24"/>
          <w:lang w:eastAsia="zh-CN"/>
          <w14:ligatures w14:val="standardContextual"/>
        </w:rPr>
      </w:pPr>
      <w:hyperlink w:anchor="_Toc226580556" w:history="1">
        <w:r w:rsidRPr="000D1778">
          <w:rPr>
            <w:rStyle w:val="Hyperlink"/>
            <w:rFonts w:cstheme="minorHAnsi"/>
          </w:rPr>
          <w:t>Credible convening platform for regional dialogue</w:t>
        </w:r>
        <w:r>
          <w:rPr>
            <w:webHidden/>
          </w:rPr>
          <w:tab/>
        </w:r>
        <w:r>
          <w:rPr>
            <w:webHidden/>
          </w:rPr>
          <w:fldChar w:fldCharType="begin"/>
        </w:r>
        <w:r>
          <w:rPr>
            <w:webHidden/>
          </w:rPr>
          <w:instrText xml:space="preserve"> PAGEREF _Toc226580556 \h </w:instrText>
        </w:r>
        <w:r>
          <w:rPr>
            <w:webHidden/>
          </w:rPr>
        </w:r>
        <w:r>
          <w:rPr>
            <w:webHidden/>
          </w:rPr>
          <w:fldChar w:fldCharType="separate"/>
        </w:r>
        <w:r w:rsidR="009845D4">
          <w:rPr>
            <w:webHidden/>
          </w:rPr>
          <w:t>7</w:t>
        </w:r>
        <w:r>
          <w:rPr>
            <w:webHidden/>
          </w:rPr>
          <w:fldChar w:fldCharType="end"/>
        </w:r>
      </w:hyperlink>
    </w:p>
    <w:p w14:paraId="36ABC31D" w14:textId="4651F35A" w:rsidR="003F611D" w:rsidRDefault="003F611D">
      <w:pPr>
        <w:pStyle w:val="TOC3"/>
        <w:rPr>
          <w:rFonts w:asciiTheme="minorHAnsi" w:eastAsiaTheme="minorEastAsia" w:hAnsiTheme="minorHAnsi" w:cstheme="minorBidi"/>
          <w:kern w:val="2"/>
          <w:szCs w:val="24"/>
          <w:lang w:eastAsia="zh-CN"/>
          <w14:ligatures w14:val="standardContextual"/>
        </w:rPr>
      </w:pPr>
      <w:hyperlink w:anchor="_Toc226580557" w:history="1">
        <w:r w:rsidRPr="000D1778">
          <w:rPr>
            <w:rStyle w:val="Hyperlink"/>
            <w:rFonts w:cstheme="minorHAnsi"/>
          </w:rPr>
          <w:t>Strong foundation for partnership-based delivery</w:t>
        </w:r>
        <w:r>
          <w:rPr>
            <w:webHidden/>
          </w:rPr>
          <w:tab/>
        </w:r>
        <w:r>
          <w:rPr>
            <w:webHidden/>
          </w:rPr>
          <w:fldChar w:fldCharType="begin"/>
        </w:r>
        <w:r>
          <w:rPr>
            <w:webHidden/>
          </w:rPr>
          <w:instrText xml:space="preserve"> PAGEREF _Toc226580557 \h </w:instrText>
        </w:r>
        <w:r>
          <w:rPr>
            <w:webHidden/>
          </w:rPr>
        </w:r>
        <w:r>
          <w:rPr>
            <w:webHidden/>
          </w:rPr>
          <w:fldChar w:fldCharType="separate"/>
        </w:r>
        <w:r w:rsidR="009845D4">
          <w:rPr>
            <w:webHidden/>
          </w:rPr>
          <w:t>7</w:t>
        </w:r>
        <w:r>
          <w:rPr>
            <w:webHidden/>
          </w:rPr>
          <w:fldChar w:fldCharType="end"/>
        </w:r>
      </w:hyperlink>
    </w:p>
    <w:p w14:paraId="7669124A" w14:textId="1C233202" w:rsidR="003F611D" w:rsidRDefault="003F611D">
      <w:pPr>
        <w:pStyle w:val="TOC3"/>
        <w:rPr>
          <w:rFonts w:asciiTheme="minorHAnsi" w:eastAsiaTheme="minorEastAsia" w:hAnsiTheme="minorHAnsi" w:cstheme="minorBidi"/>
          <w:kern w:val="2"/>
          <w:szCs w:val="24"/>
          <w:lang w:eastAsia="zh-CN"/>
          <w14:ligatures w14:val="standardContextual"/>
        </w:rPr>
      </w:pPr>
      <w:hyperlink w:anchor="_Toc226580558" w:history="1">
        <w:r w:rsidRPr="000D1778">
          <w:rPr>
            <w:rStyle w:val="Hyperlink"/>
            <w:rFonts w:cstheme="minorHAnsi"/>
          </w:rPr>
          <w:t xml:space="preserve">Regional presence and implementation of ITU plans (Strategic and Kigali </w:t>
        </w:r>
        <w:r>
          <w:rPr>
            <w:rStyle w:val="Hyperlink"/>
            <w:rFonts w:cstheme="minorHAnsi"/>
          </w:rPr>
          <w:br/>
        </w:r>
        <w:r w:rsidRPr="000D1778">
          <w:rPr>
            <w:rStyle w:val="Hyperlink"/>
            <w:rFonts w:cstheme="minorHAnsi"/>
          </w:rPr>
          <w:t>Action Plans)</w:t>
        </w:r>
        <w:r>
          <w:rPr>
            <w:webHidden/>
          </w:rPr>
          <w:tab/>
        </w:r>
        <w:r>
          <w:rPr>
            <w:webHidden/>
          </w:rPr>
          <w:fldChar w:fldCharType="begin"/>
        </w:r>
        <w:r>
          <w:rPr>
            <w:webHidden/>
          </w:rPr>
          <w:instrText xml:space="preserve"> PAGEREF _Toc226580558 \h </w:instrText>
        </w:r>
        <w:r>
          <w:rPr>
            <w:webHidden/>
          </w:rPr>
        </w:r>
        <w:r>
          <w:rPr>
            <w:webHidden/>
          </w:rPr>
          <w:fldChar w:fldCharType="separate"/>
        </w:r>
        <w:r w:rsidR="009845D4">
          <w:rPr>
            <w:webHidden/>
          </w:rPr>
          <w:t>8</w:t>
        </w:r>
        <w:r>
          <w:rPr>
            <w:webHidden/>
          </w:rPr>
          <w:fldChar w:fldCharType="end"/>
        </w:r>
      </w:hyperlink>
    </w:p>
    <w:p w14:paraId="37EF8A28" w14:textId="2347D0A5" w:rsidR="003F611D" w:rsidRDefault="003F611D">
      <w:pPr>
        <w:pStyle w:val="TOC3"/>
        <w:rPr>
          <w:rFonts w:asciiTheme="minorHAnsi" w:eastAsiaTheme="minorEastAsia" w:hAnsiTheme="minorHAnsi" w:cstheme="minorBidi"/>
          <w:kern w:val="2"/>
          <w:szCs w:val="24"/>
          <w:lang w:eastAsia="zh-CN"/>
          <w14:ligatures w14:val="standardContextual"/>
        </w:rPr>
      </w:pPr>
      <w:hyperlink w:anchor="_Toc226580559" w:history="1">
        <w:r w:rsidRPr="000D1778">
          <w:rPr>
            <w:rStyle w:val="Hyperlink"/>
            <w:rFonts w:cstheme="minorHAnsi"/>
          </w:rPr>
          <w:t>Positive internal recognition of regional value</w:t>
        </w:r>
        <w:r>
          <w:rPr>
            <w:webHidden/>
          </w:rPr>
          <w:tab/>
        </w:r>
        <w:r>
          <w:rPr>
            <w:webHidden/>
          </w:rPr>
          <w:fldChar w:fldCharType="begin"/>
        </w:r>
        <w:r>
          <w:rPr>
            <w:webHidden/>
          </w:rPr>
          <w:instrText xml:space="preserve"> PAGEREF _Toc226580559 \h </w:instrText>
        </w:r>
        <w:r>
          <w:rPr>
            <w:webHidden/>
          </w:rPr>
        </w:r>
        <w:r>
          <w:rPr>
            <w:webHidden/>
          </w:rPr>
          <w:fldChar w:fldCharType="separate"/>
        </w:r>
        <w:r w:rsidR="009845D4">
          <w:rPr>
            <w:webHidden/>
          </w:rPr>
          <w:t>8</w:t>
        </w:r>
        <w:r>
          <w:rPr>
            <w:webHidden/>
          </w:rPr>
          <w:fldChar w:fldCharType="end"/>
        </w:r>
      </w:hyperlink>
    </w:p>
    <w:p w14:paraId="7B94024F" w14:textId="380070FA" w:rsidR="003F611D" w:rsidRDefault="003F611D">
      <w:pPr>
        <w:pStyle w:val="TOC2"/>
        <w:rPr>
          <w:rFonts w:asciiTheme="minorHAnsi" w:eastAsiaTheme="minorEastAsia" w:hAnsiTheme="minorHAnsi" w:cstheme="minorBidi"/>
          <w:kern w:val="2"/>
          <w:szCs w:val="24"/>
          <w:lang w:eastAsia="zh-CN"/>
          <w14:ligatures w14:val="standardContextual"/>
        </w:rPr>
      </w:pPr>
      <w:hyperlink w:anchor="_Toc226580560" w:history="1">
        <w:r w:rsidRPr="000D1778">
          <w:rPr>
            <w:rStyle w:val="Hyperlink"/>
          </w:rPr>
          <w:t>Areas for improvement</w:t>
        </w:r>
        <w:r>
          <w:rPr>
            <w:webHidden/>
          </w:rPr>
          <w:tab/>
        </w:r>
        <w:r>
          <w:rPr>
            <w:webHidden/>
          </w:rPr>
          <w:fldChar w:fldCharType="begin"/>
        </w:r>
        <w:r>
          <w:rPr>
            <w:webHidden/>
          </w:rPr>
          <w:instrText xml:space="preserve"> PAGEREF _Toc226580560 \h </w:instrText>
        </w:r>
        <w:r>
          <w:rPr>
            <w:webHidden/>
          </w:rPr>
        </w:r>
        <w:r>
          <w:rPr>
            <w:webHidden/>
          </w:rPr>
          <w:fldChar w:fldCharType="separate"/>
        </w:r>
        <w:r w:rsidR="009845D4">
          <w:rPr>
            <w:webHidden/>
          </w:rPr>
          <w:t>8</w:t>
        </w:r>
        <w:r>
          <w:rPr>
            <w:webHidden/>
          </w:rPr>
          <w:fldChar w:fldCharType="end"/>
        </w:r>
      </w:hyperlink>
    </w:p>
    <w:p w14:paraId="78299279" w14:textId="67FA0D68" w:rsidR="003F611D" w:rsidRDefault="003F611D">
      <w:pPr>
        <w:pStyle w:val="TOC3"/>
        <w:rPr>
          <w:rFonts w:asciiTheme="minorHAnsi" w:eastAsiaTheme="minorEastAsia" w:hAnsiTheme="minorHAnsi" w:cstheme="minorBidi"/>
          <w:kern w:val="2"/>
          <w:szCs w:val="24"/>
          <w:lang w:eastAsia="zh-CN"/>
          <w14:ligatures w14:val="standardContextual"/>
        </w:rPr>
      </w:pPr>
      <w:hyperlink w:anchor="_Toc226580561" w:history="1">
        <w:r w:rsidRPr="000D1778">
          <w:rPr>
            <w:rStyle w:val="Hyperlink"/>
            <w:rFonts w:cstheme="minorHAnsi"/>
          </w:rPr>
          <w:t>Aligning resources with operational expectations</w:t>
        </w:r>
        <w:r>
          <w:rPr>
            <w:webHidden/>
          </w:rPr>
          <w:tab/>
        </w:r>
        <w:r>
          <w:rPr>
            <w:webHidden/>
          </w:rPr>
          <w:fldChar w:fldCharType="begin"/>
        </w:r>
        <w:r>
          <w:rPr>
            <w:webHidden/>
          </w:rPr>
          <w:instrText xml:space="preserve"> PAGEREF _Toc226580561 \h </w:instrText>
        </w:r>
        <w:r>
          <w:rPr>
            <w:webHidden/>
          </w:rPr>
        </w:r>
        <w:r>
          <w:rPr>
            <w:webHidden/>
          </w:rPr>
          <w:fldChar w:fldCharType="separate"/>
        </w:r>
        <w:r w:rsidR="009845D4">
          <w:rPr>
            <w:webHidden/>
          </w:rPr>
          <w:t>8</w:t>
        </w:r>
        <w:r>
          <w:rPr>
            <w:webHidden/>
          </w:rPr>
          <w:fldChar w:fldCharType="end"/>
        </w:r>
      </w:hyperlink>
    </w:p>
    <w:p w14:paraId="6DE51CDF" w14:textId="140A3C9B" w:rsidR="003F611D" w:rsidRDefault="003F611D">
      <w:pPr>
        <w:pStyle w:val="TOC3"/>
        <w:rPr>
          <w:rFonts w:asciiTheme="minorHAnsi" w:eastAsiaTheme="minorEastAsia" w:hAnsiTheme="minorHAnsi" w:cstheme="minorBidi"/>
          <w:kern w:val="2"/>
          <w:szCs w:val="24"/>
          <w:lang w:eastAsia="zh-CN"/>
          <w14:ligatures w14:val="standardContextual"/>
        </w:rPr>
      </w:pPr>
      <w:hyperlink w:anchor="_Toc226580562" w:history="1">
        <w:r w:rsidRPr="000D1778">
          <w:rPr>
            <w:rStyle w:val="Hyperlink"/>
            <w:rFonts w:cstheme="minorHAnsi"/>
          </w:rPr>
          <w:t>Strengthening recruitment processes and staffing continuity</w:t>
        </w:r>
        <w:r>
          <w:rPr>
            <w:webHidden/>
          </w:rPr>
          <w:tab/>
        </w:r>
        <w:r>
          <w:rPr>
            <w:webHidden/>
          </w:rPr>
          <w:fldChar w:fldCharType="begin"/>
        </w:r>
        <w:r>
          <w:rPr>
            <w:webHidden/>
          </w:rPr>
          <w:instrText xml:space="preserve"> PAGEREF _Toc226580562 \h </w:instrText>
        </w:r>
        <w:r>
          <w:rPr>
            <w:webHidden/>
          </w:rPr>
        </w:r>
        <w:r>
          <w:rPr>
            <w:webHidden/>
          </w:rPr>
          <w:fldChar w:fldCharType="separate"/>
        </w:r>
        <w:r w:rsidR="009845D4">
          <w:rPr>
            <w:webHidden/>
          </w:rPr>
          <w:t>8</w:t>
        </w:r>
        <w:r>
          <w:rPr>
            <w:webHidden/>
          </w:rPr>
          <w:fldChar w:fldCharType="end"/>
        </w:r>
      </w:hyperlink>
    </w:p>
    <w:p w14:paraId="09918D07" w14:textId="5BBE2BE6" w:rsidR="003F611D" w:rsidRDefault="003F611D">
      <w:pPr>
        <w:pStyle w:val="TOC3"/>
        <w:rPr>
          <w:rFonts w:asciiTheme="minorHAnsi" w:eastAsiaTheme="minorEastAsia" w:hAnsiTheme="minorHAnsi" w:cstheme="minorBidi"/>
          <w:kern w:val="2"/>
          <w:szCs w:val="24"/>
          <w:lang w:eastAsia="zh-CN"/>
          <w14:ligatures w14:val="standardContextual"/>
        </w:rPr>
      </w:pPr>
      <w:hyperlink w:anchor="_Toc226580563" w:history="1">
        <w:r w:rsidRPr="000D1778">
          <w:rPr>
            <w:rStyle w:val="Hyperlink"/>
            <w:rFonts w:cstheme="minorHAnsi"/>
          </w:rPr>
          <w:t>Enhancing partnership implementation and resource mobilization</w:t>
        </w:r>
        <w:r>
          <w:rPr>
            <w:webHidden/>
          </w:rPr>
          <w:tab/>
        </w:r>
        <w:r>
          <w:rPr>
            <w:webHidden/>
          </w:rPr>
          <w:fldChar w:fldCharType="begin"/>
        </w:r>
        <w:r>
          <w:rPr>
            <w:webHidden/>
          </w:rPr>
          <w:instrText xml:space="preserve"> PAGEREF _Toc226580563 \h </w:instrText>
        </w:r>
        <w:r>
          <w:rPr>
            <w:webHidden/>
          </w:rPr>
        </w:r>
        <w:r>
          <w:rPr>
            <w:webHidden/>
          </w:rPr>
          <w:fldChar w:fldCharType="separate"/>
        </w:r>
        <w:r w:rsidR="009845D4">
          <w:rPr>
            <w:webHidden/>
          </w:rPr>
          <w:t>9</w:t>
        </w:r>
        <w:r>
          <w:rPr>
            <w:webHidden/>
          </w:rPr>
          <w:fldChar w:fldCharType="end"/>
        </w:r>
      </w:hyperlink>
    </w:p>
    <w:p w14:paraId="2FDBFC51" w14:textId="0E6136D4" w:rsidR="003F611D" w:rsidRDefault="003F611D">
      <w:pPr>
        <w:pStyle w:val="TOC3"/>
        <w:rPr>
          <w:rFonts w:asciiTheme="minorHAnsi" w:eastAsiaTheme="minorEastAsia" w:hAnsiTheme="minorHAnsi" w:cstheme="minorBidi"/>
          <w:kern w:val="2"/>
          <w:szCs w:val="24"/>
          <w:lang w:eastAsia="zh-CN"/>
          <w14:ligatures w14:val="standardContextual"/>
        </w:rPr>
      </w:pPr>
      <w:hyperlink w:anchor="_Toc226580564" w:history="1">
        <w:r w:rsidRPr="000D1778">
          <w:rPr>
            <w:rStyle w:val="Hyperlink"/>
            <w:rFonts w:cstheme="minorHAnsi"/>
          </w:rPr>
          <w:t>Improving transparency and reporting on regional operations</w:t>
        </w:r>
        <w:r>
          <w:rPr>
            <w:webHidden/>
          </w:rPr>
          <w:tab/>
        </w:r>
        <w:r>
          <w:rPr>
            <w:webHidden/>
          </w:rPr>
          <w:fldChar w:fldCharType="begin"/>
        </w:r>
        <w:r>
          <w:rPr>
            <w:webHidden/>
          </w:rPr>
          <w:instrText xml:space="preserve"> PAGEREF _Toc226580564 \h </w:instrText>
        </w:r>
        <w:r>
          <w:rPr>
            <w:webHidden/>
          </w:rPr>
        </w:r>
        <w:r>
          <w:rPr>
            <w:webHidden/>
          </w:rPr>
          <w:fldChar w:fldCharType="separate"/>
        </w:r>
        <w:r w:rsidR="009845D4">
          <w:rPr>
            <w:webHidden/>
          </w:rPr>
          <w:t>9</w:t>
        </w:r>
        <w:r>
          <w:rPr>
            <w:webHidden/>
          </w:rPr>
          <w:fldChar w:fldCharType="end"/>
        </w:r>
      </w:hyperlink>
    </w:p>
    <w:p w14:paraId="256B80CD" w14:textId="3E5BD828" w:rsidR="003F611D" w:rsidRDefault="003F611D">
      <w:pPr>
        <w:pStyle w:val="TOC2"/>
        <w:rPr>
          <w:rFonts w:asciiTheme="minorHAnsi" w:eastAsiaTheme="minorEastAsia" w:hAnsiTheme="minorHAnsi" w:cstheme="minorBidi"/>
          <w:kern w:val="2"/>
          <w:szCs w:val="24"/>
          <w:lang w:eastAsia="zh-CN"/>
          <w14:ligatures w14:val="standardContextual"/>
        </w:rPr>
      </w:pPr>
      <w:hyperlink w:anchor="_Toc226580565" w:history="1">
        <w:r w:rsidRPr="000D1778">
          <w:rPr>
            <w:rStyle w:val="Hyperlink"/>
          </w:rPr>
          <w:t>SWOT analysis</w:t>
        </w:r>
        <w:r>
          <w:rPr>
            <w:webHidden/>
          </w:rPr>
          <w:tab/>
        </w:r>
        <w:r>
          <w:rPr>
            <w:webHidden/>
          </w:rPr>
          <w:fldChar w:fldCharType="begin"/>
        </w:r>
        <w:r>
          <w:rPr>
            <w:webHidden/>
          </w:rPr>
          <w:instrText xml:space="preserve"> PAGEREF _Toc226580565 \h </w:instrText>
        </w:r>
        <w:r>
          <w:rPr>
            <w:webHidden/>
          </w:rPr>
        </w:r>
        <w:r>
          <w:rPr>
            <w:webHidden/>
          </w:rPr>
          <w:fldChar w:fldCharType="separate"/>
        </w:r>
        <w:r w:rsidR="009845D4">
          <w:rPr>
            <w:webHidden/>
          </w:rPr>
          <w:t>9</w:t>
        </w:r>
        <w:r>
          <w:rPr>
            <w:webHidden/>
          </w:rPr>
          <w:fldChar w:fldCharType="end"/>
        </w:r>
      </w:hyperlink>
    </w:p>
    <w:p w14:paraId="2838F5FE" w14:textId="6238B059" w:rsidR="003F611D" w:rsidRDefault="003F611D">
      <w:pPr>
        <w:pStyle w:val="TOC2"/>
        <w:rPr>
          <w:rFonts w:asciiTheme="minorHAnsi" w:eastAsiaTheme="minorEastAsia" w:hAnsiTheme="minorHAnsi" w:cstheme="minorBidi"/>
          <w:kern w:val="2"/>
          <w:szCs w:val="24"/>
          <w:lang w:eastAsia="zh-CN"/>
          <w14:ligatures w14:val="standardContextual"/>
        </w:rPr>
      </w:pPr>
      <w:hyperlink w:anchor="_Toc226580566" w:history="1">
        <w:r w:rsidRPr="000D1778">
          <w:rPr>
            <w:rStyle w:val="Hyperlink"/>
          </w:rPr>
          <w:t>Conclusion</w:t>
        </w:r>
        <w:r>
          <w:rPr>
            <w:webHidden/>
          </w:rPr>
          <w:tab/>
        </w:r>
        <w:r>
          <w:rPr>
            <w:webHidden/>
          </w:rPr>
          <w:fldChar w:fldCharType="begin"/>
        </w:r>
        <w:r>
          <w:rPr>
            <w:webHidden/>
          </w:rPr>
          <w:instrText xml:space="preserve"> PAGEREF _Toc226580566 \h </w:instrText>
        </w:r>
        <w:r>
          <w:rPr>
            <w:webHidden/>
          </w:rPr>
        </w:r>
        <w:r>
          <w:rPr>
            <w:webHidden/>
          </w:rPr>
          <w:fldChar w:fldCharType="separate"/>
        </w:r>
        <w:r w:rsidR="009845D4">
          <w:rPr>
            <w:webHidden/>
          </w:rPr>
          <w:t>10</w:t>
        </w:r>
        <w:r>
          <w:rPr>
            <w:webHidden/>
          </w:rPr>
          <w:fldChar w:fldCharType="end"/>
        </w:r>
      </w:hyperlink>
    </w:p>
    <w:p w14:paraId="2C41C99F" w14:textId="72DBC979" w:rsidR="003F611D" w:rsidRDefault="003F611D">
      <w:pPr>
        <w:pStyle w:val="TOC1"/>
        <w:rPr>
          <w:rFonts w:asciiTheme="minorHAnsi" w:eastAsiaTheme="minorEastAsia" w:hAnsiTheme="minorHAnsi" w:cstheme="minorBidi"/>
          <w:noProof/>
          <w:kern w:val="2"/>
          <w:szCs w:val="24"/>
          <w:lang w:eastAsia="zh-CN"/>
          <w14:ligatures w14:val="standardContextual"/>
        </w:rPr>
      </w:pPr>
      <w:hyperlink w:anchor="_Toc226580567" w:history="1">
        <w:r w:rsidRPr="000D1778">
          <w:rPr>
            <w:rStyle w:val="Hyperlink"/>
            <w:noProof/>
          </w:rPr>
          <w:t>Background</w:t>
        </w:r>
        <w:r>
          <w:rPr>
            <w:noProof/>
            <w:webHidden/>
          </w:rPr>
          <w:tab/>
        </w:r>
        <w:r>
          <w:rPr>
            <w:noProof/>
            <w:webHidden/>
          </w:rPr>
          <w:fldChar w:fldCharType="begin"/>
        </w:r>
        <w:r>
          <w:rPr>
            <w:noProof/>
            <w:webHidden/>
          </w:rPr>
          <w:instrText xml:space="preserve"> PAGEREF _Toc226580567 \h </w:instrText>
        </w:r>
        <w:r>
          <w:rPr>
            <w:noProof/>
            <w:webHidden/>
          </w:rPr>
        </w:r>
        <w:r>
          <w:rPr>
            <w:noProof/>
            <w:webHidden/>
          </w:rPr>
          <w:fldChar w:fldCharType="separate"/>
        </w:r>
        <w:r w:rsidR="009845D4">
          <w:rPr>
            <w:noProof/>
            <w:webHidden/>
          </w:rPr>
          <w:t>11</w:t>
        </w:r>
        <w:r>
          <w:rPr>
            <w:noProof/>
            <w:webHidden/>
          </w:rPr>
          <w:fldChar w:fldCharType="end"/>
        </w:r>
      </w:hyperlink>
    </w:p>
    <w:p w14:paraId="72E0A303" w14:textId="19FBA3C8" w:rsidR="003F611D" w:rsidRDefault="003F611D">
      <w:pPr>
        <w:pStyle w:val="TOC2"/>
        <w:rPr>
          <w:rFonts w:asciiTheme="minorHAnsi" w:eastAsiaTheme="minorEastAsia" w:hAnsiTheme="minorHAnsi" w:cstheme="minorBidi"/>
          <w:kern w:val="2"/>
          <w:szCs w:val="24"/>
          <w:lang w:eastAsia="zh-CN"/>
          <w14:ligatures w14:val="standardContextual"/>
        </w:rPr>
      </w:pPr>
      <w:hyperlink w:anchor="_Toc226580568" w:history="1">
        <w:r w:rsidRPr="000D1778">
          <w:rPr>
            <w:rStyle w:val="Hyperlink"/>
          </w:rPr>
          <w:t>Structure of the review, timeline, and deliverables</w:t>
        </w:r>
        <w:r>
          <w:rPr>
            <w:webHidden/>
          </w:rPr>
          <w:tab/>
        </w:r>
        <w:r>
          <w:rPr>
            <w:webHidden/>
          </w:rPr>
          <w:fldChar w:fldCharType="begin"/>
        </w:r>
        <w:r>
          <w:rPr>
            <w:webHidden/>
          </w:rPr>
          <w:instrText xml:space="preserve"> PAGEREF _Toc226580568 \h </w:instrText>
        </w:r>
        <w:r>
          <w:rPr>
            <w:webHidden/>
          </w:rPr>
        </w:r>
        <w:r>
          <w:rPr>
            <w:webHidden/>
          </w:rPr>
          <w:fldChar w:fldCharType="separate"/>
        </w:r>
        <w:r w:rsidR="009845D4">
          <w:rPr>
            <w:webHidden/>
          </w:rPr>
          <w:t>12</w:t>
        </w:r>
        <w:r>
          <w:rPr>
            <w:webHidden/>
          </w:rPr>
          <w:fldChar w:fldCharType="end"/>
        </w:r>
      </w:hyperlink>
    </w:p>
    <w:p w14:paraId="2EDAAA85" w14:textId="2F5E2CC7" w:rsidR="003F611D" w:rsidRDefault="003F611D">
      <w:pPr>
        <w:pStyle w:val="TOC2"/>
        <w:rPr>
          <w:rFonts w:asciiTheme="minorHAnsi" w:eastAsiaTheme="minorEastAsia" w:hAnsiTheme="minorHAnsi" w:cstheme="minorBidi"/>
          <w:kern w:val="2"/>
          <w:szCs w:val="24"/>
          <w:lang w:eastAsia="zh-CN"/>
          <w14:ligatures w14:val="standardContextual"/>
        </w:rPr>
      </w:pPr>
      <w:hyperlink w:anchor="_Toc226580569" w:history="1">
        <w:r w:rsidRPr="000D1778">
          <w:rPr>
            <w:rStyle w:val="Hyperlink"/>
          </w:rPr>
          <w:t>Work carried out by the BDT</w:t>
        </w:r>
        <w:r>
          <w:rPr>
            <w:webHidden/>
          </w:rPr>
          <w:tab/>
        </w:r>
        <w:r>
          <w:rPr>
            <w:webHidden/>
          </w:rPr>
          <w:fldChar w:fldCharType="begin"/>
        </w:r>
        <w:r>
          <w:rPr>
            <w:webHidden/>
          </w:rPr>
          <w:instrText xml:space="preserve"> PAGEREF _Toc226580569 \h </w:instrText>
        </w:r>
        <w:r>
          <w:rPr>
            <w:webHidden/>
          </w:rPr>
        </w:r>
        <w:r>
          <w:rPr>
            <w:webHidden/>
          </w:rPr>
          <w:fldChar w:fldCharType="separate"/>
        </w:r>
        <w:r w:rsidR="009845D4">
          <w:rPr>
            <w:webHidden/>
          </w:rPr>
          <w:t>13</w:t>
        </w:r>
        <w:r>
          <w:rPr>
            <w:webHidden/>
          </w:rPr>
          <w:fldChar w:fldCharType="end"/>
        </w:r>
      </w:hyperlink>
    </w:p>
    <w:p w14:paraId="15CC70AF" w14:textId="74F5D848" w:rsidR="003F611D" w:rsidRDefault="003F611D">
      <w:pPr>
        <w:pStyle w:val="TOC1"/>
        <w:rPr>
          <w:rFonts w:asciiTheme="minorHAnsi" w:eastAsiaTheme="minorEastAsia" w:hAnsiTheme="minorHAnsi" w:cstheme="minorBidi"/>
          <w:noProof/>
          <w:kern w:val="2"/>
          <w:szCs w:val="24"/>
          <w:lang w:eastAsia="zh-CN"/>
          <w14:ligatures w14:val="standardContextual"/>
        </w:rPr>
      </w:pPr>
      <w:hyperlink w:anchor="_Toc226580570" w:history="1">
        <w:r w:rsidRPr="000D1778">
          <w:rPr>
            <w:rStyle w:val="Hyperlink"/>
            <w:noProof/>
          </w:rPr>
          <w:t>Methodology</w:t>
        </w:r>
        <w:r>
          <w:rPr>
            <w:noProof/>
            <w:webHidden/>
          </w:rPr>
          <w:tab/>
        </w:r>
        <w:r>
          <w:rPr>
            <w:noProof/>
            <w:webHidden/>
          </w:rPr>
          <w:fldChar w:fldCharType="begin"/>
        </w:r>
        <w:r>
          <w:rPr>
            <w:noProof/>
            <w:webHidden/>
          </w:rPr>
          <w:instrText xml:space="preserve"> PAGEREF _Toc226580570 \h </w:instrText>
        </w:r>
        <w:r>
          <w:rPr>
            <w:noProof/>
            <w:webHidden/>
          </w:rPr>
        </w:r>
        <w:r>
          <w:rPr>
            <w:noProof/>
            <w:webHidden/>
          </w:rPr>
          <w:fldChar w:fldCharType="separate"/>
        </w:r>
        <w:r w:rsidR="009845D4">
          <w:rPr>
            <w:noProof/>
            <w:webHidden/>
          </w:rPr>
          <w:t>13</w:t>
        </w:r>
        <w:r>
          <w:rPr>
            <w:noProof/>
            <w:webHidden/>
          </w:rPr>
          <w:fldChar w:fldCharType="end"/>
        </w:r>
      </w:hyperlink>
    </w:p>
    <w:p w14:paraId="5F0B9E2C" w14:textId="45BBA8B3" w:rsidR="003F611D" w:rsidRDefault="003F611D">
      <w:pPr>
        <w:pStyle w:val="TOC2"/>
        <w:rPr>
          <w:rFonts w:asciiTheme="minorHAnsi" w:eastAsiaTheme="minorEastAsia" w:hAnsiTheme="minorHAnsi" w:cstheme="minorBidi"/>
          <w:kern w:val="2"/>
          <w:szCs w:val="24"/>
          <w:lang w:eastAsia="zh-CN"/>
          <w14:ligatures w14:val="standardContextual"/>
        </w:rPr>
      </w:pPr>
      <w:hyperlink w:anchor="_Toc226580571" w:history="1">
        <w:r w:rsidRPr="000D1778">
          <w:rPr>
            <w:rStyle w:val="Hyperlink"/>
          </w:rPr>
          <w:t>Membership Survey</w:t>
        </w:r>
        <w:r>
          <w:rPr>
            <w:webHidden/>
          </w:rPr>
          <w:tab/>
        </w:r>
        <w:r>
          <w:rPr>
            <w:webHidden/>
          </w:rPr>
          <w:fldChar w:fldCharType="begin"/>
        </w:r>
        <w:r>
          <w:rPr>
            <w:webHidden/>
          </w:rPr>
          <w:instrText xml:space="preserve"> PAGEREF _Toc226580571 \h </w:instrText>
        </w:r>
        <w:r>
          <w:rPr>
            <w:webHidden/>
          </w:rPr>
        </w:r>
        <w:r>
          <w:rPr>
            <w:webHidden/>
          </w:rPr>
          <w:fldChar w:fldCharType="separate"/>
        </w:r>
        <w:r w:rsidR="009845D4">
          <w:rPr>
            <w:webHidden/>
          </w:rPr>
          <w:t>14</w:t>
        </w:r>
        <w:r>
          <w:rPr>
            <w:webHidden/>
          </w:rPr>
          <w:fldChar w:fldCharType="end"/>
        </w:r>
      </w:hyperlink>
    </w:p>
    <w:p w14:paraId="5BBFEB74" w14:textId="6C5BF0A2" w:rsidR="003F611D" w:rsidRDefault="003F611D">
      <w:pPr>
        <w:pStyle w:val="TOC2"/>
        <w:rPr>
          <w:rFonts w:asciiTheme="minorHAnsi" w:eastAsiaTheme="minorEastAsia" w:hAnsiTheme="minorHAnsi" w:cstheme="minorBidi"/>
          <w:kern w:val="2"/>
          <w:szCs w:val="24"/>
          <w:lang w:eastAsia="zh-CN"/>
          <w14:ligatures w14:val="standardContextual"/>
        </w:rPr>
      </w:pPr>
      <w:hyperlink w:anchor="_Toc226580572" w:history="1">
        <w:r w:rsidRPr="000D1778">
          <w:rPr>
            <w:rStyle w:val="Hyperlink"/>
          </w:rPr>
          <w:t>Stakeholder Consultations</w:t>
        </w:r>
        <w:r>
          <w:rPr>
            <w:webHidden/>
          </w:rPr>
          <w:tab/>
        </w:r>
        <w:r>
          <w:rPr>
            <w:webHidden/>
          </w:rPr>
          <w:fldChar w:fldCharType="begin"/>
        </w:r>
        <w:r>
          <w:rPr>
            <w:webHidden/>
          </w:rPr>
          <w:instrText xml:space="preserve"> PAGEREF _Toc226580572 \h </w:instrText>
        </w:r>
        <w:r>
          <w:rPr>
            <w:webHidden/>
          </w:rPr>
        </w:r>
        <w:r>
          <w:rPr>
            <w:webHidden/>
          </w:rPr>
          <w:fldChar w:fldCharType="separate"/>
        </w:r>
        <w:r w:rsidR="009845D4">
          <w:rPr>
            <w:webHidden/>
          </w:rPr>
          <w:t>15</w:t>
        </w:r>
        <w:r>
          <w:rPr>
            <w:webHidden/>
          </w:rPr>
          <w:fldChar w:fldCharType="end"/>
        </w:r>
      </w:hyperlink>
    </w:p>
    <w:p w14:paraId="6CB8A970" w14:textId="165D73DB" w:rsidR="003F611D" w:rsidRDefault="003F611D">
      <w:pPr>
        <w:pStyle w:val="TOC2"/>
        <w:rPr>
          <w:rFonts w:asciiTheme="minorHAnsi" w:eastAsiaTheme="minorEastAsia" w:hAnsiTheme="minorHAnsi" w:cstheme="minorBidi"/>
          <w:kern w:val="2"/>
          <w:szCs w:val="24"/>
          <w:lang w:eastAsia="zh-CN"/>
          <w14:ligatures w14:val="standardContextual"/>
        </w:rPr>
      </w:pPr>
      <w:hyperlink w:anchor="_Toc226580573" w:history="1">
        <w:r w:rsidRPr="000D1778">
          <w:rPr>
            <w:rStyle w:val="Hyperlink"/>
          </w:rPr>
          <w:t>Internal Assessment Survey (staff survey)</w:t>
        </w:r>
        <w:r>
          <w:rPr>
            <w:webHidden/>
          </w:rPr>
          <w:tab/>
        </w:r>
        <w:r>
          <w:rPr>
            <w:webHidden/>
          </w:rPr>
          <w:fldChar w:fldCharType="begin"/>
        </w:r>
        <w:r>
          <w:rPr>
            <w:webHidden/>
          </w:rPr>
          <w:instrText xml:space="preserve"> PAGEREF _Toc226580573 \h </w:instrText>
        </w:r>
        <w:r>
          <w:rPr>
            <w:webHidden/>
          </w:rPr>
        </w:r>
        <w:r>
          <w:rPr>
            <w:webHidden/>
          </w:rPr>
          <w:fldChar w:fldCharType="separate"/>
        </w:r>
        <w:r w:rsidR="009845D4">
          <w:rPr>
            <w:webHidden/>
          </w:rPr>
          <w:t>17</w:t>
        </w:r>
        <w:r>
          <w:rPr>
            <w:webHidden/>
          </w:rPr>
          <w:fldChar w:fldCharType="end"/>
        </w:r>
      </w:hyperlink>
    </w:p>
    <w:p w14:paraId="034927E6" w14:textId="10EF747B" w:rsidR="003F611D" w:rsidRDefault="003F611D">
      <w:pPr>
        <w:pStyle w:val="TOC2"/>
        <w:rPr>
          <w:rFonts w:asciiTheme="minorHAnsi" w:eastAsiaTheme="minorEastAsia" w:hAnsiTheme="minorHAnsi" w:cstheme="minorBidi"/>
          <w:kern w:val="2"/>
          <w:szCs w:val="24"/>
          <w:lang w:eastAsia="zh-CN"/>
          <w14:ligatures w14:val="standardContextual"/>
        </w:rPr>
      </w:pPr>
      <w:hyperlink w:anchor="_Toc226580574" w:history="1">
        <w:r w:rsidRPr="000D1778">
          <w:rPr>
            <w:rStyle w:val="Hyperlink"/>
          </w:rPr>
          <w:t>Document Analysis</w:t>
        </w:r>
        <w:r>
          <w:rPr>
            <w:webHidden/>
          </w:rPr>
          <w:tab/>
        </w:r>
        <w:r>
          <w:rPr>
            <w:webHidden/>
          </w:rPr>
          <w:fldChar w:fldCharType="begin"/>
        </w:r>
        <w:r>
          <w:rPr>
            <w:webHidden/>
          </w:rPr>
          <w:instrText xml:space="preserve"> PAGEREF _Toc226580574 \h </w:instrText>
        </w:r>
        <w:r>
          <w:rPr>
            <w:webHidden/>
          </w:rPr>
        </w:r>
        <w:r>
          <w:rPr>
            <w:webHidden/>
          </w:rPr>
          <w:fldChar w:fldCharType="separate"/>
        </w:r>
        <w:r w:rsidR="009845D4">
          <w:rPr>
            <w:webHidden/>
          </w:rPr>
          <w:t>18</w:t>
        </w:r>
        <w:r>
          <w:rPr>
            <w:webHidden/>
          </w:rPr>
          <w:fldChar w:fldCharType="end"/>
        </w:r>
      </w:hyperlink>
    </w:p>
    <w:p w14:paraId="288C5FEC" w14:textId="0D1C743B" w:rsidR="003F611D" w:rsidRDefault="003F611D">
      <w:pPr>
        <w:pStyle w:val="TOC1"/>
        <w:rPr>
          <w:rFonts w:asciiTheme="minorHAnsi" w:eastAsiaTheme="minorEastAsia" w:hAnsiTheme="minorHAnsi" w:cstheme="minorBidi"/>
          <w:noProof/>
          <w:kern w:val="2"/>
          <w:szCs w:val="24"/>
          <w:lang w:eastAsia="zh-CN"/>
          <w14:ligatures w14:val="standardContextual"/>
        </w:rPr>
      </w:pPr>
      <w:hyperlink w:anchor="_Toc226580575" w:history="1">
        <w:r w:rsidRPr="000D1778">
          <w:rPr>
            <w:rStyle w:val="Hyperlink"/>
            <w:noProof/>
          </w:rPr>
          <w:t>Findings per Scope of Work</w:t>
        </w:r>
        <w:r>
          <w:rPr>
            <w:noProof/>
            <w:webHidden/>
          </w:rPr>
          <w:tab/>
        </w:r>
        <w:r>
          <w:rPr>
            <w:noProof/>
            <w:webHidden/>
          </w:rPr>
          <w:fldChar w:fldCharType="begin"/>
        </w:r>
        <w:r>
          <w:rPr>
            <w:noProof/>
            <w:webHidden/>
          </w:rPr>
          <w:instrText xml:space="preserve"> PAGEREF _Toc226580575 \h </w:instrText>
        </w:r>
        <w:r>
          <w:rPr>
            <w:noProof/>
            <w:webHidden/>
          </w:rPr>
        </w:r>
        <w:r>
          <w:rPr>
            <w:noProof/>
            <w:webHidden/>
          </w:rPr>
          <w:fldChar w:fldCharType="separate"/>
        </w:r>
        <w:r w:rsidR="009845D4">
          <w:rPr>
            <w:noProof/>
            <w:webHidden/>
          </w:rPr>
          <w:t>18</w:t>
        </w:r>
        <w:r>
          <w:rPr>
            <w:noProof/>
            <w:webHidden/>
          </w:rPr>
          <w:fldChar w:fldCharType="end"/>
        </w:r>
      </w:hyperlink>
    </w:p>
    <w:p w14:paraId="2C48B183" w14:textId="7C8DAA39" w:rsidR="003F611D" w:rsidRPr="003F611D" w:rsidRDefault="003F611D">
      <w:pPr>
        <w:pStyle w:val="TOC1"/>
        <w:rPr>
          <w:noProof/>
        </w:rPr>
      </w:pPr>
      <w:hyperlink w:anchor="_Toc226580576" w:history="1">
        <w:r w:rsidRPr="003F611D">
          <w:rPr>
            <w:noProof/>
          </w:rPr>
          <w:t>Annexes</w:t>
        </w:r>
        <w:r>
          <w:rPr>
            <w:noProof/>
            <w:webHidden/>
          </w:rPr>
          <w:tab/>
        </w:r>
        <w:r>
          <w:rPr>
            <w:noProof/>
            <w:webHidden/>
          </w:rPr>
          <w:tab/>
        </w:r>
        <w:r>
          <w:rPr>
            <w:noProof/>
            <w:webHidden/>
          </w:rPr>
          <w:fldChar w:fldCharType="begin"/>
        </w:r>
        <w:r>
          <w:rPr>
            <w:noProof/>
            <w:webHidden/>
          </w:rPr>
          <w:instrText xml:space="preserve"> PAGEREF _Toc226580576 \h </w:instrText>
        </w:r>
        <w:r>
          <w:rPr>
            <w:noProof/>
            <w:webHidden/>
          </w:rPr>
        </w:r>
        <w:r>
          <w:rPr>
            <w:noProof/>
            <w:webHidden/>
          </w:rPr>
          <w:fldChar w:fldCharType="separate"/>
        </w:r>
        <w:r w:rsidR="009845D4">
          <w:rPr>
            <w:noProof/>
            <w:webHidden/>
          </w:rPr>
          <w:t>37</w:t>
        </w:r>
        <w:r>
          <w:rPr>
            <w:noProof/>
            <w:webHidden/>
          </w:rPr>
          <w:fldChar w:fldCharType="end"/>
        </w:r>
      </w:hyperlink>
    </w:p>
    <w:p w14:paraId="7BCEB1B9" w14:textId="759610A6" w:rsidR="003F611D" w:rsidRDefault="003F611D">
      <w:pPr>
        <w:pStyle w:val="TOC2"/>
        <w:rPr>
          <w:rFonts w:asciiTheme="minorHAnsi" w:eastAsiaTheme="minorEastAsia" w:hAnsiTheme="minorHAnsi" w:cstheme="minorBidi"/>
          <w:kern w:val="2"/>
          <w:szCs w:val="24"/>
          <w:lang w:eastAsia="zh-CN"/>
          <w14:ligatures w14:val="standardContextual"/>
        </w:rPr>
      </w:pPr>
      <w:hyperlink w:anchor="_Toc226580577" w:history="1">
        <w:r w:rsidRPr="000D1778">
          <w:rPr>
            <w:rStyle w:val="Hyperlink"/>
            <w:rFonts w:cstheme="minorHAnsi"/>
          </w:rPr>
          <w:t>Annex A. KPIs</w:t>
        </w:r>
        <w:r>
          <w:rPr>
            <w:webHidden/>
          </w:rPr>
          <w:tab/>
        </w:r>
        <w:r>
          <w:rPr>
            <w:webHidden/>
          </w:rPr>
          <w:fldChar w:fldCharType="begin"/>
        </w:r>
        <w:r>
          <w:rPr>
            <w:webHidden/>
          </w:rPr>
          <w:instrText xml:space="preserve"> PAGEREF _Toc226580577 \h </w:instrText>
        </w:r>
        <w:r>
          <w:rPr>
            <w:webHidden/>
          </w:rPr>
        </w:r>
        <w:r>
          <w:rPr>
            <w:webHidden/>
          </w:rPr>
          <w:fldChar w:fldCharType="separate"/>
        </w:r>
        <w:r w:rsidR="009845D4">
          <w:rPr>
            <w:webHidden/>
          </w:rPr>
          <w:t>37</w:t>
        </w:r>
        <w:r>
          <w:rPr>
            <w:webHidden/>
          </w:rPr>
          <w:fldChar w:fldCharType="end"/>
        </w:r>
      </w:hyperlink>
    </w:p>
    <w:p w14:paraId="4384FCD2" w14:textId="77F8A99D" w:rsidR="003F611D" w:rsidRDefault="003F611D">
      <w:pPr>
        <w:pStyle w:val="TOC2"/>
        <w:rPr>
          <w:rFonts w:asciiTheme="minorHAnsi" w:eastAsiaTheme="minorEastAsia" w:hAnsiTheme="minorHAnsi" w:cstheme="minorBidi"/>
          <w:kern w:val="2"/>
          <w:szCs w:val="24"/>
          <w:lang w:eastAsia="zh-CN"/>
          <w14:ligatures w14:val="standardContextual"/>
        </w:rPr>
      </w:pPr>
      <w:hyperlink w:anchor="_Toc226580578" w:history="1">
        <w:r w:rsidRPr="000D1778">
          <w:rPr>
            <w:rStyle w:val="Hyperlink"/>
            <w:rFonts w:cstheme="minorHAnsi"/>
          </w:rPr>
          <w:t>Annex B. Membership Survey Results</w:t>
        </w:r>
        <w:r>
          <w:rPr>
            <w:webHidden/>
          </w:rPr>
          <w:tab/>
        </w:r>
        <w:r>
          <w:rPr>
            <w:webHidden/>
          </w:rPr>
          <w:fldChar w:fldCharType="begin"/>
        </w:r>
        <w:r>
          <w:rPr>
            <w:webHidden/>
          </w:rPr>
          <w:instrText xml:space="preserve"> PAGEREF _Toc226580578 \h </w:instrText>
        </w:r>
        <w:r>
          <w:rPr>
            <w:webHidden/>
          </w:rPr>
        </w:r>
        <w:r>
          <w:rPr>
            <w:webHidden/>
          </w:rPr>
          <w:fldChar w:fldCharType="separate"/>
        </w:r>
        <w:r w:rsidR="009845D4">
          <w:rPr>
            <w:webHidden/>
          </w:rPr>
          <w:t>89</w:t>
        </w:r>
        <w:r>
          <w:rPr>
            <w:webHidden/>
          </w:rPr>
          <w:fldChar w:fldCharType="end"/>
        </w:r>
      </w:hyperlink>
    </w:p>
    <w:p w14:paraId="5FE3CC72" w14:textId="54A6078A" w:rsidR="003F611D" w:rsidRDefault="003F611D">
      <w:pPr>
        <w:pStyle w:val="TOC2"/>
        <w:rPr>
          <w:rFonts w:asciiTheme="minorHAnsi" w:eastAsiaTheme="minorEastAsia" w:hAnsiTheme="minorHAnsi" w:cstheme="minorBidi"/>
          <w:kern w:val="2"/>
          <w:szCs w:val="24"/>
          <w:lang w:eastAsia="zh-CN"/>
          <w14:ligatures w14:val="standardContextual"/>
        </w:rPr>
      </w:pPr>
      <w:hyperlink w:anchor="_Toc226580579" w:history="1">
        <w:r w:rsidRPr="000D1778">
          <w:rPr>
            <w:rStyle w:val="Hyperlink"/>
            <w:rFonts w:cstheme="minorHAnsi"/>
          </w:rPr>
          <w:t>Annex C. Stakeholder Consultation</w:t>
        </w:r>
        <w:r>
          <w:rPr>
            <w:webHidden/>
          </w:rPr>
          <w:tab/>
        </w:r>
        <w:r>
          <w:rPr>
            <w:webHidden/>
          </w:rPr>
          <w:fldChar w:fldCharType="begin"/>
        </w:r>
        <w:r>
          <w:rPr>
            <w:webHidden/>
          </w:rPr>
          <w:instrText xml:space="preserve"> PAGEREF _Toc226580579 \h </w:instrText>
        </w:r>
        <w:r>
          <w:rPr>
            <w:webHidden/>
          </w:rPr>
        </w:r>
        <w:r>
          <w:rPr>
            <w:webHidden/>
          </w:rPr>
          <w:fldChar w:fldCharType="separate"/>
        </w:r>
        <w:r w:rsidR="009845D4">
          <w:rPr>
            <w:webHidden/>
          </w:rPr>
          <w:t>89</w:t>
        </w:r>
        <w:r>
          <w:rPr>
            <w:webHidden/>
          </w:rPr>
          <w:fldChar w:fldCharType="end"/>
        </w:r>
      </w:hyperlink>
    </w:p>
    <w:p w14:paraId="4127082E" w14:textId="782CEB91" w:rsidR="003F611D" w:rsidRDefault="003F611D" w:rsidP="003F611D">
      <w:pPr>
        <w:pStyle w:val="TOC3"/>
        <w:ind w:left="993" w:firstLine="0"/>
        <w:rPr>
          <w:rFonts w:asciiTheme="minorHAnsi" w:eastAsiaTheme="minorEastAsia" w:hAnsiTheme="minorHAnsi" w:cstheme="minorBidi"/>
          <w:kern w:val="2"/>
          <w:szCs w:val="24"/>
          <w:lang w:eastAsia="zh-CN"/>
          <w14:ligatures w14:val="standardContextual"/>
        </w:rPr>
      </w:pPr>
      <w:hyperlink w:anchor="_Toc226580580" w:history="1">
        <w:r w:rsidRPr="000D1778">
          <w:rPr>
            <w:rStyle w:val="Hyperlink"/>
            <w:rFonts w:cstheme="minorHAnsi"/>
          </w:rPr>
          <w:t>Annex C1. Summary of the WTDC-25 Special Session on the ITU Regional Presence Review</w:t>
        </w:r>
        <w:r>
          <w:rPr>
            <w:webHidden/>
          </w:rPr>
          <w:tab/>
        </w:r>
        <w:r>
          <w:rPr>
            <w:webHidden/>
          </w:rPr>
          <w:fldChar w:fldCharType="begin"/>
        </w:r>
        <w:r>
          <w:rPr>
            <w:webHidden/>
          </w:rPr>
          <w:instrText xml:space="preserve"> PAGEREF _Toc226580580 \h </w:instrText>
        </w:r>
        <w:r>
          <w:rPr>
            <w:webHidden/>
          </w:rPr>
        </w:r>
        <w:r>
          <w:rPr>
            <w:webHidden/>
          </w:rPr>
          <w:fldChar w:fldCharType="separate"/>
        </w:r>
        <w:r w:rsidR="009845D4">
          <w:rPr>
            <w:webHidden/>
          </w:rPr>
          <w:t>89</w:t>
        </w:r>
        <w:r>
          <w:rPr>
            <w:webHidden/>
          </w:rPr>
          <w:fldChar w:fldCharType="end"/>
        </w:r>
      </w:hyperlink>
    </w:p>
    <w:p w14:paraId="1171B397" w14:textId="12370C98" w:rsidR="003F611D" w:rsidRDefault="003F611D">
      <w:pPr>
        <w:pStyle w:val="TOC3"/>
        <w:rPr>
          <w:rFonts w:asciiTheme="minorHAnsi" w:eastAsiaTheme="minorEastAsia" w:hAnsiTheme="minorHAnsi" w:cstheme="minorBidi"/>
          <w:kern w:val="2"/>
          <w:szCs w:val="24"/>
          <w:lang w:eastAsia="zh-CN"/>
          <w14:ligatures w14:val="standardContextual"/>
        </w:rPr>
      </w:pPr>
      <w:hyperlink w:anchor="_Toc226580581" w:history="1">
        <w:r w:rsidRPr="000D1778">
          <w:rPr>
            <w:rStyle w:val="Hyperlink"/>
            <w:rFonts w:cstheme="minorHAnsi"/>
          </w:rPr>
          <w:t>Annex C2. Internal Assessment Survey Responses</w:t>
        </w:r>
        <w:r>
          <w:rPr>
            <w:webHidden/>
          </w:rPr>
          <w:tab/>
        </w:r>
        <w:r>
          <w:rPr>
            <w:webHidden/>
          </w:rPr>
          <w:fldChar w:fldCharType="begin"/>
        </w:r>
        <w:r>
          <w:rPr>
            <w:webHidden/>
          </w:rPr>
          <w:instrText xml:space="preserve"> PAGEREF _Toc226580581 \h </w:instrText>
        </w:r>
        <w:r>
          <w:rPr>
            <w:webHidden/>
          </w:rPr>
        </w:r>
        <w:r>
          <w:rPr>
            <w:webHidden/>
          </w:rPr>
          <w:fldChar w:fldCharType="separate"/>
        </w:r>
        <w:r w:rsidR="009845D4">
          <w:rPr>
            <w:webHidden/>
          </w:rPr>
          <w:t>90</w:t>
        </w:r>
        <w:r>
          <w:rPr>
            <w:webHidden/>
          </w:rPr>
          <w:fldChar w:fldCharType="end"/>
        </w:r>
      </w:hyperlink>
    </w:p>
    <w:p w14:paraId="52036A64" w14:textId="68546A70" w:rsidR="003F611D" w:rsidRDefault="003F611D">
      <w:pPr>
        <w:pStyle w:val="TOC3"/>
        <w:rPr>
          <w:rFonts w:asciiTheme="minorHAnsi" w:eastAsiaTheme="minorEastAsia" w:hAnsiTheme="minorHAnsi" w:cstheme="minorBidi"/>
          <w:kern w:val="2"/>
          <w:szCs w:val="24"/>
          <w:lang w:eastAsia="zh-CN"/>
          <w14:ligatures w14:val="standardContextual"/>
        </w:rPr>
      </w:pPr>
      <w:hyperlink w:anchor="_Toc226580582" w:history="1">
        <w:r w:rsidRPr="000D1778">
          <w:rPr>
            <w:rStyle w:val="Hyperlink"/>
            <w:rFonts w:cstheme="minorHAnsi"/>
          </w:rPr>
          <w:t>Annex C3. Interview with RTOs</w:t>
        </w:r>
        <w:r>
          <w:rPr>
            <w:webHidden/>
          </w:rPr>
          <w:tab/>
        </w:r>
        <w:r>
          <w:rPr>
            <w:webHidden/>
          </w:rPr>
          <w:fldChar w:fldCharType="begin"/>
        </w:r>
        <w:r>
          <w:rPr>
            <w:webHidden/>
          </w:rPr>
          <w:instrText xml:space="preserve"> PAGEREF _Toc226580582 \h </w:instrText>
        </w:r>
        <w:r>
          <w:rPr>
            <w:webHidden/>
          </w:rPr>
        </w:r>
        <w:r>
          <w:rPr>
            <w:webHidden/>
          </w:rPr>
          <w:fldChar w:fldCharType="separate"/>
        </w:r>
        <w:r w:rsidR="009845D4">
          <w:rPr>
            <w:webHidden/>
          </w:rPr>
          <w:t>90</w:t>
        </w:r>
        <w:r>
          <w:rPr>
            <w:webHidden/>
          </w:rPr>
          <w:fldChar w:fldCharType="end"/>
        </w:r>
      </w:hyperlink>
    </w:p>
    <w:p w14:paraId="6815638E" w14:textId="6319EC70" w:rsidR="003F611D" w:rsidRDefault="003F611D">
      <w:pPr>
        <w:pStyle w:val="TOC2"/>
        <w:rPr>
          <w:rFonts w:asciiTheme="minorHAnsi" w:eastAsiaTheme="minorEastAsia" w:hAnsiTheme="minorHAnsi" w:cstheme="minorBidi"/>
          <w:kern w:val="2"/>
          <w:szCs w:val="24"/>
          <w:lang w:eastAsia="zh-CN"/>
          <w14:ligatures w14:val="standardContextual"/>
        </w:rPr>
      </w:pPr>
      <w:hyperlink w:anchor="_Toc226580583" w:history="1">
        <w:r w:rsidRPr="000D1778">
          <w:rPr>
            <w:rStyle w:val="Hyperlink"/>
            <w:rFonts w:cstheme="minorHAnsi"/>
          </w:rPr>
          <w:t>Annex D. Benchmarking</w:t>
        </w:r>
        <w:r>
          <w:rPr>
            <w:webHidden/>
          </w:rPr>
          <w:tab/>
        </w:r>
        <w:r>
          <w:rPr>
            <w:webHidden/>
          </w:rPr>
          <w:fldChar w:fldCharType="begin"/>
        </w:r>
        <w:r>
          <w:rPr>
            <w:webHidden/>
          </w:rPr>
          <w:instrText xml:space="preserve"> PAGEREF _Toc226580583 \h </w:instrText>
        </w:r>
        <w:r>
          <w:rPr>
            <w:webHidden/>
          </w:rPr>
        </w:r>
        <w:r>
          <w:rPr>
            <w:webHidden/>
          </w:rPr>
          <w:fldChar w:fldCharType="separate"/>
        </w:r>
        <w:r w:rsidR="009845D4">
          <w:rPr>
            <w:webHidden/>
          </w:rPr>
          <w:t>104</w:t>
        </w:r>
        <w:r>
          <w:rPr>
            <w:webHidden/>
          </w:rPr>
          <w:fldChar w:fldCharType="end"/>
        </w:r>
      </w:hyperlink>
    </w:p>
    <w:p w14:paraId="6E5B0527" w14:textId="179927A3" w:rsidR="00617FC9" w:rsidRPr="00986D12" w:rsidRDefault="00617FC9" w:rsidP="00617FC9">
      <w:pPr>
        <w:spacing w:before="0" w:after="160" w:line="278" w:lineRule="auto"/>
        <w:rPr>
          <w:rFonts w:asciiTheme="minorHAnsi" w:hAnsiTheme="minorHAnsi" w:cstheme="minorHAnsi"/>
          <w:lang w:val="en-US"/>
        </w:rPr>
      </w:pPr>
      <w:r>
        <w:rPr>
          <w:rFonts w:asciiTheme="minorHAnsi" w:hAnsiTheme="minorHAnsi" w:cstheme="minorHAnsi"/>
          <w:b/>
          <w:bCs/>
          <w:caps/>
          <w:noProof/>
          <w:szCs w:val="24"/>
          <w:lang w:val="en-US"/>
        </w:rPr>
        <w:fldChar w:fldCharType="end"/>
      </w:r>
    </w:p>
    <w:p w14:paraId="34E1AB05" w14:textId="77777777" w:rsidR="00617FC9" w:rsidRPr="00986D12" w:rsidRDefault="00617FC9" w:rsidP="00617FC9">
      <w:pPr>
        <w:spacing w:before="0" w:after="160" w:line="278" w:lineRule="auto"/>
        <w:rPr>
          <w:rFonts w:asciiTheme="minorHAnsi" w:eastAsiaTheme="majorEastAsia" w:hAnsiTheme="minorHAnsi" w:cstheme="minorHAnsi"/>
          <w:spacing w:val="-10"/>
          <w:kern w:val="28"/>
          <w:lang w:val="en-US"/>
        </w:rPr>
      </w:pPr>
      <w:r w:rsidRPr="00986D12">
        <w:rPr>
          <w:rFonts w:asciiTheme="minorHAnsi" w:hAnsiTheme="minorHAnsi" w:cstheme="minorHAnsi"/>
          <w:lang w:val="en-US"/>
        </w:rPr>
        <w:br w:type="page"/>
      </w:r>
    </w:p>
    <w:p w14:paraId="506AB06A" w14:textId="77777777" w:rsidR="00617FC9" w:rsidRPr="00986D12" w:rsidRDefault="00617FC9" w:rsidP="00617FC9">
      <w:pPr>
        <w:pStyle w:val="Heading1"/>
      </w:pPr>
      <w:bookmarkStart w:id="9" w:name="_Toc225163547"/>
      <w:bookmarkStart w:id="10" w:name="_Toc226580549"/>
      <w:r w:rsidRPr="000E12EC">
        <w:lastRenderedPageBreak/>
        <w:t>Introduction</w:t>
      </w:r>
      <w:bookmarkEnd w:id="9"/>
      <w:bookmarkEnd w:id="10"/>
    </w:p>
    <w:p w14:paraId="27FEA4EE" w14:textId="66526907" w:rsidR="00617FC9" w:rsidRPr="00986D12" w:rsidRDefault="00617FC9" w:rsidP="4E8C173D">
      <w:pPr>
        <w:jc w:val="both"/>
        <w:rPr>
          <w:rFonts w:asciiTheme="minorHAnsi" w:hAnsiTheme="minorHAnsi" w:cstheme="minorBidi"/>
        </w:rPr>
      </w:pPr>
      <w:r w:rsidRPr="4E8C173D">
        <w:rPr>
          <w:rFonts w:asciiTheme="minorHAnsi" w:hAnsiTheme="minorHAnsi" w:cstheme="minorBidi"/>
        </w:rPr>
        <w:t>The International Telecommunication Union’s Regional and Area Offices form a central pillar of the Union’s ability to deliver meaningful impact across the world. This review, undertaken at the request of the ITU Council and guided by Resolution 25 (Rev. Bucharest, 2022), provides a comprehensive assessment of the effectiveness, relevance, and strategic alignment of ITU’s regional presence. Drawing on an extensive evidence base—including desk research, surveys, stakeholder consultations, and structured interviews with Regional Telecommunication Organizations—the review includes 27 KPI assessments, and analysis across 12 Scope of Work dimensions. The findings present a detailed picture of a regional system that is highly valued, trusted, and operationally vital.</w:t>
      </w:r>
      <w:r w:rsidRPr="4E8C173D">
        <w:rPr>
          <w:rFonts w:asciiTheme="minorHAnsi" w:eastAsia="Batang" w:hAnsiTheme="minorHAnsi" w:cstheme="minorBidi"/>
        </w:rPr>
        <w:t xml:space="preserve"> The report includes the background and context of the Review, the methodology as specified by Council as well as the detailed findings </w:t>
      </w:r>
      <w:r w:rsidR="3938DD28" w:rsidRPr="4E8C173D">
        <w:rPr>
          <w:rFonts w:asciiTheme="minorHAnsi" w:eastAsia="Batang" w:hAnsiTheme="minorHAnsi" w:cstheme="minorBidi"/>
        </w:rPr>
        <w:t xml:space="preserve">and </w:t>
      </w:r>
      <w:r w:rsidRPr="4E8C173D">
        <w:rPr>
          <w:rFonts w:asciiTheme="minorHAnsi" w:eastAsia="Batang" w:hAnsiTheme="minorHAnsi" w:cstheme="minorBidi"/>
        </w:rPr>
        <w:t xml:space="preserve">patterns in the </w:t>
      </w:r>
      <w:r w:rsidR="44FB7738" w:rsidRPr="4E8C173D">
        <w:rPr>
          <w:rFonts w:asciiTheme="minorHAnsi" w:eastAsia="Batang" w:hAnsiTheme="minorHAnsi" w:cstheme="minorBidi"/>
        </w:rPr>
        <w:t xml:space="preserve">evidence </w:t>
      </w:r>
      <w:r w:rsidRPr="4E8C173D">
        <w:rPr>
          <w:rFonts w:asciiTheme="minorHAnsi" w:eastAsia="Batang" w:hAnsiTheme="minorHAnsi" w:cstheme="minorBidi"/>
        </w:rPr>
        <w:t>emanating from the Review.</w:t>
      </w:r>
    </w:p>
    <w:p w14:paraId="6F0A10CE" w14:textId="77777777" w:rsidR="00617FC9" w:rsidRDefault="00617FC9" w:rsidP="00617FC9">
      <w:pPr>
        <w:pStyle w:val="Heading1"/>
      </w:pPr>
      <w:bookmarkStart w:id="11" w:name="_Toc225163548"/>
      <w:bookmarkStart w:id="12" w:name="_Toc226580550"/>
      <w:r>
        <w:t xml:space="preserve">Key </w:t>
      </w:r>
      <w:r w:rsidRPr="000E12EC">
        <w:t>findings</w:t>
      </w:r>
      <w:bookmarkEnd w:id="11"/>
      <w:bookmarkEnd w:id="12"/>
    </w:p>
    <w:p w14:paraId="7033A093" w14:textId="77777777" w:rsidR="00617FC9" w:rsidRPr="00986D12" w:rsidRDefault="00617FC9" w:rsidP="00617FC9">
      <w:pPr>
        <w:rPr>
          <w:rFonts w:asciiTheme="minorHAnsi" w:hAnsiTheme="minorHAnsi" w:cstheme="minorHAnsi"/>
        </w:rPr>
      </w:pPr>
      <w:r w:rsidRPr="00986D12">
        <w:rPr>
          <w:rFonts w:asciiTheme="minorHAnsi" w:hAnsiTheme="minorHAnsi" w:cstheme="minorHAnsi"/>
          <w:noProof/>
        </w:rPr>
        <w:drawing>
          <wp:inline distT="0" distB="0" distL="0" distR="0" wp14:anchorId="1614EDA4" wp14:editId="3BED74E2">
            <wp:extent cx="5731510" cy="3122930"/>
            <wp:effectExtent l="0" t="0" r="2540" b="1270"/>
            <wp:docPr id="1556820166" name="Picture 1" descr="The image depicts a comprehensive strategic review of ITU's regional presence, highlighting its high value, trust, satisfaction, geographic effectiveness, and diverse capacity-building initiati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20166" name="Picture 1" descr="The image depicts a comprehensive strategic review of ITU's regional presence, highlighting its high value, trust, satisfaction, geographic effectiveness, and diverse capacity-building initiative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122930"/>
                    </a:xfrm>
                    <a:prstGeom prst="rect">
                      <a:avLst/>
                    </a:prstGeom>
                    <a:noFill/>
                    <a:ln>
                      <a:noFill/>
                    </a:ln>
                  </pic:spPr>
                </pic:pic>
              </a:graphicData>
            </a:graphic>
          </wp:inline>
        </w:drawing>
      </w:r>
    </w:p>
    <w:p w14:paraId="07A41D6B" w14:textId="77777777" w:rsidR="00617FC9" w:rsidRPr="00986D12" w:rsidRDefault="00617FC9" w:rsidP="00617FC9">
      <w:pPr>
        <w:pStyle w:val="Heading2"/>
      </w:pPr>
      <w:bookmarkStart w:id="13" w:name="_Toc225163549"/>
      <w:bookmarkStart w:id="14" w:name="_Toc226580551"/>
      <w:r>
        <w:t xml:space="preserve">Areas of </w:t>
      </w:r>
      <w:r w:rsidRPr="000E12EC">
        <w:t>strengths</w:t>
      </w:r>
      <w:bookmarkEnd w:id="13"/>
      <w:bookmarkEnd w:id="14"/>
    </w:p>
    <w:p w14:paraId="3E0948A5" w14:textId="77777777" w:rsidR="00617FC9" w:rsidRPr="00986D12" w:rsidRDefault="00617FC9" w:rsidP="00617FC9">
      <w:pPr>
        <w:pStyle w:val="Heading3"/>
        <w:numPr>
          <w:ilvl w:val="2"/>
          <w:numId w:val="0"/>
        </w:numPr>
        <w:tabs>
          <w:tab w:val="clear" w:pos="567"/>
          <w:tab w:val="clear" w:pos="1134"/>
          <w:tab w:val="clear" w:pos="1701"/>
          <w:tab w:val="clear" w:pos="2268"/>
          <w:tab w:val="clear" w:pos="2835"/>
        </w:tabs>
        <w:overflowPunct/>
        <w:autoSpaceDE/>
        <w:autoSpaceDN/>
        <w:adjustRightInd/>
        <w:spacing w:before="360" w:after="240"/>
        <w:ind w:left="505" w:hanging="505"/>
        <w:jc w:val="both"/>
        <w:textAlignment w:val="auto"/>
        <w:rPr>
          <w:rFonts w:asciiTheme="minorHAnsi" w:hAnsiTheme="minorHAnsi" w:cstheme="minorHAnsi"/>
        </w:rPr>
      </w:pPr>
      <w:bookmarkStart w:id="15" w:name="_Toc225163550"/>
      <w:bookmarkStart w:id="16" w:name="_Toc226580552"/>
      <w:r w:rsidRPr="00986D12">
        <w:rPr>
          <w:rFonts w:asciiTheme="minorHAnsi" w:hAnsiTheme="minorHAnsi" w:cstheme="minorHAnsi"/>
        </w:rPr>
        <w:t>Strong overall satisfaction with regional activities</w:t>
      </w:r>
      <w:bookmarkEnd w:id="15"/>
      <w:bookmarkEnd w:id="16"/>
    </w:p>
    <w:p w14:paraId="0534B351"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Membership feedback indicates strong overall satisfaction with the activities carried out by ITU Regional and Area Offices. A clear majority of survey respondents agree that regional presence contributes to the delivery of ITU’s mandate and its impact on the ground, reflecting confidence in the role played by regional offices in translating global initiatives into regional and national contexts. Agreement with this statement reaches 71%, indicating that regional presence is widely perceived as an effective operational extension of ITU’s work. Satisfaction with the current level of activities is also positive, with 60% expressing agreement that the scale of regional activities meets expectations, while also suggesting that some members anticipate continued expansion or deepening of engagement. </w:t>
      </w:r>
    </w:p>
    <w:p w14:paraId="51CFE7F1"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The overall positive perception emerging from the Membership Survey is reinforced by stakeholder interviews. Discussions with Regional Telecommunication Organizations (RTOs) highlight satisfaction with the role of regional offices in facilitating dialogue, supporting regional initiatives </w:t>
      </w:r>
      <w:r w:rsidRPr="00986D12">
        <w:rPr>
          <w:rFonts w:asciiTheme="minorHAnsi" w:hAnsiTheme="minorHAnsi" w:cstheme="minorHAnsi"/>
        </w:rPr>
        <w:lastRenderedPageBreak/>
        <w:t xml:space="preserve">and participating in regional coordination mechanisms. Interviewees describe cooperation with regional offices as constructive and responsive, confirming the positive perceptions reflected in the survey evidence. </w:t>
      </w:r>
    </w:p>
    <w:p w14:paraId="3001E743"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Together, these findings indicate that regional presence is widely perceived as a valuable component of ITU’s operational structure, contributing to the visibility and accessibility of the organization at regional level. </w:t>
      </w:r>
    </w:p>
    <w:p w14:paraId="5411BF98" w14:textId="77777777" w:rsidR="00617FC9" w:rsidRPr="00986D12" w:rsidRDefault="00617FC9" w:rsidP="00617FC9">
      <w:pPr>
        <w:pStyle w:val="Heading3"/>
        <w:numPr>
          <w:ilvl w:val="2"/>
          <w:numId w:val="0"/>
        </w:numPr>
        <w:tabs>
          <w:tab w:val="clear" w:pos="567"/>
          <w:tab w:val="clear" w:pos="1134"/>
          <w:tab w:val="clear" w:pos="1701"/>
          <w:tab w:val="clear" w:pos="2268"/>
          <w:tab w:val="clear" w:pos="2835"/>
        </w:tabs>
        <w:overflowPunct/>
        <w:autoSpaceDE/>
        <w:autoSpaceDN/>
        <w:adjustRightInd/>
        <w:spacing w:before="360" w:after="240"/>
        <w:ind w:left="505" w:hanging="505"/>
        <w:jc w:val="both"/>
        <w:textAlignment w:val="auto"/>
        <w:rPr>
          <w:rFonts w:asciiTheme="minorHAnsi" w:hAnsiTheme="minorHAnsi" w:cstheme="minorHAnsi"/>
        </w:rPr>
      </w:pPr>
      <w:bookmarkStart w:id="17" w:name="_Toc225163551"/>
      <w:bookmarkStart w:id="18" w:name="_Toc226580553"/>
      <w:r w:rsidRPr="00986D12">
        <w:rPr>
          <w:rFonts w:asciiTheme="minorHAnsi" w:hAnsiTheme="minorHAnsi" w:cstheme="minorHAnsi"/>
        </w:rPr>
        <w:t>Strong engagement with Member States and stakeholders</w:t>
      </w:r>
      <w:bookmarkEnd w:id="17"/>
      <w:bookmarkEnd w:id="18"/>
    </w:p>
    <w:p w14:paraId="47F00448"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The evidence points to sustained engagement between regional offices and ITU membership. Consultation levels are high, with 74% of survey respondents reporting interaction with Regional or Area Offices during the reference period. These interactions demonstrate that regional offices function as active points of contact between the organization and its membership, supporting continuous dialogue and enabling Member States to engage with ITU activities and initiatives. </w:t>
      </w:r>
    </w:p>
    <w:p w14:paraId="5DE124BB"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Regional offices also play a central role in facilitating engagement with regional organizations and other institutional partners. Evidence from stakeholder interviews highlights regular operational interaction between regional offices and regional telecommunication organizations, including participation in regional meetings and technical discussions. These interactions contribute to aligning ITU activities with regional policy processes and institutional frameworks. </w:t>
      </w:r>
    </w:p>
    <w:p w14:paraId="214B0D53"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Participation data further illustrate the breadth of this engagement. Between 2022 and 2025, ITU organized more than 1,000 events and over 1,500 meetings across more than 100 host countries. Participation included Member States, sector members, academic institutions and international organizations, reflecting a broad and geographically diverse engagement landscape supported by regional presence. </w:t>
      </w:r>
    </w:p>
    <w:p w14:paraId="574AF880" w14:textId="744CBD11" w:rsidR="00617FC9" w:rsidRPr="00986D12" w:rsidRDefault="00617FC9" w:rsidP="00617FC9">
      <w:pPr>
        <w:jc w:val="both"/>
        <w:rPr>
          <w:rFonts w:asciiTheme="minorHAnsi" w:hAnsiTheme="minorHAnsi" w:cstheme="minorHAnsi"/>
        </w:rPr>
      </w:pPr>
      <w:r w:rsidRPr="00986D12">
        <w:rPr>
          <w:rFonts w:asciiTheme="minorHAnsi" w:hAnsiTheme="minorHAnsi" w:cstheme="minorHAnsi"/>
        </w:rPr>
        <w:t>Participation in ITU events and activities is geographically broad and institutionally diverse, with 173</w:t>
      </w:r>
      <w:r w:rsidR="00183A17">
        <w:rPr>
          <w:rFonts w:asciiTheme="minorHAnsi" w:hAnsiTheme="minorHAnsi" w:cstheme="minorHAnsi"/>
        </w:rPr>
        <w:t> </w:t>
      </w:r>
      <w:r w:rsidRPr="00986D12">
        <w:rPr>
          <w:rFonts w:asciiTheme="minorHAnsi" w:hAnsiTheme="minorHAnsi" w:cstheme="minorHAnsi"/>
        </w:rPr>
        <w:t xml:space="preserve">Member States and 124,120 unique participants engaged between 2022 and 2025. </w:t>
      </w:r>
    </w:p>
    <w:p w14:paraId="722C2E0C" w14:textId="77777777" w:rsidR="00617FC9" w:rsidRPr="00986D12" w:rsidRDefault="00617FC9" w:rsidP="00617FC9">
      <w:pPr>
        <w:rPr>
          <w:rFonts w:asciiTheme="minorHAnsi" w:hAnsiTheme="minorHAnsi" w:cstheme="minorHAnsi"/>
        </w:rPr>
      </w:pPr>
      <w:r w:rsidRPr="00986D12">
        <w:rPr>
          <w:rFonts w:asciiTheme="minorHAnsi" w:hAnsiTheme="minorHAnsi" w:cstheme="minorHAnsi"/>
        </w:rPr>
        <w:t xml:space="preserve">Fellowships demonstrate transparent, equitable, and gender-balanced allocation, further enabling inclusive participation. </w:t>
      </w:r>
    </w:p>
    <w:p w14:paraId="23EF839D" w14:textId="77777777" w:rsidR="00617FC9" w:rsidRPr="00986D12" w:rsidRDefault="00617FC9" w:rsidP="00617FC9">
      <w:pPr>
        <w:pStyle w:val="Heading3"/>
        <w:numPr>
          <w:ilvl w:val="2"/>
          <w:numId w:val="0"/>
        </w:numPr>
        <w:tabs>
          <w:tab w:val="clear" w:pos="567"/>
          <w:tab w:val="clear" w:pos="1134"/>
          <w:tab w:val="clear" w:pos="1701"/>
          <w:tab w:val="clear" w:pos="2268"/>
          <w:tab w:val="clear" w:pos="2835"/>
        </w:tabs>
        <w:overflowPunct/>
        <w:autoSpaceDE/>
        <w:autoSpaceDN/>
        <w:adjustRightInd/>
        <w:spacing w:before="360" w:after="240"/>
        <w:ind w:left="505" w:hanging="505"/>
        <w:jc w:val="both"/>
        <w:textAlignment w:val="auto"/>
        <w:rPr>
          <w:rFonts w:asciiTheme="minorHAnsi" w:hAnsiTheme="minorHAnsi" w:cstheme="minorHAnsi"/>
        </w:rPr>
      </w:pPr>
      <w:bookmarkStart w:id="19" w:name="_Toc225163552"/>
      <w:bookmarkStart w:id="20" w:name="_Toc226580554"/>
      <w:r w:rsidRPr="00986D12">
        <w:rPr>
          <w:rFonts w:asciiTheme="minorHAnsi" w:hAnsiTheme="minorHAnsi" w:cstheme="minorHAnsi"/>
        </w:rPr>
        <w:t>Effective dissemination of information and knowledge</w:t>
      </w:r>
      <w:bookmarkEnd w:id="19"/>
      <w:bookmarkEnd w:id="20"/>
    </w:p>
    <w:p w14:paraId="3698DE40"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One of the strongest areas of performance concerns the dissemination of information and knowledge. Survey responses show that 73% of respondents agree that regional offices effectively disseminate information and data, while 70% consider that technological platforms are effectively used to share relevant information with stakeholders. </w:t>
      </w:r>
    </w:p>
    <w:p w14:paraId="21930A47"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These findings indicate that regional offices play an important role in ensuring that information produced by the organization reaches national stakeholders and regional partners. The use of digital platforms and hybrid engagement formats has further expanded the ability of regional offices to maintain regular interaction with members and stakeholders across diverse geographic contexts. </w:t>
      </w:r>
    </w:p>
    <w:p w14:paraId="20FE1525"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The dissemination function also contributes to policy dialogue and knowledge exchange. Regional offices facilitate discussions on regulatory and policy issues, support the exchange of experiences among countries and help communicate global ITU initiatives within regional contexts. </w:t>
      </w:r>
    </w:p>
    <w:p w14:paraId="4E7DEDA1" w14:textId="77777777" w:rsidR="00617FC9" w:rsidRPr="00986D12" w:rsidRDefault="00617FC9" w:rsidP="00617FC9">
      <w:pPr>
        <w:pStyle w:val="Heading3"/>
        <w:numPr>
          <w:ilvl w:val="2"/>
          <w:numId w:val="0"/>
        </w:numPr>
        <w:tabs>
          <w:tab w:val="clear" w:pos="567"/>
          <w:tab w:val="clear" w:pos="1134"/>
          <w:tab w:val="clear" w:pos="1701"/>
          <w:tab w:val="clear" w:pos="2268"/>
          <w:tab w:val="clear" w:pos="2835"/>
        </w:tabs>
        <w:overflowPunct/>
        <w:autoSpaceDE/>
        <w:autoSpaceDN/>
        <w:adjustRightInd/>
        <w:spacing w:before="360" w:after="240"/>
        <w:ind w:left="505" w:hanging="505"/>
        <w:jc w:val="both"/>
        <w:textAlignment w:val="auto"/>
        <w:rPr>
          <w:rFonts w:asciiTheme="minorHAnsi" w:hAnsiTheme="minorHAnsi" w:cstheme="minorHAnsi"/>
        </w:rPr>
      </w:pPr>
      <w:bookmarkStart w:id="21" w:name="_Toc225163553"/>
      <w:bookmarkStart w:id="22" w:name="_Toc226580555"/>
      <w:r w:rsidRPr="00986D12">
        <w:rPr>
          <w:rFonts w:asciiTheme="minorHAnsi" w:hAnsiTheme="minorHAnsi" w:cstheme="minorHAnsi"/>
        </w:rPr>
        <w:lastRenderedPageBreak/>
        <w:t>Strong contribution to awareness-raising and capacity development</w:t>
      </w:r>
      <w:bookmarkEnd w:id="21"/>
      <w:bookmarkEnd w:id="22"/>
    </w:p>
    <w:p w14:paraId="50121460"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Regional presence also supports awareness-raising, skills development and capacity building among Member States. Survey results show that 67% of respondents agree that regional offices effectively contribute to building awareness, skills and capacity in relevant areas. </w:t>
      </w:r>
    </w:p>
    <w:p w14:paraId="60A48D60"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These activities take place through workshops, training events and policy dialogues organized across regions. Capacity-building initiatives help strengthen national expertise, support the implementation of ICT policies and enable stakeholders to participate more effectively in ITU processes. </w:t>
      </w:r>
    </w:p>
    <w:p w14:paraId="23D0884C"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The role of regional offices in facilitating knowledge exchange and training is complemented by the work of other ITU platforms, including digital training programmes and collaborative initiatives with partners. </w:t>
      </w:r>
    </w:p>
    <w:p w14:paraId="12099F15"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Regional Offices facilitate access to ITU Academy training:</w:t>
      </w:r>
    </w:p>
    <w:p w14:paraId="1628A972" w14:textId="77777777" w:rsidR="00617FC9" w:rsidRPr="00461501" w:rsidRDefault="00617FC9" w:rsidP="00617FC9">
      <w:pPr>
        <w:pStyle w:val="Bulletlist"/>
        <w:jc w:val="both"/>
        <w:rPr>
          <w:rFonts w:asciiTheme="minorHAnsi" w:hAnsiTheme="minorHAnsi" w:cstheme="minorHAnsi"/>
          <w:sz w:val="24"/>
          <w:szCs w:val="24"/>
        </w:rPr>
      </w:pPr>
      <w:r w:rsidRPr="00461501">
        <w:rPr>
          <w:rFonts w:asciiTheme="minorHAnsi" w:hAnsiTheme="minorHAnsi" w:cstheme="minorHAnsi"/>
          <w:sz w:val="24"/>
          <w:szCs w:val="24"/>
        </w:rPr>
        <w:t>12,333 participants attended instructor</w:t>
      </w:r>
      <w:r w:rsidRPr="00461501">
        <w:rPr>
          <w:rFonts w:asciiTheme="minorHAnsi" w:hAnsiTheme="minorHAnsi" w:cstheme="minorHAnsi"/>
          <w:sz w:val="24"/>
          <w:szCs w:val="24"/>
        </w:rPr>
        <w:noBreakHyphen/>
        <w:t>led training between 2023 and 2025.</w:t>
      </w:r>
    </w:p>
    <w:p w14:paraId="30F93276" w14:textId="77777777" w:rsidR="00617FC9" w:rsidRPr="00461501" w:rsidRDefault="00617FC9" w:rsidP="00617FC9">
      <w:pPr>
        <w:pStyle w:val="Bulletlist"/>
        <w:jc w:val="both"/>
        <w:rPr>
          <w:rFonts w:asciiTheme="minorHAnsi" w:hAnsiTheme="minorHAnsi" w:cstheme="minorHAnsi"/>
          <w:sz w:val="24"/>
          <w:szCs w:val="24"/>
        </w:rPr>
      </w:pPr>
      <w:r w:rsidRPr="00461501">
        <w:rPr>
          <w:rFonts w:asciiTheme="minorHAnsi" w:hAnsiTheme="minorHAnsi" w:cstheme="minorHAnsi"/>
          <w:sz w:val="24"/>
          <w:szCs w:val="24"/>
        </w:rPr>
        <w:t xml:space="preserve">79 region-specific courses ensured responsiveness to regional needs and contexts. </w:t>
      </w:r>
    </w:p>
    <w:p w14:paraId="6311AD9C" w14:textId="77777777" w:rsidR="00617FC9" w:rsidRPr="00986D12" w:rsidRDefault="00617FC9" w:rsidP="00617FC9">
      <w:pPr>
        <w:pStyle w:val="Heading3"/>
        <w:numPr>
          <w:ilvl w:val="2"/>
          <w:numId w:val="0"/>
        </w:numPr>
        <w:tabs>
          <w:tab w:val="clear" w:pos="567"/>
          <w:tab w:val="clear" w:pos="1134"/>
          <w:tab w:val="clear" w:pos="1701"/>
          <w:tab w:val="clear" w:pos="2268"/>
          <w:tab w:val="clear" w:pos="2835"/>
        </w:tabs>
        <w:overflowPunct/>
        <w:autoSpaceDE/>
        <w:autoSpaceDN/>
        <w:adjustRightInd/>
        <w:spacing w:before="360" w:after="240"/>
        <w:ind w:left="505" w:hanging="505"/>
        <w:jc w:val="both"/>
        <w:textAlignment w:val="auto"/>
        <w:rPr>
          <w:rFonts w:asciiTheme="minorHAnsi" w:hAnsiTheme="minorHAnsi" w:cstheme="minorHAnsi"/>
        </w:rPr>
      </w:pPr>
      <w:bookmarkStart w:id="23" w:name="_Toc225163554"/>
      <w:bookmarkStart w:id="24" w:name="_Toc226580556"/>
      <w:r w:rsidRPr="00986D12">
        <w:rPr>
          <w:rFonts w:asciiTheme="minorHAnsi" w:hAnsiTheme="minorHAnsi" w:cstheme="minorHAnsi"/>
        </w:rPr>
        <w:t>Credible convening platform for regional dialogue</w:t>
      </w:r>
      <w:bookmarkEnd w:id="23"/>
      <w:bookmarkEnd w:id="24"/>
    </w:p>
    <w:p w14:paraId="383E2439"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Regional offices also serve as credible convening platforms that connect national authorities, regional organizations and international partners. Evidence from stakeholder interviews highlights the importance of regional offices in facilitating dialogue among stakeholders and supporting coordination between regional initiatives and global ITU processes. </w:t>
      </w:r>
    </w:p>
    <w:p w14:paraId="43005D6C"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Through participation in regional meetings and technical discussions, regional offices help maintain continuous dialogue with Member States and regional organizations. This convening role supports the alignment of regional priorities with global ICT policy developments and contributes to the visibility of ITU within regional institutional frameworks. </w:t>
      </w:r>
    </w:p>
    <w:p w14:paraId="000CD35A"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The ability of regional offices to bring together stakeholders from different sectors and institutional backgrounds also contributes to building collaborative networks that support regional initiatives and policy dialogue. </w:t>
      </w:r>
    </w:p>
    <w:p w14:paraId="0714D261" w14:textId="77777777" w:rsidR="00617FC9" w:rsidRPr="00986D12" w:rsidRDefault="00617FC9" w:rsidP="00617FC9">
      <w:pPr>
        <w:pStyle w:val="Heading3"/>
        <w:numPr>
          <w:ilvl w:val="2"/>
          <w:numId w:val="0"/>
        </w:numPr>
        <w:tabs>
          <w:tab w:val="clear" w:pos="567"/>
          <w:tab w:val="clear" w:pos="1134"/>
          <w:tab w:val="clear" w:pos="1701"/>
          <w:tab w:val="clear" w:pos="2268"/>
          <w:tab w:val="clear" w:pos="2835"/>
        </w:tabs>
        <w:overflowPunct/>
        <w:autoSpaceDE/>
        <w:autoSpaceDN/>
        <w:adjustRightInd/>
        <w:spacing w:before="360" w:after="240"/>
        <w:ind w:left="505" w:hanging="505"/>
        <w:jc w:val="both"/>
        <w:textAlignment w:val="auto"/>
        <w:rPr>
          <w:rFonts w:asciiTheme="minorHAnsi" w:hAnsiTheme="minorHAnsi" w:cstheme="minorHAnsi"/>
        </w:rPr>
      </w:pPr>
      <w:bookmarkStart w:id="25" w:name="_Toc225163555"/>
      <w:bookmarkStart w:id="26" w:name="_Toc226580557"/>
      <w:r w:rsidRPr="00986D12">
        <w:rPr>
          <w:rFonts w:asciiTheme="minorHAnsi" w:hAnsiTheme="minorHAnsi" w:cstheme="minorHAnsi"/>
        </w:rPr>
        <w:t>Strong foundation for partnership-based delivery</w:t>
      </w:r>
      <w:bookmarkEnd w:id="25"/>
      <w:bookmarkEnd w:id="26"/>
    </w:p>
    <w:p w14:paraId="44D78CEF" w14:textId="7804330E" w:rsidR="00617FC9" w:rsidRPr="00986D12" w:rsidRDefault="00617FC9" w:rsidP="4E8C173D">
      <w:pPr>
        <w:jc w:val="both"/>
        <w:rPr>
          <w:rFonts w:asciiTheme="minorHAnsi" w:hAnsiTheme="minorHAnsi" w:cstheme="minorBidi"/>
        </w:rPr>
      </w:pPr>
      <w:r w:rsidRPr="4E8C173D">
        <w:rPr>
          <w:rFonts w:asciiTheme="minorHAnsi" w:hAnsiTheme="minorHAnsi" w:cstheme="minorBidi"/>
        </w:rPr>
        <w:t xml:space="preserve">The evidence also highlights a strong basis for collaboration and partnership-based delivery of ITU initiatives. Survey responses indicate high levels of willingness among membership entities to collaborate with </w:t>
      </w:r>
      <w:r w:rsidR="448A2F35" w:rsidRPr="4E8C173D">
        <w:rPr>
          <w:rFonts w:asciiTheme="minorHAnsi" w:hAnsiTheme="minorHAnsi" w:cstheme="minorBidi"/>
        </w:rPr>
        <w:t>regional and area offices</w:t>
      </w:r>
      <w:r w:rsidRPr="4E8C173D">
        <w:rPr>
          <w:rFonts w:asciiTheme="minorHAnsi" w:hAnsiTheme="minorHAnsi" w:cstheme="minorBidi"/>
        </w:rPr>
        <w:t xml:space="preserve">, reaching 82%, while collaboration with partners records agreement levels of 60%. </w:t>
      </w:r>
    </w:p>
    <w:p w14:paraId="1C468F14"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These findings suggest that regional presence operates within a collaborative environment that supports joint initiatives and coordinated activities. Engagement with regional organizations, development partners and other stakeholders provides opportunities to implement projects and programmes that contribute to regional ICT development objectives. </w:t>
      </w:r>
    </w:p>
    <w:p w14:paraId="59EBA2E5"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Partnerships are closely linked to project implementation and resource mobilization. Evidence from SoW and KPI analyses indicates that regional offices play an active role in implementing regional initiatives and development projects supported by different funding mechanisms. </w:t>
      </w:r>
    </w:p>
    <w:p w14:paraId="3FD5009C"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lastRenderedPageBreak/>
        <w:t xml:space="preserve">Overall, the combination of strong membership engagement, effective dissemination of knowledge and active collaboration with regional stakeholders indicates that regional presence provides a solid operational platform for the implementation of ITU activities at regional level. </w:t>
      </w:r>
    </w:p>
    <w:p w14:paraId="69853D35" w14:textId="77777777" w:rsidR="00617FC9" w:rsidRPr="00986D12" w:rsidRDefault="00617FC9" w:rsidP="00617FC9">
      <w:pPr>
        <w:pStyle w:val="Heading3"/>
        <w:numPr>
          <w:ilvl w:val="2"/>
          <w:numId w:val="0"/>
        </w:numPr>
        <w:tabs>
          <w:tab w:val="clear" w:pos="567"/>
          <w:tab w:val="clear" w:pos="1134"/>
          <w:tab w:val="clear" w:pos="1701"/>
          <w:tab w:val="clear" w:pos="2268"/>
          <w:tab w:val="clear" w:pos="2835"/>
        </w:tabs>
        <w:overflowPunct/>
        <w:autoSpaceDE/>
        <w:autoSpaceDN/>
        <w:adjustRightInd/>
        <w:spacing w:before="360" w:after="240"/>
        <w:ind w:left="505" w:hanging="505"/>
        <w:jc w:val="both"/>
        <w:textAlignment w:val="auto"/>
        <w:rPr>
          <w:rFonts w:asciiTheme="minorHAnsi" w:hAnsiTheme="minorHAnsi" w:cstheme="minorHAnsi"/>
        </w:rPr>
      </w:pPr>
      <w:bookmarkStart w:id="27" w:name="_Toc225163556"/>
      <w:bookmarkStart w:id="28" w:name="_Toc226580558"/>
      <w:r w:rsidRPr="00986D12">
        <w:rPr>
          <w:rFonts w:asciiTheme="minorHAnsi" w:hAnsiTheme="minorHAnsi" w:cstheme="minorHAnsi"/>
        </w:rPr>
        <w:t>Regional presence and implementation of ITU plans (Strategic and Kigali Action Plans)</w:t>
      </w:r>
      <w:bookmarkEnd w:id="27"/>
      <w:bookmarkEnd w:id="28"/>
    </w:p>
    <w:p w14:paraId="378A009B"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Regional Presence Is Central to Implementing the Strategic and Kigali Action Plans</w:t>
      </w:r>
      <w:r>
        <w:rPr>
          <w:rFonts w:asciiTheme="minorHAnsi" w:hAnsiTheme="minorHAnsi" w:cstheme="minorHAnsi"/>
        </w:rPr>
        <w:t xml:space="preserve"> </w:t>
      </w:r>
      <w:r w:rsidRPr="00986D12">
        <w:rPr>
          <w:rFonts w:asciiTheme="minorHAnsi" w:hAnsiTheme="minorHAnsi" w:cstheme="minorHAnsi"/>
        </w:rPr>
        <w:t xml:space="preserve">Regional and Area Offices provide the operational backbone for delivering ITU’s programmes, regional initiatives, and capacity-building. </w:t>
      </w:r>
    </w:p>
    <w:p w14:paraId="444618CB"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Their support spans projects, technical assistance, policy dialogue, and regional events, all aligned with ITU’s strategic and financial frameworks. </w:t>
      </w:r>
    </w:p>
    <w:p w14:paraId="5031FF75"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Regional events represent 36% of all global ITU events (2022–2025), demonstrating their substantial contribution to global implementation. </w:t>
      </w:r>
    </w:p>
    <w:p w14:paraId="292211EF" w14:textId="77777777" w:rsidR="00617FC9" w:rsidRPr="00986D12" w:rsidRDefault="00617FC9" w:rsidP="00617FC9">
      <w:pPr>
        <w:pStyle w:val="Heading3"/>
        <w:numPr>
          <w:ilvl w:val="2"/>
          <w:numId w:val="0"/>
        </w:numPr>
        <w:tabs>
          <w:tab w:val="clear" w:pos="567"/>
          <w:tab w:val="clear" w:pos="1134"/>
          <w:tab w:val="clear" w:pos="1701"/>
          <w:tab w:val="clear" w:pos="2268"/>
          <w:tab w:val="clear" w:pos="2835"/>
        </w:tabs>
        <w:overflowPunct/>
        <w:autoSpaceDE/>
        <w:autoSpaceDN/>
        <w:adjustRightInd/>
        <w:spacing w:before="360" w:after="240"/>
        <w:ind w:left="505" w:hanging="505"/>
        <w:jc w:val="both"/>
        <w:textAlignment w:val="auto"/>
        <w:rPr>
          <w:rFonts w:asciiTheme="minorHAnsi" w:hAnsiTheme="minorHAnsi" w:cstheme="minorHAnsi"/>
        </w:rPr>
      </w:pPr>
      <w:bookmarkStart w:id="29" w:name="_Toc225163557"/>
      <w:bookmarkStart w:id="30" w:name="_Toc226580559"/>
      <w:r w:rsidRPr="00986D12">
        <w:rPr>
          <w:rFonts w:asciiTheme="minorHAnsi" w:hAnsiTheme="minorHAnsi" w:cstheme="minorHAnsi"/>
        </w:rPr>
        <w:t>Positive internal recognition of regional value</w:t>
      </w:r>
      <w:bookmarkEnd w:id="29"/>
      <w:bookmarkEnd w:id="30"/>
    </w:p>
    <w:p w14:paraId="1B16BCEB"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Staff recognize the contribution of the regional presence:</w:t>
      </w:r>
    </w:p>
    <w:p w14:paraId="525A3499" w14:textId="77777777" w:rsidR="00617FC9" w:rsidRPr="0091095C" w:rsidRDefault="00617FC9" w:rsidP="00617FC9">
      <w:pPr>
        <w:pStyle w:val="Bulletlist"/>
        <w:jc w:val="both"/>
        <w:rPr>
          <w:rFonts w:asciiTheme="minorHAnsi" w:eastAsia="Times New Roman" w:hAnsiTheme="minorHAnsi" w:cstheme="minorHAnsi"/>
          <w:sz w:val="24"/>
          <w:szCs w:val="20"/>
          <w:lang w:eastAsia="en-US"/>
        </w:rPr>
      </w:pPr>
      <w:r w:rsidRPr="0091095C">
        <w:rPr>
          <w:rFonts w:asciiTheme="minorHAnsi" w:eastAsia="Times New Roman" w:hAnsiTheme="minorHAnsi" w:cstheme="minorHAnsi"/>
          <w:sz w:val="24"/>
          <w:szCs w:val="20"/>
          <w:lang w:eastAsia="en-US"/>
        </w:rPr>
        <w:t>81–82% believe that engagement of regional staff in ITU events improves coordination and communication.</w:t>
      </w:r>
    </w:p>
    <w:p w14:paraId="69A0B862" w14:textId="77777777" w:rsidR="00617FC9" w:rsidRPr="0091095C" w:rsidRDefault="00617FC9" w:rsidP="00617FC9">
      <w:pPr>
        <w:pStyle w:val="Bulletlist"/>
        <w:jc w:val="both"/>
        <w:rPr>
          <w:rFonts w:asciiTheme="minorHAnsi" w:eastAsia="Times New Roman" w:hAnsiTheme="minorHAnsi" w:cstheme="minorHAnsi"/>
          <w:sz w:val="24"/>
          <w:szCs w:val="20"/>
          <w:lang w:eastAsia="en-US"/>
        </w:rPr>
      </w:pPr>
      <w:r w:rsidRPr="0091095C">
        <w:rPr>
          <w:rFonts w:asciiTheme="minorHAnsi" w:eastAsia="Times New Roman" w:hAnsiTheme="minorHAnsi" w:cstheme="minorHAnsi"/>
          <w:sz w:val="24"/>
          <w:szCs w:val="20"/>
          <w:lang w:eastAsia="en-US"/>
        </w:rPr>
        <w:t xml:space="preserve">Staff express strong support for enhanced training, mobility, and capacity to further strengthen regional delivery. </w:t>
      </w:r>
    </w:p>
    <w:p w14:paraId="55CE6988" w14:textId="77777777" w:rsidR="00617FC9" w:rsidRPr="00986D12" w:rsidRDefault="00617FC9" w:rsidP="00617FC9">
      <w:pPr>
        <w:pStyle w:val="Heading2"/>
      </w:pPr>
      <w:bookmarkStart w:id="31" w:name="_Toc225163558"/>
      <w:bookmarkStart w:id="32" w:name="_Toc226580560"/>
      <w:r w:rsidRPr="00986D12">
        <w:t xml:space="preserve">Areas for </w:t>
      </w:r>
      <w:r w:rsidRPr="000E12EC">
        <w:t>improvement</w:t>
      </w:r>
      <w:bookmarkEnd w:id="31"/>
      <w:bookmarkEnd w:id="32"/>
      <w:r w:rsidRPr="00986D12">
        <w:t xml:space="preserve"> </w:t>
      </w:r>
    </w:p>
    <w:p w14:paraId="6AB36FC1" w14:textId="77777777" w:rsidR="00617FC9" w:rsidRPr="00986D12" w:rsidRDefault="00617FC9" w:rsidP="00617FC9">
      <w:pPr>
        <w:pStyle w:val="Heading3"/>
        <w:numPr>
          <w:ilvl w:val="2"/>
          <w:numId w:val="0"/>
        </w:numPr>
        <w:tabs>
          <w:tab w:val="clear" w:pos="567"/>
          <w:tab w:val="clear" w:pos="1134"/>
          <w:tab w:val="clear" w:pos="1701"/>
          <w:tab w:val="clear" w:pos="2268"/>
          <w:tab w:val="clear" w:pos="2835"/>
        </w:tabs>
        <w:overflowPunct/>
        <w:autoSpaceDE/>
        <w:autoSpaceDN/>
        <w:adjustRightInd/>
        <w:spacing w:before="360" w:after="240"/>
        <w:ind w:left="505" w:hanging="505"/>
        <w:jc w:val="both"/>
        <w:textAlignment w:val="auto"/>
        <w:rPr>
          <w:rFonts w:asciiTheme="minorHAnsi" w:hAnsiTheme="minorHAnsi" w:cstheme="minorHAnsi"/>
        </w:rPr>
      </w:pPr>
      <w:bookmarkStart w:id="33" w:name="_Toc225163559"/>
      <w:bookmarkStart w:id="34" w:name="_Toc226580561"/>
      <w:r w:rsidRPr="00986D12">
        <w:rPr>
          <w:rFonts w:asciiTheme="minorHAnsi" w:hAnsiTheme="minorHAnsi" w:cstheme="minorHAnsi"/>
        </w:rPr>
        <w:t>Aligning resources with operational expectations</w:t>
      </w:r>
      <w:bookmarkEnd w:id="33"/>
      <w:bookmarkEnd w:id="34"/>
    </w:p>
    <w:p w14:paraId="00D327CB"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While regional presence is widely valued, evidence suggests that the scale of operational expectations placed on regional offices may exceed available resources in some contexts. Survey responses and stakeholder feedback indicate strong support for strengthening regional presence through additional human and financial resources and expanded project activities. </w:t>
      </w:r>
    </w:p>
    <w:p w14:paraId="3FAA40B5"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Resource availability influences the pace and scale at which regional initiatives and projects can be implemented. Stakeholders note that predictable funding mechanisms and sufficient staffing capacity are important enabling factors for effective delivery of regional activities. </w:t>
      </w:r>
    </w:p>
    <w:p w14:paraId="01812ECF" w14:textId="77777777" w:rsidR="00617FC9" w:rsidRPr="00986D12" w:rsidRDefault="00617FC9" w:rsidP="00617FC9">
      <w:pPr>
        <w:pStyle w:val="Heading3"/>
        <w:numPr>
          <w:ilvl w:val="2"/>
          <w:numId w:val="0"/>
        </w:numPr>
        <w:tabs>
          <w:tab w:val="clear" w:pos="567"/>
          <w:tab w:val="clear" w:pos="1134"/>
          <w:tab w:val="clear" w:pos="1701"/>
          <w:tab w:val="clear" w:pos="2268"/>
          <w:tab w:val="clear" w:pos="2835"/>
        </w:tabs>
        <w:overflowPunct/>
        <w:autoSpaceDE/>
        <w:autoSpaceDN/>
        <w:adjustRightInd/>
        <w:spacing w:before="360" w:after="240"/>
        <w:ind w:left="505" w:hanging="505"/>
        <w:jc w:val="both"/>
        <w:textAlignment w:val="auto"/>
        <w:rPr>
          <w:rFonts w:asciiTheme="minorHAnsi" w:hAnsiTheme="minorHAnsi" w:cstheme="minorHAnsi"/>
        </w:rPr>
      </w:pPr>
      <w:bookmarkStart w:id="35" w:name="_Toc225163560"/>
      <w:bookmarkStart w:id="36" w:name="_Toc226580562"/>
      <w:r w:rsidRPr="00986D12">
        <w:rPr>
          <w:rFonts w:asciiTheme="minorHAnsi" w:hAnsiTheme="minorHAnsi" w:cstheme="minorHAnsi"/>
        </w:rPr>
        <w:t>Strengthening recruitment processes and staffing continuity</w:t>
      </w:r>
      <w:bookmarkEnd w:id="35"/>
      <w:bookmarkEnd w:id="36"/>
    </w:p>
    <w:p w14:paraId="53ED6BFA"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Recruitment processes for regional positions also emerge as an area where improvements could enhance operational capacity. KPI analyses identify recurring vacancies and recruitment timelines that may affect the ability of regional offices to deploy expertise in a timely manner. </w:t>
      </w:r>
    </w:p>
    <w:p w14:paraId="5654392D"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Survey responses similarly suggest moderate satisfaction with recruitment processes for project managers and technical experts, indicating scope for strengthening recruitment tools and staffing mobility mechanisms. Improving the efficiency of recruitment processes could help ensure that regional offices maintain adequate expertise to respond to operational demands. </w:t>
      </w:r>
    </w:p>
    <w:p w14:paraId="7822531A" w14:textId="77777777" w:rsidR="00617FC9" w:rsidRPr="00986D12" w:rsidRDefault="00617FC9" w:rsidP="00617FC9">
      <w:pPr>
        <w:pStyle w:val="Heading3"/>
        <w:numPr>
          <w:ilvl w:val="2"/>
          <w:numId w:val="0"/>
        </w:numPr>
        <w:tabs>
          <w:tab w:val="clear" w:pos="567"/>
          <w:tab w:val="clear" w:pos="1134"/>
          <w:tab w:val="clear" w:pos="1701"/>
          <w:tab w:val="clear" w:pos="2268"/>
          <w:tab w:val="clear" w:pos="2835"/>
        </w:tabs>
        <w:overflowPunct/>
        <w:autoSpaceDE/>
        <w:autoSpaceDN/>
        <w:adjustRightInd/>
        <w:spacing w:before="360" w:after="240"/>
        <w:ind w:left="505" w:hanging="505"/>
        <w:jc w:val="both"/>
        <w:textAlignment w:val="auto"/>
        <w:rPr>
          <w:rFonts w:asciiTheme="minorHAnsi" w:hAnsiTheme="minorHAnsi" w:cstheme="minorHAnsi"/>
        </w:rPr>
      </w:pPr>
      <w:bookmarkStart w:id="37" w:name="_Toc225163561"/>
      <w:bookmarkStart w:id="38" w:name="_Toc226580563"/>
      <w:r w:rsidRPr="00986D12">
        <w:rPr>
          <w:rFonts w:asciiTheme="minorHAnsi" w:hAnsiTheme="minorHAnsi" w:cstheme="minorHAnsi"/>
        </w:rPr>
        <w:lastRenderedPageBreak/>
        <w:t>Enhancing partnership implementation and resource mobilization</w:t>
      </w:r>
      <w:bookmarkEnd w:id="37"/>
      <w:bookmarkEnd w:id="38"/>
    </w:p>
    <w:p w14:paraId="57DB11E4"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Although partnerships and collaboration are widely recognized as valuable components of regional presence, survey responses indicate more moderate assessments regarding the effectiveness of partnerships and resource mobilization support. Agreement levels in this area remain positive but lower than in other support functions, suggesting opportunities to further strengthen partnership mechanisms and project development processes. </w:t>
      </w:r>
    </w:p>
    <w:p w14:paraId="0A4A4501"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Stakeholder interviews emphasize the importance of predictable financing arrangements and stronger coordination with regional organizations to translate partnership opportunities into concrete projects and funded initiatives. </w:t>
      </w:r>
      <w:r>
        <w:rPr>
          <w:rFonts w:asciiTheme="minorHAnsi" w:hAnsiTheme="minorHAnsi" w:cstheme="minorHAnsi"/>
        </w:rPr>
        <w:t>The findings indicate that s</w:t>
      </w:r>
      <w:r w:rsidRPr="00986D12">
        <w:rPr>
          <w:rFonts w:asciiTheme="minorHAnsi" w:hAnsiTheme="minorHAnsi" w:cstheme="minorHAnsi"/>
        </w:rPr>
        <w:t xml:space="preserve">trengthening partnership frameworks and improving coordination mechanisms could therefore support more consistent implementation of regional initiatives. </w:t>
      </w:r>
    </w:p>
    <w:p w14:paraId="5E45DD6D" w14:textId="77777777" w:rsidR="00617FC9" w:rsidRPr="00986D12" w:rsidRDefault="00617FC9" w:rsidP="00617FC9">
      <w:pPr>
        <w:pStyle w:val="Heading3"/>
        <w:numPr>
          <w:ilvl w:val="2"/>
          <w:numId w:val="0"/>
        </w:numPr>
        <w:tabs>
          <w:tab w:val="clear" w:pos="567"/>
          <w:tab w:val="clear" w:pos="1134"/>
          <w:tab w:val="clear" w:pos="1701"/>
          <w:tab w:val="clear" w:pos="2268"/>
          <w:tab w:val="clear" w:pos="2835"/>
        </w:tabs>
        <w:overflowPunct/>
        <w:autoSpaceDE/>
        <w:autoSpaceDN/>
        <w:adjustRightInd/>
        <w:spacing w:before="360" w:after="240"/>
        <w:ind w:left="505" w:hanging="505"/>
        <w:jc w:val="both"/>
        <w:textAlignment w:val="auto"/>
        <w:rPr>
          <w:rFonts w:asciiTheme="minorHAnsi" w:hAnsiTheme="minorHAnsi" w:cstheme="minorHAnsi"/>
        </w:rPr>
      </w:pPr>
      <w:bookmarkStart w:id="39" w:name="_Toc225163562"/>
      <w:bookmarkStart w:id="40" w:name="_Toc226580564"/>
      <w:r w:rsidRPr="00986D12">
        <w:rPr>
          <w:rFonts w:asciiTheme="minorHAnsi" w:hAnsiTheme="minorHAnsi" w:cstheme="minorHAnsi"/>
        </w:rPr>
        <w:t>Improving transparency and reporting on regional operations</w:t>
      </w:r>
      <w:bookmarkEnd w:id="39"/>
      <w:bookmarkEnd w:id="40"/>
    </w:p>
    <w:p w14:paraId="394C82ED"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Evidence from surveys and stakeholder feedback also highlights the importance of improved data and reporting on staffing levels, financial resources and implementation activities. Respondents emphasize the value of better information on how regional offices deploy resources and implement projects. </w:t>
      </w:r>
    </w:p>
    <w:p w14:paraId="4747A041" w14:textId="77777777" w:rsidR="00617FC9" w:rsidRPr="00986D12" w:rsidRDefault="00617FC9" w:rsidP="00617FC9">
      <w:pPr>
        <w:jc w:val="both"/>
        <w:rPr>
          <w:rFonts w:asciiTheme="minorHAnsi" w:hAnsiTheme="minorHAnsi" w:cstheme="minorHAnsi"/>
        </w:rPr>
      </w:pPr>
      <w:r>
        <w:rPr>
          <w:rFonts w:asciiTheme="minorHAnsi" w:hAnsiTheme="minorHAnsi" w:cstheme="minorHAnsi"/>
        </w:rPr>
        <w:t>The findings indicate that s</w:t>
      </w:r>
      <w:r w:rsidRPr="00986D12">
        <w:rPr>
          <w:rFonts w:asciiTheme="minorHAnsi" w:hAnsiTheme="minorHAnsi" w:cstheme="minorHAnsi"/>
        </w:rPr>
        <w:t xml:space="preserve">trengthening reporting and transparency mechanisms could enhance oversight, support strategic planning and deepen understanding of operational needs across regions. </w:t>
      </w:r>
    </w:p>
    <w:p w14:paraId="21DBB582" w14:textId="77777777" w:rsidR="00617FC9" w:rsidRDefault="00617FC9" w:rsidP="00617FC9">
      <w:pPr>
        <w:pStyle w:val="Heading2"/>
      </w:pPr>
      <w:bookmarkStart w:id="41" w:name="_Toc225163563"/>
      <w:bookmarkStart w:id="42" w:name="_Toc226580565"/>
      <w:r w:rsidRPr="00986D12">
        <w:t xml:space="preserve">SWOT </w:t>
      </w:r>
      <w:r w:rsidRPr="000E12EC">
        <w:t>analysis</w:t>
      </w:r>
      <w:bookmarkEnd w:id="41"/>
      <w:bookmarkEnd w:id="42"/>
    </w:p>
    <w:p w14:paraId="04CEF22E" w14:textId="77777777" w:rsidR="00617FC9" w:rsidRDefault="00617FC9" w:rsidP="005D0CF3">
      <w:pPr>
        <w:jc w:val="both"/>
      </w:pPr>
      <w:r w:rsidRPr="00344D03">
        <w:t xml:space="preserve">A SWOT (Strengths, Weaknesses, Opportunities and Threats) analysis provides a structured synthesis of internal and external factors influencing performance. In this review, the SWOT analysis is derived from the consolidated findings across the 12 Scopes of Work and </w:t>
      </w:r>
      <w:r>
        <w:t xml:space="preserve">27 </w:t>
      </w:r>
      <w:r w:rsidRPr="00344D03">
        <w:t>KP</w:t>
      </w:r>
      <w:r>
        <w:t>Is</w:t>
      </w:r>
      <w:r w:rsidRPr="00344D03">
        <w:t xml:space="preserve">, complemented by </w:t>
      </w:r>
      <w:r>
        <w:t xml:space="preserve">additional </w:t>
      </w:r>
      <w:r w:rsidRPr="00344D03">
        <w:t xml:space="preserve">evidence from the Membership Survey, stakeholder consultations </w:t>
      </w:r>
      <w:r>
        <w:t>including i</w:t>
      </w:r>
      <w:r w:rsidRPr="00344D03">
        <w:t xml:space="preserve">nternal </w:t>
      </w:r>
      <w:r>
        <w:t>a</w:t>
      </w:r>
      <w:r w:rsidRPr="00344D03">
        <w:t>ssessment, and document analysis. It reflects recurring patterns and converging evidence identified throughout the review rather than standalone assessment.</w:t>
      </w:r>
    </w:p>
    <w:p w14:paraId="110053B7" w14:textId="77777777" w:rsidR="0046236F" w:rsidRDefault="0046236F">
      <w:pPr>
        <w:tabs>
          <w:tab w:val="clear" w:pos="567"/>
          <w:tab w:val="clear" w:pos="1134"/>
          <w:tab w:val="clear" w:pos="1701"/>
          <w:tab w:val="clear" w:pos="2268"/>
          <w:tab w:val="clear" w:pos="2835"/>
        </w:tabs>
        <w:overflowPunct/>
        <w:autoSpaceDE/>
        <w:autoSpaceDN/>
        <w:adjustRightInd/>
        <w:spacing w:before="0"/>
        <w:textAlignment w:val="auto"/>
        <w:rPr>
          <w:b/>
          <w:bCs/>
        </w:rPr>
      </w:pPr>
      <w:r>
        <w:rPr>
          <w:b/>
          <w:bCs/>
        </w:rPr>
        <w:br w:type="page"/>
      </w:r>
    </w:p>
    <w:p w14:paraId="5A9DDB53" w14:textId="34147CB1" w:rsidR="00617FC9" w:rsidRPr="00C630CC" w:rsidRDefault="00617FC9" w:rsidP="00617FC9">
      <w:pPr>
        <w:jc w:val="center"/>
        <w:rPr>
          <w:b/>
          <w:bCs/>
        </w:rPr>
      </w:pPr>
      <w:r w:rsidRPr="00C630CC">
        <w:rPr>
          <w:b/>
          <w:bCs/>
        </w:rPr>
        <w:lastRenderedPageBreak/>
        <w:t>SWOT analysis of regional presence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09"/>
        <w:gridCol w:w="4830"/>
      </w:tblGrid>
      <w:tr w:rsidR="00617FC9" w:rsidRPr="00A852F0" w14:paraId="334066A7" w14:textId="77777777" w:rsidTr="4E8C173D">
        <w:trPr>
          <w:trHeight w:val="454"/>
          <w:tblHeader/>
          <w:tblCellSpacing w:w="15" w:type="dxa"/>
        </w:trPr>
        <w:tc>
          <w:tcPr>
            <w:tcW w:w="0" w:type="auto"/>
            <w:shd w:val="clear" w:color="auto" w:fill="B8CCE4" w:themeFill="accent1" w:themeFillTint="66"/>
            <w:vAlign w:val="center"/>
            <w:hideMark/>
          </w:tcPr>
          <w:p w14:paraId="74F3DE3C" w14:textId="77777777" w:rsidR="00617FC9" w:rsidRPr="00A852F0" w:rsidRDefault="00617FC9" w:rsidP="00696175">
            <w:pPr>
              <w:pStyle w:val="ListParagraph"/>
              <w:numPr>
                <w:ilvl w:val="0"/>
                <w:numId w:val="0"/>
              </w:numPr>
              <w:spacing w:before="0" w:after="0"/>
              <w:ind w:left="360"/>
              <w:rPr>
                <w:rFonts w:asciiTheme="minorHAnsi" w:hAnsiTheme="minorHAnsi" w:cstheme="minorHAnsi"/>
                <w:b/>
              </w:rPr>
            </w:pPr>
            <w:r w:rsidRPr="00A852F0">
              <w:rPr>
                <w:rFonts w:asciiTheme="minorHAnsi" w:hAnsiTheme="minorHAnsi" w:cstheme="minorHAnsi"/>
                <w:noProof/>
              </w:rPr>
              <w:drawing>
                <wp:inline distT="0" distB="0" distL="0" distR="0" wp14:anchorId="1FA9E6CF" wp14:editId="54084B78">
                  <wp:extent cx="202714" cy="180000"/>
                  <wp:effectExtent l="0" t="0" r="6985" b="0"/>
                  <wp:docPr id="8" name="Picture 7">
                    <a:extLst xmlns:a="http://schemas.openxmlformats.org/drawingml/2006/main">
                      <a:ext uri="{FF2B5EF4-FFF2-40B4-BE49-F238E27FC236}">
                        <a16:creationId xmlns:a16="http://schemas.microsoft.com/office/drawing/2014/main" id="{B1F76665-B6F6-AE69-4735-470CAEC149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B1F76665-B6F6-AE69-4735-470CAEC1494C}"/>
                              </a:ext>
                            </a:extLst>
                          </pic:cNvPr>
                          <pic:cNvPicPr>
                            <a:picLocks noChangeAspect="1"/>
                          </pic:cNvPicPr>
                        </pic:nvPicPr>
                        <pic:blipFill>
                          <a:blip r:embed="rId14"/>
                          <a:srcRect l="17999" t="9028" r="58859" b="60149"/>
                          <a:stretch>
                            <a:fillRect/>
                          </a:stretch>
                        </pic:blipFill>
                        <pic:spPr>
                          <a:xfrm>
                            <a:off x="0" y="0"/>
                            <a:ext cx="202714" cy="180000"/>
                          </a:xfrm>
                          <a:prstGeom prst="rect">
                            <a:avLst/>
                          </a:prstGeom>
                        </pic:spPr>
                      </pic:pic>
                    </a:graphicData>
                  </a:graphic>
                </wp:inline>
              </w:drawing>
            </w:r>
            <w:r w:rsidRPr="00A852F0">
              <w:rPr>
                <w:rFonts w:asciiTheme="minorHAnsi" w:hAnsiTheme="minorHAnsi" w:cstheme="minorHAnsi"/>
                <w:b/>
                <w:sz w:val="20"/>
              </w:rPr>
              <w:t xml:space="preserve"> Strengths</w:t>
            </w:r>
          </w:p>
        </w:tc>
        <w:tc>
          <w:tcPr>
            <w:tcW w:w="0" w:type="auto"/>
            <w:shd w:val="clear" w:color="auto" w:fill="D9D9D9" w:themeFill="background1" w:themeFillShade="D9"/>
            <w:vAlign w:val="center"/>
            <w:hideMark/>
          </w:tcPr>
          <w:p w14:paraId="4AA190E4" w14:textId="77777777" w:rsidR="00617FC9" w:rsidRPr="00A852F0" w:rsidRDefault="00617FC9" w:rsidP="00696175">
            <w:pPr>
              <w:pStyle w:val="ListParagraph"/>
              <w:numPr>
                <w:ilvl w:val="0"/>
                <w:numId w:val="0"/>
              </w:numPr>
              <w:spacing w:before="0" w:after="0"/>
              <w:ind w:left="360"/>
              <w:rPr>
                <w:rFonts w:asciiTheme="minorHAnsi" w:hAnsiTheme="minorHAnsi" w:cstheme="minorHAnsi"/>
              </w:rPr>
            </w:pPr>
            <w:r w:rsidRPr="00A852F0">
              <w:rPr>
                <w:rFonts w:asciiTheme="minorHAnsi" w:hAnsiTheme="minorHAnsi" w:cstheme="minorHAnsi"/>
                <w:noProof/>
              </w:rPr>
              <w:drawing>
                <wp:inline distT="0" distB="0" distL="0" distR="0" wp14:anchorId="5D44243E" wp14:editId="1A2F3CB6">
                  <wp:extent cx="186816" cy="180000"/>
                  <wp:effectExtent l="0" t="0" r="3810" b="0"/>
                  <wp:docPr id="1913192802" name="Picture 6">
                    <a:extLst xmlns:a="http://schemas.openxmlformats.org/drawingml/2006/main">
                      <a:ext uri="{FF2B5EF4-FFF2-40B4-BE49-F238E27FC236}">
                        <a16:creationId xmlns:a16="http://schemas.microsoft.com/office/drawing/2014/main" id="{1F5E8083-76A2-7F31-5A7C-103772D8F0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F5E8083-76A2-7F31-5A7C-103772D8F043}"/>
                              </a:ext>
                            </a:extLst>
                          </pic:cNvPr>
                          <pic:cNvPicPr>
                            <a:picLocks noChangeAspect="1"/>
                          </pic:cNvPicPr>
                        </pic:nvPicPr>
                        <pic:blipFill>
                          <a:blip r:embed="rId14"/>
                          <a:srcRect l="61604" t="11209" r="17818" b="59049"/>
                          <a:stretch>
                            <a:fillRect/>
                          </a:stretch>
                        </pic:blipFill>
                        <pic:spPr>
                          <a:xfrm>
                            <a:off x="0" y="0"/>
                            <a:ext cx="186816" cy="180000"/>
                          </a:xfrm>
                          <a:prstGeom prst="rect">
                            <a:avLst/>
                          </a:prstGeom>
                        </pic:spPr>
                      </pic:pic>
                    </a:graphicData>
                  </a:graphic>
                </wp:inline>
              </w:drawing>
            </w:r>
            <w:r w:rsidRPr="00A852F0">
              <w:rPr>
                <w:rFonts w:asciiTheme="minorHAnsi" w:hAnsiTheme="minorHAnsi" w:cstheme="minorHAnsi"/>
              </w:rPr>
              <w:t xml:space="preserve"> </w:t>
            </w:r>
            <w:r w:rsidRPr="00A852F0">
              <w:rPr>
                <w:rFonts w:asciiTheme="minorHAnsi" w:hAnsiTheme="minorHAnsi" w:cstheme="minorHAnsi"/>
                <w:b/>
              </w:rPr>
              <w:t>Weaknesses</w:t>
            </w:r>
          </w:p>
        </w:tc>
      </w:tr>
      <w:tr w:rsidR="00617FC9" w:rsidRPr="00A852F0" w14:paraId="7D760A6D" w14:textId="77777777" w:rsidTr="4E8C173D">
        <w:trPr>
          <w:tblHeader/>
          <w:tblCellSpacing w:w="15" w:type="dxa"/>
        </w:trPr>
        <w:tc>
          <w:tcPr>
            <w:tcW w:w="0" w:type="auto"/>
            <w:hideMark/>
          </w:tcPr>
          <w:p w14:paraId="48AED6C1" w14:textId="77777777" w:rsidR="00617FC9" w:rsidRPr="007B6BC2" w:rsidRDefault="00617FC9" w:rsidP="007B6BC2">
            <w:pPr>
              <w:pStyle w:val="ListParagraph"/>
              <w:numPr>
                <w:ilvl w:val="0"/>
                <w:numId w:val="79"/>
              </w:numPr>
              <w:spacing w:before="60" w:after="60"/>
              <w:ind w:left="357" w:hanging="357"/>
              <w:contextualSpacing w:val="0"/>
              <w:rPr>
                <w:rFonts w:asciiTheme="minorHAnsi" w:hAnsiTheme="minorHAnsi" w:cstheme="minorHAnsi"/>
              </w:rPr>
            </w:pPr>
            <w:r w:rsidRPr="007B6BC2">
              <w:rPr>
                <w:rFonts w:asciiTheme="minorHAnsi" w:hAnsiTheme="minorHAnsi" w:cstheme="minorHAnsi"/>
              </w:rPr>
              <w:t>Regional presence enjoys strong membership support, with 71% agreeing that regional offices contribute effectively to delivering ITU’s mandate on the ground.</w:t>
            </w:r>
          </w:p>
          <w:p w14:paraId="76718BE4" w14:textId="77777777" w:rsidR="00617FC9" w:rsidRPr="007B6BC2" w:rsidRDefault="00617FC9" w:rsidP="007B6BC2">
            <w:pPr>
              <w:pStyle w:val="ListParagraph"/>
              <w:numPr>
                <w:ilvl w:val="0"/>
                <w:numId w:val="79"/>
              </w:numPr>
              <w:spacing w:before="60" w:after="60"/>
              <w:ind w:left="357" w:hanging="357"/>
              <w:contextualSpacing w:val="0"/>
              <w:rPr>
                <w:rFonts w:asciiTheme="minorHAnsi" w:hAnsiTheme="minorHAnsi" w:cstheme="minorHAnsi"/>
              </w:rPr>
            </w:pPr>
            <w:r w:rsidRPr="007B6BC2">
              <w:rPr>
                <w:rFonts w:asciiTheme="minorHAnsi" w:hAnsiTheme="minorHAnsi" w:cstheme="minorHAnsi"/>
              </w:rPr>
              <w:t xml:space="preserve">Regional offices maintain active engagement with Member States, with 74% of respondents reporting consultation with regional offices during the survey period. </w:t>
            </w:r>
          </w:p>
          <w:p w14:paraId="7D10AB9A" w14:textId="77777777" w:rsidR="00617FC9" w:rsidRPr="007B6BC2" w:rsidRDefault="00617FC9" w:rsidP="007B6BC2">
            <w:pPr>
              <w:pStyle w:val="ListParagraph"/>
              <w:numPr>
                <w:ilvl w:val="0"/>
                <w:numId w:val="79"/>
              </w:numPr>
              <w:spacing w:before="60" w:after="60"/>
              <w:ind w:left="357" w:hanging="357"/>
              <w:contextualSpacing w:val="0"/>
              <w:rPr>
                <w:rFonts w:asciiTheme="minorHAnsi" w:hAnsiTheme="minorHAnsi" w:cstheme="minorHAnsi"/>
              </w:rPr>
            </w:pPr>
            <w:r w:rsidRPr="007B6BC2">
              <w:rPr>
                <w:rFonts w:asciiTheme="minorHAnsi" w:hAnsiTheme="minorHAnsi" w:cstheme="minorHAnsi"/>
              </w:rPr>
              <w:t xml:space="preserve">Dissemination of information and knowledge is widely valued, with 73% agreeing that regional offices effectively share information and data with stakeholders. </w:t>
            </w:r>
          </w:p>
          <w:p w14:paraId="595F462F" w14:textId="77777777" w:rsidR="00DE25F8" w:rsidRPr="007B6BC2" w:rsidRDefault="00617FC9" w:rsidP="007B6BC2">
            <w:pPr>
              <w:pStyle w:val="ListParagraph"/>
              <w:numPr>
                <w:ilvl w:val="0"/>
                <w:numId w:val="79"/>
              </w:numPr>
              <w:spacing w:before="60" w:after="60"/>
              <w:ind w:left="357" w:hanging="357"/>
              <w:contextualSpacing w:val="0"/>
              <w:rPr>
                <w:rFonts w:asciiTheme="minorHAnsi" w:hAnsiTheme="minorHAnsi" w:cstheme="minorBidi"/>
              </w:rPr>
            </w:pPr>
            <w:r w:rsidRPr="007B6BC2">
              <w:rPr>
                <w:rFonts w:asciiTheme="minorHAnsi" w:hAnsiTheme="minorHAnsi" w:cstheme="minorHAnsi"/>
              </w:rPr>
              <w:t xml:space="preserve">Regional presence facilitates extensive stakeholder engagement, reflected in more than 1,000 events and 1,500 meetings organized across 109 host countries between 2022 and 2025. </w:t>
            </w:r>
          </w:p>
          <w:p w14:paraId="6530A4EF" w14:textId="2DA977A2" w:rsidR="00617FC9" w:rsidRPr="007B6BC2" w:rsidRDefault="00617FC9" w:rsidP="007B6BC2">
            <w:pPr>
              <w:pStyle w:val="ListParagraph"/>
              <w:numPr>
                <w:ilvl w:val="0"/>
                <w:numId w:val="79"/>
              </w:numPr>
              <w:spacing w:before="60" w:after="60"/>
              <w:ind w:left="357" w:hanging="357"/>
              <w:contextualSpacing w:val="0"/>
              <w:rPr>
                <w:rFonts w:asciiTheme="minorHAnsi" w:hAnsiTheme="minorHAnsi" w:cstheme="minorBidi"/>
              </w:rPr>
            </w:pPr>
            <w:r w:rsidRPr="007B6BC2">
              <w:rPr>
                <w:rFonts w:asciiTheme="minorHAnsi" w:hAnsiTheme="minorHAnsi" w:cstheme="minorBidi"/>
              </w:rPr>
              <w:t xml:space="preserve">Strong collaborative foundations exist within the membership, with 82% of respondents expressing willingness to collaborate with </w:t>
            </w:r>
            <w:r w:rsidR="2A39FE07" w:rsidRPr="007B6BC2">
              <w:rPr>
                <w:rFonts w:asciiTheme="minorHAnsi" w:hAnsiTheme="minorHAnsi" w:cstheme="minorBidi"/>
              </w:rPr>
              <w:t>regional and area offices</w:t>
            </w:r>
            <w:r w:rsidRPr="007B6BC2">
              <w:rPr>
                <w:rFonts w:asciiTheme="minorHAnsi" w:hAnsiTheme="minorHAnsi" w:cstheme="minorBidi"/>
              </w:rPr>
              <w:t>.</w:t>
            </w:r>
          </w:p>
        </w:tc>
        <w:tc>
          <w:tcPr>
            <w:tcW w:w="0" w:type="auto"/>
            <w:hideMark/>
          </w:tcPr>
          <w:p w14:paraId="163441E3" w14:textId="77777777" w:rsidR="00617FC9" w:rsidRPr="007B6BC2" w:rsidRDefault="00617FC9" w:rsidP="007B6BC2">
            <w:pPr>
              <w:pStyle w:val="ListParagraph"/>
              <w:numPr>
                <w:ilvl w:val="0"/>
                <w:numId w:val="79"/>
              </w:numPr>
              <w:spacing w:before="60" w:after="60"/>
              <w:ind w:left="357" w:hanging="357"/>
              <w:contextualSpacing w:val="0"/>
              <w:rPr>
                <w:rFonts w:asciiTheme="minorHAnsi" w:hAnsiTheme="minorHAnsi" w:cstheme="minorHAnsi"/>
              </w:rPr>
            </w:pPr>
            <w:r w:rsidRPr="007B6BC2">
              <w:rPr>
                <w:rFonts w:asciiTheme="minorHAnsi" w:hAnsiTheme="minorHAnsi" w:cstheme="minorHAnsi"/>
              </w:rPr>
              <w:t xml:space="preserve">Operational expectations sometimes exceed available resources, with survey responses highlighting the need for additional staffing and financial capacity to strengthen regional presence. </w:t>
            </w:r>
          </w:p>
          <w:p w14:paraId="6DD06BDE" w14:textId="77777777" w:rsidR="00617FC9" w:rsidRPr="007B6BC2" w:rsidRDefault="00617FC9" w:rsidP="007B6BC2">
            <w:pPr>
              <w:pStyle w:val="ListParagraph"/>
              <w:numPr>
                <w:ilvl w:val="0"/>
                <w:numId w:val="79"/>
              </w:numPr>
              <w:spacing w:before="60" w:after="60"/>
              <w:ind w:left="357" w:hanging="357"/>
              <w:contextualSpacing w:val="0"/>
              <w:rPr>
                <w:rFonts w:asciiTheme="minorHAnsi" w:hAnsiTheme="minorHAnsi" w:cstheme="minorHAnsi"/>
              </w:rPr>
            </w:pPr>
            <w:r w:rsidRPr="007B6BC2">
              <w:rPr>
                <w:rFonts w:asciiTheme="minorHAnsi" w:hAnsiTheme="minorHAnsi" w:cstheme="minorHAnsi"/>
              </w:rPr>
              <w:t xml:space="preserve">Recruitment timelines and recurring vacancies affect the ability of regional offices to fully deploy staffing resources. </w:t>
            </w:r>
          </w:p>
          <w:p w14:paraId="6FC70BA5" w14:textId="77777777" w:rsidR="00617FC9" w:rsidRPr="007B6BC2" w:rsidRDefault="00617FC9" w:rsidP="007B6BC2">
            <w:pPr>
              <w:pStyle w:val="ListParagraph"/>
              <w:numPr>
                <w:ilvl w:val="0"/>
                <w:numId w:val="79"/>
              </w:numPr>
              <w:spacing w:before="60" w:after="60"/>
              <w:ind w:left="357" w:hanging="357"/>
              <w:contextualSpacing w:val="0"/>
              <w:rPr>
                <w:rFonts w:asciiTheme="minorHAnsi" w:hAnsiTheme="minorHAnsi" w:cstheme="minorHAnsi"/>
              </w:rPr>
            </w:pPr>
            <w:r w:rsidRPr="007B6BC2">
              <w:rPr>
                <w:rFonts w:asciiTheme="minorHAnsi" w:hAnsiTheme="minorHAnsi" w:cstheme="minorHAnsi"/>
              </w:rPr>
              <w:t xml:space="preserve">Perceptions of the effectiveness of partnerships and resource mobilization remain moderate compared with other support functions. </w:t>
            </w:r>
          </w:p>
          <w:p w14:paraId="4216BDA4" w14:textId="77777777" w:rsidR="00617FC9" w:rsidRPr="007B6BC2" w:rsidRDefault="00617FC9" w:rsidP="007B6BC2">
            <w:pPr>
              <w:pStyle w:val="ListParagraph"/>
              <w:numPr>
                <w:ilvl w:val="0"/>
                <w:numId w:val="79"/>
              </w:numPr>
              <w:spacing w:before="60" w:after="60"/>
              <w:ind w:left="357" w:hanging="357"/>
              <w:contextualSpacing w:val="0"/>
              <w:rPr>
                <w:rFonts w:asciiTheme="minorHAnsi" w:hAnsiTheme="minorHAnsi" w:cstheme="minorHAnsi"/>
              </w:rPr>
            </w:pPr>
            <w:r w:rsidRPr="007B6BC2">
              <w:rPr>
                <w:rFonts w:asciiTheme="minorHAnsi" w:hAnsiTheme="minorHAnsi" w:cstheme="minorHAnsi"/>
              </w:rPr>
              <w:t>Stakeholders highlight the need for better data on staffing, financial resources and project implementation to strengthen oversight of regional operations.</w:t>
            </w:r>
          </w:p>
        </w:tc>
      </w:tr>
      <w:tr w:rsidR="00617FC9" w:rsidRPr="00A852F0" w14:paraId="7983E2FC" w14:textId="77777777" w:rsidTr="4E8C173D">
        <w:trPr>
          <w:trHeight w:val="454"/>
          <w:tblHeader/>
          <w:tblCellSpacing w:w="15" w:type="dxa"/>
        </w:trPr>
        <w:tc>
          <w:tcPr>
            <w:tcW w:w="0" w:type="auto"/>
            <w:shd w:val="clear" w:color="auto" w:fill="DBE5F1" w:themeFill="accent1" w:themeFillTint="33"/>
            <w:vAlign w:val="center"/>
          </w:tcPr>
          <w:p w14:paraId="347AED3C" w14:textId="77777777" w:rsidR="00617FC9" w:rsidRPr="00A852F0" w:rsidRDefault="00617FC9" w:rsidP="00696175">
            <w:pPr>
              <w:pStyle w:val="ListParagraph"/>
              <w:numPr>
                <w:ilvl w:val="0"/>
                <w:numId w:val="0"/>
              </w:numPr>
              <w:spacing w:before="0" w:after="0"/>
              <w:ind w:left="360"/>
              <w:rPr>
                <w:rFonts w:asciiTheme="minorHAnsi" w:hAnsiTheme="minorHAnsi" w:cstheme="minorHAnsi"/>
                <w:b/>
              </w:rPr>
            </w:pPr>
            <w:r w:rsidRPr="00A852F0">
              <w:rPr>
                <w:rFonts w:asciiTheme="minorHAnsi" w:hAnsiTheme="minorHAnsi" w:cstheme="minorHAnsi"/>
                <w:b/>
                <w:noProof/>
              </w:rPr>
              <w:drawing>
                <wp:inline distT="0" distB="0" distL="0" distR="0" wp14:anchorId="2138D1F5" wp14:editId="1BDB748E">
                  <wp:extent cx="206108" cy="180000"/>
                  <wp:effectExtent l="0" t="0" r="3810" b="0"/>
                  <wp:docPr id="5" name="Picture 4">
                    <a:extLst xmlns:a="http://schemas.openxmlformats.org/drawingml/2006/main">
                      <a:ext uri="{FF2B5EF4-FFF2-40B4-BE49-F238E27FC236}">
                        <a16:creationId xmlns:a16="http://schemas.microsoft.com/office/drawing/2014/main" id="{BBD33814-AC87-9CCA-EF66-695EA59780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BD33814-AC87-9CCA-EF66-695EA597806D}"/>
                              </a:ext>
                            </a:extLst>
                          </pic:cNvPr>
                          <pic:cNvPicPr>
                            <a:picLocks noChangeAspect="1"/>
                          </pic:cNvPicPr>
                        </pic:nvPicPr>
                        <pic:blipFill>
                          <a:blip r:embed="rId14"/>
                          <a:srcRect l="21206" t="60542" r="61091" b="16268"/>
                          <a:stretch>
                            <a:fillRect/>
                          </a:stretch>
                        </pic:blipFill>
                        <pic:spPr>
                          <a:xfrm>
                            <a:off x="0" y="0"/>
                            <a:ext cx="206108" cy="180000"/>
                          </a:xfrm>
                          <a:prstGeom prst="rect">
                            <a:avLst/>
                          </a:prstGeom>
                        </pic:spPr>
                      </pic:pic>
                    </a:graphicData>
                  </a:graphic>
                </wp:inline>
              </w:drawing>
            </w:r>
            <w:r w:rsidRPr="00A852F0">
              <w:rPr>
                <w:rFonts w:asciiTheme="minorHAnsi" w:hAnsiTheme="minorHAnsi" w:cstheme="minorHAnsi"/>
                <w:b/>
              </w:rPr>
              <w:t xml:space="preserve"> Opportunities</w:t>
            </w:r>
          </w:p>
        </w:tc>
        <w:tc>
          <w:tcPr>
            <w:tcW w:w="0" w:type="auto"/>
            <w:shd w:val="clear" w:color="auto" w:fill="F2F2F2" w:themeFill="background1" w:themeFillShade="F2"/>
            <w:vAlign w:val="center"/>
          </w:tcPr>
          <w:p w14:paraId="6AEBF787" w14:textId="77777777" w:rsidR="00617FC9" w:rsidRPr="00A852F0" w:rsidRDefault="00617FC9" w:rsidP="00696175">
            <w:pPr>
              <w:pStyle w:val="ListParagraph"/>
              <w:numPr>
                <w:ilvl w:val="0"/>
                <w:numId w:val="0"/>
              </w:numPr>
              <w:spacing w:before="0" w:after="0"/>
              <w:ind w:left="360"/>
              <w:rPr>
                <w:rFonts w:asciiTheme="minorHAnsi" w:hAnsiTheme="minorHAnsi" w:cstheme="minorHAnsi"/>
                <w:b/>
              </w:rPr>
            </w:pPr>
            <w:r w:rsidRPr="00A852F0">
              <w:rPr>
                <w:rFonts w:asciiTheme="minorHAnsi" w:hAnsiTheme="minorHAnsi" w:cstheme="minorHAnsi"/>
                <w:b/>
                <w:bCs/>
                <w:noProof/>
              </w:rPr>
              <w:drawing>
                <wp:inline distT="0" distB="0" distL="0" distR="0" wp14:anchorId="4D13292D" wp14:editId="731F8906">
                  <wp:extent cx="181645" cy="180000"/>
                  <wp:effectExtent l="0" t="0" r="8890" b="0"/>
                  <wp:docPr id="9" name="Picture 8">
                    <a:extLst xmlns:a="http://schemas.openxmlformats.org/drawingml/2006/main">
                      <a:ext uri="{FF2B5EF4-FFF2-40B4-BE49-F238E27FC236}">
                        <a16:creationId xmlns:a16="http://schemas.microsoft.com/office/drawing/2014/main" id="{76974DCF-D0D9-FCEE-3721-F8F7EFF0C2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76974DCF-D0D9-FCEE-3721-F8F7EFF0C26E}"/>
                              </a:ext>
                            </a:extLst>
                          </pic:cNvPr>
                          <pic:cNvPicPr>
                            <a:picLocks noChangeAspect="1"/>
                          </pic:cNvPicPr>
                        </pic:nvPicPr>
                        <pic:blipFill>
                          <a:blip r:embed="rId14"/>
                          <a:srcRect l="64031" t="60256" r="18580" b="13897"/>
                          <a:stretch>
                            <a:fillRect/>
                          </a:stretch>
                        </pic:blipFill>
                        <pic:spPr>
                          <a:xfrm>
                            <a:off x="0" y="0"/>
                            <a:ext cx="181645" cy="180000"/>
                          </a:xfrm>
                          <a:prstGeom prst="rect">
                            <a:avLst/>
                          </a:prstGeom>
                        </pic:spPr>
                      </pic:pic>
                    </a:graphicData>
                  </a:graphic>
                </wp:inline>
              </w:drawing>
            </w:r>
            <w:r w:rsidRPr="00A852F0">
              <w:rPr>
                <w:rFonts w:asciiTheme="minorHAnsi" w:hAnsiTheme="minorHAnsi" w:cstheme="minorHAnsi"/>
                <w:b/>
                <w:bCs/>
              </w:rPr>
              <w:t xml:space="preserve"> </w:t>
            </w:r>
            <w:r w:rsidRPr="00A852F0">
              <w:rPr>
                <w:rFonts w:asciiTheme="minorHAnsi" w:hAnsiTheme="minorHAnsi" w:cstheme="minorHAnsi"/>
                <w:b/>
              </w:rPr>
              <w:t>Threats</w:t>
            </w:r>
          </w:p>
        </w:tc>
      </w:tr>
      <w:tr w:rsidR="00617FC9" w:rsidRPr="00A852F0" w14:paraId="0AA63228" w14:textId="77777777" w:rsidTr="4E8C173D">
        <w:trPr>
          <w:tblHeader/>
          <w:tblCellSpacing w:w="15" w:type="dxa"/>
        </w:trPr>
        <w:tc>
          <w:tcPr>
            <w:tcW w:w="0" w:type="auto"/>
          </w:tcPr>
          <w:p w14:paraId="53A7E1F2" w14:textId="77777777" w:rsidR="00617FC9" w:rsidRPr="002962AC" w:rsidRDefault="00617FC9" w:rsidP="007B6BC2">
            <w:pPr>
              <w:pStyle w:val="ListParagraph"/>
              <w:numPr>
                <w:ilvl w:val="0"/>
                <w:numId w:val="79"/>
              </w:numPr>
              <w:spacing w:before="60" w:after="60"/>
              <w:ind w:left="357" w:hanging="357"/>
              <w:contextualSpacing w:val="0"/>
              <w:rPr>
                <w:rFonts w:asciiTheme="minorHAnsi" w:hAnsiTheme="minorHAnsi" w:cstheme="minorHAnsi"/>
              </w:rPr>
            </w:pPr>
            <w:r w:rsidRPr="002962AC">
              <w:rPr>
                <w:rFonts w:asciiTheme="minorHAnsi" w:hAnsiTheme="minorHAnsi" w:cstheme="minorHAnsi"/>
              </w:rPr>
              <w:t xml:space="preserve">High willingness among members to collaborate provides opportunities to expand partnership-based initiatives and joint projects. </w:t>
            </w:r>
          </w:p>
          <w:p w14:paraId="6A93D941" w14:textId="77777777" w:rsidR="00617FC9" w:rsidRPr="002962AC" w:rsidRDefault="00617FC9" w:rsidP="007B6BC2">
            <w:pPr>
              <w:pStyle w:val="ListParagraph"/>
              <w:numPr>
                <w:ilvl w:val="0"/>
                <w:numId w:val="79"/>
              </w:numPr>
              <w:spacing w:before="60" w:after="60"/>
              <w:ind w:left="357" w:hanging="357"/>
              <w:contextualSpacing w:val="0"/>
              <w:rPr>
                <w:rFonts w:asciiTheme="minorHAnsi" w:hAnsiTheme="minorHAnsi" w:cstheme="minorHAnsi"/>
              </w:rPr>
            </w:pPr>
            <w:r w:rsidRPr="002962AC">
              <w:rPr>
                <w:rFonts w:asciiTheme="minorHAnsi" w:hAnsiTheme="minorHAnsi" w:cstheme="minorHAnsi"/>
              </w:rPr>
              <w:t xml:space="preserve">Regional offices already support extensive engagement activities, providing a platform for scaling regional programmes and initiatives. </w:t>
            </w:r>
          </w:p>
          <w:p w14:paraId="4502725F" w14:textId="77777777" w:rsidR="00617FC9" w:rsidRPr="002962AC" w:rsidRDefault="00617FC9" w:rsidP="007B6BC2">
            <w:pPr>
              <w:pStyle w:val="ListParagraph"/>
              <w:numPr>
                <w:ilvl w:val="0"/>
                <w:numId w:val="79"/>
              </w:numPr>
              <w:spacing w:before="60" w:after="60"/>
              <w:ind w:left="357" w:hanging="357"/>
              <w:contextualSpacing w:val="0"/>
              <w:rPr>
                <w:rFonts w:asciiTheme="minorHAnsi" w:hAnsiTheme="minorHAnsi" w:cstheme="minorHAnsi"/>
              </w:rPr>
            </w:pPr>
            <w:r w:rsidRPr="002962AC">
              <w:rPr>
                <w:rFonts w:asciiTheme="minorHAnsi" w:hAnsiTheme="minorHAnsi" w:cstheme="minorHAnsi"/>
              </w:rPr>
              <w:t xml:space="preserve">Strengthening partnership frameworks with regional organizations and UN entities could facilitate co-financed initiatives and project implementation. </w:t>
            </w:r>
          </w:p>
          <w:p w14:paraId="09EA8599" w14:textId="31DF5267" w:rsidR="00617FC9" w:rsidRPr="002962AC" w:rsidRDefault="00BC7ABA" w:rsidP="007B6BC2">
            <w:pPr>
              <w:pStyle w:val="ListParagraph"/>
              <w:numPr>
                <w:ilvl w:val="0"/>
                <w:numId w:val="79"/>
              </w:numPr>
              <w:spacing w:before="60" w:after="60"/>
              <w:ind w:left="357" w:hanging="357"/>
              <w:contextualSpacing w:val="0"/>
              <w:rPr>
                <w:rFonts w:asciiTheme="minorHAnsi" w:hAnsiTheme="minorHAnsi" w:cstheme="minorHAnsi"/>
              </w:rPr>
            </w:pPr>
            <w:r>
              <w:rPr>
                <w:rFonts w:asciiTheme="minorHAnsi" w:hAnsiTheme="minorHAnsi" w:cstheme="minorHAnsi"/>
              </w:rPr>
              <w:t>Aligning</w:t>
            </w:r>
            <w:r w:rsidR="00617FC9" w:rsidRPr="002962AC">
              <w:rPr>
                <w:rFonts w:asciiTheme="minorHAnsi" w:hAnsiTheme="minorHAnsi" w:cstheme="minorHAnsi"/>
              </w:rPr>
              <w:t xml:space="preserve"> staffing capacity and </w:t>
            </w:r>
            <w:r>
              <w:rPr>
                <w:rFonts w:asciiTheme="minorHAnsi" w:hAnsiTheme="minorHAnsi" w:cstheme="minorHAnsi"/>
              </w:rPr>
              <w:t xml:space="preserve">expanding </w:t>
            </w:r>
            <w:r w:rsidR="00617FC9" w:rsidRPr="002962AC">
              <w:rPr>
                <w:rFonts w:asciiTheme="minorHAnsi" w:hAnsiTheme="minorHAnsi" w:cstheme="minorHAnsi"/>
              </w:rPr>
              <w:t>technical expertise could further enhance the ability of regional offices to mobilize resources and deliver projects.</w:t>
            </w:r>
          </w:p>
        </w:tc>
        <w:tc>
          <w:tcPr>
            <w:tcW w:w="0" w:type="auto"/>
          </w:tcPr>
          <w:p w14:paraId="05140551" w14:textId="77777777" w:rsidR="00617FC9" w:rsidRPr="002962AC" w:rsidRDefault="00617FC9" w:rsidP="007B6BC2">
            <w:pPr>
              <w:pStyle w:val="ListParagraph"/>
              <w:numPr>
                <w:ilvl w:val="0"/>
                <w:numId w:val="79"/>
              </w:numPr>
              <w:spacing w:before="60" w:after="60"/>
              <w:ind w:left="357" w:hanging="357"/>
              <w:contextualSpacing w:val="0"/>
              <w:rPr>
                <w:rFonts w:asciiTheme="minorHAnsi" w:hAnsiTheme="minorHAnsi" w:cstheme="minorHAnsi"/>
              </w:rPr>
            </w:pPr>
            <w:r w:rsidRPr="002962AC">
              <w:rPr>
                <w:rFonts w:asciiTheme="minorHAnsi" w:hAnsiTheme="minorHAnsi" w:cstheme="minorHAnsi"/>
              </w:rPr>
              <w:t xml:space="preserve">High consultation rates with regional offices reflect growing demand for support, potentially increasing pressure on limited staffing resources. </w:t>
            </w:r>
          </w:p>
          <w:p w14:paraId="6C1CB9E2" w14:textId="77777777" w:rsidR="00617FC9" w:rsidRPr="002962AC" w:rsidRDefault="00617FC9" w:rsidP="007B6BC2">
            <w:pPr>
              <w:pStyle w:val="ListParagraph"/>
              <w:numPr>
                <w:ilvl w:val="0"/>
                <w:numId w:val="79"/>
              </w:numPr>
              <w:spacing w:before="60" w:after="60"/>
              <w:ind w:left="357" w:hanging="357"/>
              <w:contextualSpacing w:val="0"/>
              <w:rPr>
                <w:rFonts w:asciiTheme="minorHAnsi" w:hAnsiTheme="minorHAnsi" w:cstheme="minorHAnsi"/>
              </w:rPr>
            </w:pPr>
            <w:r w:rsidRPr="002962AC">
              <w:rPr>
                <w:rFonts w:asciiTheme="minorHAnsi" w:hAnsiTheme="minorHAnsi" w:cstheme="minorHAnsi"/>
              </w:rPr>
              <w:t xml:space="preserve">Implementation of regional initiatives may depend on predictable financing arrangements and partnership mechanisms that are not always secured early in project cycles. </w:t>
            </w:r>
          </w:p>
          <w:p w14:paraId="2513FB8E" w14:textId="77777777" w:rsidR="00617FC9" w:rsidRPr="002962AC" w:rsidRDefault="00617FC9" w:rsidP="007B6BC2">
            <w:pPr>
              <w:pStyle w:val="ListParagraph"/>
              <w:numPr>
                <w:ilvl w:val="0"/>
                <w:numId w:val="79"/>
              </w:numPr>
              <w:spacing w:before="60" w:after="60"/>
              <w:ind w:left="357" w:hanging="357"/>
              <w:contextualSpacing w:val="0"/>
              <w:rPr>
                <w:rFonts w:asciiTheme="minorHAnsi" w:hAnsiTheme="minorHAnsi" w:cstheme="minorHAnsi"/>
              </w:rPr>
            </w:pPr>
            <w:r w:rsidRPr="002962AC">
              <w:rPr>
                <w:rFonts w:asciiTheme="minorHAnsi" w:hAnsiTheme="minorHAnsi" w:cstheme="minorHAnsi"/>
              </w:rPr>
              <w:t>Expanding regional programmes and partnerships may require additional technical expertise and coordination capacity across ITU sectors.</w:t>
            </w:r>
          </w:p>
        </w:tc>
      </w:tr>
    </w:tbl>
    <w:p w14:paraId="24DEEB85" w14:textId="77777777" w:rsidR="00617FC9" w:rsidRPr="00986D12" w:rsidRDefault="00617FC9" w:rsidP="00617FC9">
      <w:pPr>
        <w:pStyle w:val="Heading2"/>
      </w:pPr>
      <w:bookmarkStart w:id="43" w:name="_Toc225163564"/>
      <w:bookmarkStart w:id="44" w:name="_Toc226580566"/>
      <w:r w:rsidRPr="00986D12">
        <w:t>Conclusion</w:t>
      </w:r>
      <w:bookmarkEnd w:id="43"/>
      <w:bookmarkEnd w:id="44"/>
    </w:p>
    <w:p w14:paraId="16FE0FA1" w14:textId="77777777" w:rsidR="00617FC9" w:rsidRDefault="00617FC9" w:rsidP="00617FC9">
      <w:pPr>
        <w:jc w:val="both"/>
        <w:rPr>
          <w:rFonts w:asciiTheme="minorHAnsi" w:hAnsiTheme="minorHAnsi" w:cstheme="minorBidi"/>
        </w:rPr>
      </w:pPr>
      <w:r w:rsidRPr="0EDB9B28">
        <w:rPr>
          <w:rFonts w:asciiTheme="minorHAnsi" w:hAnsiTheme="minorHAnsi" w:cstheme="minorBidi"/>
        </w:rPr>
        <w:t xml:space="preserve">This report with its findings affirms that the Regional and Area Offices play a pivotal role in delivering the ITU Strategic Plan and the ITU-D Action Plan. They serve as trusted interfaces with Member States, facilitate broad and inclusive participation in ITU activities, and support a significant share of regional projects, </w:t>
      </w:r>
      <w:r w:rsidRPr="57A998ED">
        <w:rPr>
          <w:rFonts w:asciiTheme="minorHAnsi" w:hAnsiTheme="minorHAnsi" w:cstheme="minorBidi"/>
        </w:rPr>
        <w:t>capacity building</w:t>
      </w:r>
      <w:r w:rsidRPr="0EDB9B28">
        <w:rPr>
          <w:rFonts w:asciiTheme="minorHAnsi" w:hAnsiTheme="minorHAnsi" w:cstheme="minorBidi"/>
        </w:rPr>
        <w:t xml:space="preserve">, and policy dialogue. The regional presence is viewed as responsive, accessible, and effective, with strong satisfaction from Member States and partners across all regions. The evidence consistently highlights the professionalism and dedication of </w:t>
      </w:r>
      <w:r w:rsidRPr="0EDB9B28">
        <w:rPr>
          <w:rFonts w:asciiTheme="minorHAnsi" w:hAnsiTheme="minorHAnsi" w:cstheme="minorBidi"/>
        </w:rPr>
        <w:lastRenderedPageBreak/>
        <w:t xml:space="preserve">regional teams and underscores their role as key convenors of stakeholders and catalysts for digital transformation. </w:t>
      </w:r>
    </w:p>
    <w:p w14:paraId="2BAA63D0" w14:textId="77777777" w:rsidR="00617FC9" w:rsidRDefault="00617FC9" w:rsidP="00617FC9">
      <w:pPr>
        <w:jc w:val="both"/>
        <w:rPr>
          <w:rFonts w:asciiTheme="minorHAnsi" w:hAnsiTheme="minorHAnsi" w:cstheme="minorBidi"/>
        </w:rPr>
      </w:pPr>
      <w:r w:rsidRPr="0EDB9B28">
        <w:rPr>
          <w:rFonts w:asciiTheme="minorHAnsi" w:hAnsiTheme="minorHAnsi" w:cstheme="minorBidi"/>
        </w:rPr>
        <w:t xml:space="preserve">While the review also highlights areas where processes, resources, and expertise could be further enhanced, these are best viewed as opportunities to build on a solid and </w:t>
      </w:r>
      <w:r w:rsidRPr="57A998ED">
        <w:rPr>
          <w:rFonts w:asciiTheme="minorHAnsi" w:hAnsiTheme="minorHAnsi" w:cstheme="minorBidi"/>
        </w:rPr>
        <w:t>well</w:t>
      </w:r>
      <w:r w:rsidRPr="608BDFBC">
        <w:rPr>
          <w:rFonts w:asciiTheme="minorHAnsi" w:hAnsiTheme="minorHAnsi" w:cstheme="minorBidi"/>
        </w:rPr>
        <w:t>-</w:t>
      </w:r>
      <w:r w:rsidRPr="57A998ED">
        <w:rPr>
          <w:rFonts w:asciiTheme="minorHAnsi" w:hAnsiTheme="minorHAnsi" w:cstheme="minorBidi"/>
        </w:rPr>
        <w:t>functioning</w:t>
      </w:r>
      <w:r w:rsidRPr="0EDB9B28">
        <w:rPr>
          <w:rFonts w:asciiTheme="minorHAnsi" w:hAnsiTheme="minorHAnsi" w:cstheme="minorBidi"/>
        </w:rPr>
        <w:t xml:space="preserve"> foundation—enabling the regional presence to respond even more effectively to evolving Member expectations and the growing complexity of the digital development landscape. These include </w:t>
      </w:r>
      <w:r>
        <w:rPr>
          <w:rFonts w:asciiTheme="minorHAnsi" w:hAnsiTheme="minorHAnsi" w:cstheme="minorBidi"/>
        </w:rPr>
        <w:t xml:space="preserve">streamlining </w:t>
      </w:r>
      <w:r w:rsidRPr="0EDB9B28">
        <w:rPr>
          <w:rFonts w:asciiTheme="minorHAnsi" w:hAnsiTheme="minorHAnsi" w:cstheme="minorBidi"/>
        </w:rPr>
        <w:t>human and financial resources</w:t>
      </w:r>
      <w:r>
        <w:rPr>
          <w:rFonts w:asciiTheme="minorHAnsi" w:hAnsiTheme="minorHAnsi" w:cstheme="minorBidi"/>
        </w:rPr>
        <w:t xml:space="preserve"> and</w:t>
      </w:r>
      <w:r w:rsidRPr="0EDB9B28">
        <w:rPr>
          <w:rFonts w:asciiTheme="minorHAnsi" w:hAnsiTheme="minorHAnsi" w:cstheme="minorBidi"/>
        </w:rPr>
        <w:t xml:space="preserve"> internal processes, deepening </w:t>
      </w:r>
      <w:r w:rsidRPr="57A998ED">
        <w:rPr>
          <w:rFonts w:asciiTheme="minorHAnsi" w:hAnsiTheme="minorHAnsi" w:cstheme="minorBidi"/>
        </w:rPr>
        <w:t>cross sector</w:t>
      </w:r>
      <w:r w:rsidRPr="0EDB9B28">
        <w:rPr>
          <w:rFonts w:asciiTheme="minorHAnsi" w:hAnsiTheme="minorHAnsi" w:cstheme="minorBidi"/>
        </w:rPr>
        <w:t xml:space="preserve"> coordination, enhancing access to technical expertise, improving reporting and financial visibility, and reinforcing partnerships and resource mobilization mechanisms</w:t>
      </w:r>
      <w:r>
        <w:rPr>
          <w:rFonts w:asciiTheme="minorHAnsi" w:hAnsiTheme="minorHAnsi" w:cstheme="minorBidi"/>
        </w:rPr>
        <w:t xml:space="preserve"> to the extent feasible</w:t>
      </w:r>
      <w:r w:rsidRPr="0EDB9B28">
        <w:rPr>
          <w:rFonts w:asciiTheme="minorHAnsi" w:hAnsiTheme="minorHAnsi" w:cstheme="minorBidi"/>
        </w:rPr>
        <w:t xml:space="preserve">. Stakeholders across the system—Member States, regional organizations, and ITU staff—express strong </w:t>
      </w:r>
      <w:r>
        <w:rPr>
          <w:rFonts w:asciiTheme="minorHAnsi" w:hAnsiTheme="minorHAnsi" w:cstheme="minorBidi"/>
        </w:rPr>
        <w:t xml:space="preserve">support </w:t>
      </w:r>
      <w:r w:rsidRPr="0EDB9B28">
        <w:rPr>
          <w:rFonts w:asciiTheme="minorHAnsi" w:hAnsiTheme="minorHAnsi" w:cstheme="minorBidi"/>
        </w:rPr>
        <w:t>for further empowering the regional presence to meet growing demand</w:t>
      </w:r>
      <w:r>
        <w:rPr>
          <w:rFonts w:asciiTheme="minorHAnsi" w:hAnsiTheme="minorHAnsi" w:cstheme="minorBidi"/>
        </w:rPr>
        <w:t>s</w:t>
      </w:r>
      <w:r w:rsidRPr="0EDB9B28">
        <w:rPr>
          <w:rFonts w:asciiTheme="minorHAnsi" w:hAnsiTheme="minorHAnsi" w:cstheme="minorBidi"/>
        </w:rPr>
        <w:t xml:space="preserve"> and navigate an increasingly complex digital landscape. </w:t>
      </w:r>
    </w:p>
    <w:p w14:paraId="42C3F19D" w14:textId="77777777" w:rsidR="00617FC9" w:rsidRPr="003F28BC" w:rsidRDefault="00617FC9" w:rsidP="00617FC9">
      <w:pPr>
        <w:jc w:val="both"/>
        <w:rPr>
          <w:rFonts w:asciiTheme="minorHAnsi" w:hAnsiTheme="minorHAnsi" w:cstheme="minorHAnsi"/>
        </w:rPr>
      </w:pPr>
      <w:r w:rsidRPr="003F28BC">
        <w:rPr>
          <w:rFonts w:asciiTheme="minorHAnsi" w:hAnsiTheme="minorHAnsi" w:cstheme="minorHAnsi"/>
        </w:rPr>
        <w:t xml:space="preserve">Taken together, the findings of this review present a clear and constructive message: ITU’s Regional and Area Offices are a major strategic asset, performing strongly and delivering tangible value. With targeted actions and institutional support, the regional presence can become even more agile, impactful, and aligned with Membership expectations. </w:t>
      </w:r>
    </w:p>
    <w:p w14:paraId="7218DFB6" w14:textId="77777777" w:rsidR="00617FC9" w:rsidRPr="00986D12" w:rsidRDefault="00617FC9" w:rsidP="00617FC9">
      <w:pPr>
        <w:pStyle w:val="Heading1"/>
      </w:pPr>
      <w:bookmarkStart w:id="45" w:name="_Toc225163565"/>
      <w:bookmarkStart w:id="46" w:name="_Toc226580567"/>
      <w:r w:rsidRPr="000E12EC">
        <w:t>Background</w:t>
      </w:r>
      <w:bookmarkEnd w:id="45"/>
      <w:bookmarkEnd w:id="46"/>
    </w:p>
    <w:p w14:paraId="3F4B347D" w14:textId="670597CD" w:rsidR="00617FC9" w:rsidRPr="00986D12" w:rsidRDefault="00617FC9" w:rsidP="00617FC9">
      <w:pPr>
        <w:jc w:val="both"/>
        <w:rPr>
          <w:rFonts w:asciiTheme="minorHAnsi" w:hAnsiTheme="minorHAnsi" w:cstheme="minorHAnsi"/>
          <w:lang w:val="en-US"/>
        </w:rPr>
      </w:pPr>
      <w:r w:rsidRPr="00986D12">
        <w:rPr>
          <w:rFonts w:asciiTheme="minorHAnsi" w:hAnsiTheme="minorHAnsi" w:cstheme="minorHAnsi"/>
          <w:lang w:val="en-US"/>
        </w:rPr>
        <w:t>At its 19</w:t>
      </w:r>
      <w:r w:rsidRPr="00986D12">
        <w:rPr>
          <w:rFonts w:asciiTheme="minorHAnsi" w:hAnsiTheme="minorHAnsi" w:cstheme="minorHAnsi"/>
          <w:vertAlign w:val="superscript"/>
          <w:lang w:val="en-US"/>
        </w:rPr>
        <w:t>th</w:t>
      </w:r>
      <w:r w:rsidRPr="00986D12">
        <w:rPr>
          <w:rFonts w:asciiTheme="minorHAnsi" w:hAnsiTheme="minorHAnsi" w:cstheme="minorHAnsi"/>
          <w:lang w:val="en-US"/>
        </w:rPr>
        <w:t xml:space="preserve"> meeting (30 September – 11 October 2024), the Council Working Group on Financial and Human Resources (CWG-FHR) established an Online Correspondence Group (OCG) to draft the Terms of Reference (ToR) for reviewing the Regional Presence, which is required per </w:t>
      </w:r>
      <w:hyperlink r:id="rId15" w:history="1">
        <w:r w:rsidRPr="00D1139E">
          <w:rPr>
            <w:rStyle w:val="Hyperlink"/>
            <w:rFonts w:asciiTheme="minorHAnsi" w:hAnsiTheme="minorHAnsi" w:cstheme="minorHAnsi"/>
            <w:lang w:val="en-US"/>
          </w:rPr>
          <w:t>Resolution 25</w:t>
        </w:r>
      </w:hyperlink>
      <w:r w:rsidRPr="00D1139E">
        <w:rPr>
          <w:rFonts w:asciiTheme="minorHAnsi" w:hAnsiTheme="minorHAnsi" w:cstheme="minorHAnsi"/>
          <w:lang w:val="en-US"/>
        </w:rPr>
        <w:t xml:space="preserve"> (Rev. Bucharest, 2022)</w:t>
      </w:r>
      <w:r w:rsidRPr="00986D12">
        <w:rPr>
          <w:rFonts w:asciiTheme="minorHAnsi" w:hAnsiTheme="minorHAnsi" w:cstheme="minorHAnsi"/>
          <w:lang w:val="en-US"/>
        </w:rPr>
        <w:t xml:space="preserve"> of the Plenipotentiary on Strengthening the ITU Regional Presence.</w:t>
      </w:r>
    </w:p>
    <w:p w14:paraId="4329847D" w14:textId="77777777" w:rsidR="00617FC9" w:rsidRPr="00986D12" w:rsidRDefault="00617FC9" w:rsidP="00617FC9">
      <w:pPr>
        <w:jc w:val="both"/>
        <w:rPr>
          <w:rFonts w:asciiTheme="minorHAnsi" w:hAnsiTheme="minorHAnsi" w:cstheme="minorHAnsi"/>
          <w:bCs/>
          <w:lang w:val="en-US"/>
        </w:rPr>
      </w:pPr>
      <w:r w:rsidRPr="00986D12">
        <w:rPr>
          <w:rFonts w:asciiTheme="minorHAnsi" w:hAnsiTheme="minorHAnsi" w:cstheme="minorHAnsi"/>
          <w:bCs/>
          <w:lang w:val="en-US"/>
        </w:rPr>
        <w:t>As per Instructs 4 of this Resolution, the Secretary</w:t>
      </w:r>
      <w:r>
        <w:rPr>
          <w:rFonts w:asciiTheme="minorHAnsi" w:hAnsiTheme="minorHAnsi" w:cstheme="minorHAnsi"/>
          <w:bCs/>
          <w:lang w:val="en-US"/>
        </w:rPr>
        <w:t>-</w:t>
      </w:r>
      <w:r w:rsidRPr="00986D12">
        <w:rPr>
          <w:rFonts w:asciiTheme="minorHAnsi" w:hAnsiTheme="minorHAnsi" w:cstheme="minorHAnsi"/>
          <w:bCs/>
          <w:lang w:val="en-US"/>
        </w:rPr>
        <w:t>General is required,</w:t>
      </w:r>
    </w:p>
    <w:p w14:paraId="2ACC8A86" w14:textId="77777777" w:rsidR="00617FC9" w:rsidRPr="00986D12" w:rsidRDefault="00617FC9" w:rsidP="00617FC9">
      <w:pPr>
        <w:jc w:val="both"/>
        <w:rPr>
          <w:rFonts w:asciiTheme="minorHAnsi" w:hAnsiTheme="minorHAnsi" w:cstheme="minorHAnsi"/>
          <w:bCs/>
          <w:lang w:val="en-US"/>
        </w:rPr>
      </w:pPr>
      <w:r w:rsidRPr="00986D12">
        <w:rPr>
          <w:rFonts w:asciiTheme="minorHAnsi" w:hAnsiTheme="minorHAnsi" w:cstheme="minorHAnsi"/>
          <w:bCs/>
          <w:lang w:val="en-US"/>
        </w:rPr>
        <w:t>“</w:t>
      </w:r>
      <w:proofErr w:type="gramStart"/>
      <w:r w:rsidRPr="00986D12">
        <w:rPr>
          <w:rFonts w:asciiTheme="minorHAnsi" w:hAnsiTheme="minorHAnsi" w:cstheme="minorHAnsi"/>
          <w:bCs/>
          <w:lang w:val="en-US"/>
        </w:rPr>
        <w:t>to</w:t>
      </w:r>
      <w:proofErr w:type="gramEnd"/>
      <w:r w:rsidRPr="00986D12">
        <w:rPr>
          <w:rFonts w:asciiTheme="minorHAnsi" w:hAnsiTheme="minorHAnsi" w:cstheme="minorHAnsi"/>
          <w:bCs/>
          <w:lang w:val="en-US"/>
        </w:rPr>
        <w:t xml:space="preserve"> conduct, once every four years, within the existing financial resources, a survey of the level of satisfaction of Member States, Sector Members and regional telecommunication organizations with ITU's regional presence, and to present the results in a report to the session of the Council prior to each plenipotentiary conference”.</w:t>
      </w:r>
    </w:p>
    <w:p w14:paraId="03EB0BBA" w14:textId="4321D084" w:rsidR="00617FC9" w:rsidRPr="00D1139E" w:rsidRDefault="00617FC9" w:rsidP="00D1139E">
      <w:pPr>
        <w:jc w:val="both"/>
        <w:rPr>
          <w:rFonts w:asciiTheme="minorHAnsi" w:hAnsiTheme="minorHAnsi" w:cstheme="minorHAnsi"/>
          <w:lang w:val="en-US"/>
        </w:rPr>
      </w:pPr>
      <w:r w:rsidRPr="00986D12">
        <w:rPr>
          <w:rFonts w:asciiTheme="minorHAnsi" w:hAnsiTheme="minorHAnsi" w:cstheme="minorHAnsi"/>
          <w:lang w:val="en-US"/>
        </w:rPr>
        <w:t>The revised ToR were reviewed at the 20</w:t>
      </w:r>
      <w:r w:rsidRPr="00986D12">
        <w:rPr>
          <w:rFonts w:asciiTheme="minorHAnsi" w:hAnsiTheme="minorHAnsi" w:cstheme="minorHAnsi"/>
          <w:vertAlign w:val="superscript"/>
          <w:lang w:val="en-US"/>
        </w:rPr>
        <w:t>th</w:t>
      </w:r>
      <w:r w:rsidRPr="00986D12">
        <w:rPr>
          <w:rFonts w:asciiTheme="minorHAnsi" w:hAnsiTheme="minorHAnsi" w:cstheme="minorHAnsi"/>
          <w:lang w:val="en-US"/>
        </w:rPr>
        <w:t xml:space="preserve"> meeting of the CWG-FHR (10-21 February 2025). These meeting reports are available in Documents </w:t>
      </w:r>
      <w:hyperlink r:id="rId16" w:history="1">
        <w:r w:rsidRPr="00D1139E">
          <w:rPr>
            <w:rStyle w:val="Hyperlink"/>
            <w:rFonts w:asciiTheme="minorHAnsi" w:hAnsiTheme="minorHAnsi" w:cstheme="minorHAnsi"/>
            <w:lang w:val="en-US"/>
          </w:rPr>
          <w:t>CWG-FHR-19/15</w:t>
        </w:r>
      </w:hyperlink>
      <w:r w:rsidRPr="00986D12">
        <w:rPr>
          <w:rFonts w:asciiTheme="minorHAnsi" w:hAnsiTheme="minorHAnsi" w:cstheme="minorHAnsi"/>
          <w:color w:val="0070C0"/>
          <w:lang w:val="en-US"/>
        </w:rPr>
        <w:t xml:space="preserve"> </w:t>
      </w:r>
      <w:r w:rsidRPr="00986D12">
        <w:rPr>
          <w:rFonts w:asciiTheme="minorHAnsi" w:hAnsiTheme="minorHAnsi" w:cstheme="minorHAnsi"/>
          <w:color w:val="000000" w:themeColor="text1"/>
          <w:lang w:val="en-US"/>
        </w:rPr>
        <w:t>and</w:t>
      </w:r>
      <w:r w:rsidRPr="00986D12">
        <w:rPr>
          <w:rFonts w:asciiTheme="minorHAnsi" w:hAnsiTheme="minorHAnsi" w:cstheme="minorHAnsi"/>
          <w:color w:val="0070C0"/>
          <w:lang w:val="en-US"/>
        </w:rPr>
        <w:t xml:space="preserve"> </w:t>
      </w:r>
      <w:hyperlink r:id="rId17" w:history="1">
        <w:r w:rsidRPr="00D1139E">
          <w:rPr>
            <w:rStyle w:val="Hyperlink"/>
            <w:rFonts w:asciiTheme="minorHAnsi" w:hAnsiTheme="minorHAnsi" w:cstheme="minorHAnsi"/>
            <w:lang w:val="en-US"/>
          </w:rPr>
          <w:t>CWG-FHR-20/32</w:t>
        </w:r>
      </w:hyperlink>
      <w:r w:rsidRPr="00986D12">
        <w:rPr>
          <w:rFonts w:asciiTheme="minorHAnsi" w:hAnsiTheme="minorHAnsi" w:cstheme="minorHAnsi"/>
          <w:color w:val="000000" w:themeColor="text1"/>
          <w:lang w:val="en-US"/>
        </w:rPr>
        <w:t>.</w:t>
      </w:r>
    </w:p>
    <w:p w14:paraId="6B2D9843" w14:textId="77777777" w:rsidR="00617FC9" w:rsidRPr="00986D12" w:rsidRDefault="00617FC9" w:rsidP="00617FC9">
      <w:pPr>
        <w:jc w:val="both"/>
        <w:rPr>
          <w:rFonts w:asciiTheme="minorHAnsi" w:hAnsiTheme="minorHAnsi" w:cstheme="minorHAnsi"/>
          <w:lang w:val="en-US"/>
        </w:rPr>
      </w:pPr>
      <w:r w:rsidRPr="00986D12">
        <w:rPr>
          <w:rFonts w:asciiTheme="minorHAnsi" w:hAnsiTheme="minorHAnsi" w:cstheme="minorHAnsi"/>
          <w:lang w:val="en-US"/>
        </w:rPr>
        <w:t xml:space="preserve">After some deliberation, Council-25 provided the following instructions to the International Telecommunication Union (ITU) secretariat and the Telecommunication Development Bureau (BDT): </w:t>
      </w:r>
    </w:p>
    <w:p w14:paraId="4F373D4C" w14:textId="77777777" w:rsidR="00617FC9" w:rsidRPr="00667052" w:rsidRDefault="00617FC9" w:rsidP="00617FC9">
      <w:pPr>
        <w:pStyle w:val="Bulleta"/>
        <w:jc w:val="both"/>
        <w:rPr>
          <w:rFonts w:asciiTheme="minorHAnsi" w:hAnsiTheme="minorHAnsi" w:cstheme="minorHAnsi"/>
          <w:sz w:val="24"/>
          <w:szCs w:val="24"/>
        </w:rPr>
      </w:pPr>
      <w:r w:rsidRPr="00667052">
        <w:rPr>
          <w:rFonts w:asciiTheme="minorHAnsi" w:hAnsiTheme="minorHAnsi" w:cstheme="minorHAnsi"/>
          <w:sz w:val="24"/>
          <w:szCs w:val="24"/>
        </w:rPr>
        <w:t xml:space="preserve">The review of ITU’s Regional Presence will be conducted by the Secretary-General and supported by the Inter-Sectoral Task Force comprising the Directors of three Bureaux and their nominees, and ITU Regional Directors, and will be chaired by the ITU Deputy Secretary General. </w:t>
      </w:r>
    </w:p>
    <w:p w14:paraId="1537694C" w14:textId="77777777" w:rsidR="00617FC9" w:rsidRPr="00667052" w:rsidRDefault="00617FC9" w:rsidP="00617FC9">
      <w:pPr>
        <w:pStyle w:val="Bulleta"/>
        <w:jc w:val="both"/>
        <w:rPr>
          <w:rFonts w:asciiTheme="minorHAnsi" w:hAnsiTheme="minorHAnsi" w:cstheme="minorHAnsi"/>
          <w:sz w:val="24"/>
          <w:szCs w:val="24"/>
        </w:rPr>
      </w:pPr>
      <w:r w:rsidRPr="00667052">
        <w:rPr>
          <w:rFonts w:asciiTheme="minorHAnsi" w:hAnsiTheme="minorHAnsi" w:cstheme="minorHAnsi"/>
          <w:sz w:val="24"/>
          <w:szCs w:val="24"/>
        </w:rPr>
        <w:t xml:space="preserve">The review will be conducted within the approved ITU budget and existing human resources of the ITU. No external consultancy will be engaged. </w:t>
      </w:r>
    </w:p>
    <w:p w14:paraId="09CF568A" w14:textId="19E8BDF2" w:rsidR="00617FC9" w:rsidRPr="00667052" w:rsidRDefault="00617FC9" w:rsidP="00617FC9">
      <w:pPr>
        <w:pStyle w:val="Bulleta"/>
        <w:jc w:val="both"/>
        <w:rPr>
          <w:rFonts w:asciiTheme="minorHAnsi" w:hAnsiTheme="minorHAnsi" w:cstheme="minorHAnsi"/>
          <w:sz w:val="24"/>
          <w:szCs w:val="24"/>
        </w:rPr>
      </w:pPr>
      <w:r w:rsidRPr="00667052">
        <w:rPr>
          <w:rFonts w:asciiTheme="minorHAnsi" w:hAnsiTheme="minorHAnsi" w:cstheme="minorHAnsi"/>
          <w:sz w:val="24"/>
          <w:szCs w:val="24"/>
        </w:rPr>
        <w:t xml:space="preserve">The Inter-Sectoral Task Force will mainly rely on the input by BDT throughout the review. BDT shall be responsible for conducting Phase 2 (Data collection and initial analysis) of the review. </w:t>
      </w:r>
    </w:p>
    <w:p w14:paraId="72379C02" w14:textId="77777777" w:rsidR="00617FC9" w:rsidRPr="00986D12" w:rsidRDefault="00617FC9" w:rsidP="00617FC9">
      <w:pPr>
        <w:pStyle w:val="Bulleta"/>
        <w:jc w:val="both"/>
        <w:rPr>
          <w:rFonts w:asciiTheme="minorHAnsi" w:hAnsiTheme="minorHAnsi" w:cstheme="minorHAnsi"/>
        </w:rPr>
      </w:pPr>
      <w:r w:rsidRPr="00667052">
        <w:rPr>
          <w:rFonts w:asciiTheme="minorHAnsi" w:hAnsiTheme="minorHAnsi" w:cstheme="minorHAnsi"/>
          <w:sz w:val="24"/>
          <w:szCs w:val="24"/>
        </w:rPr>
        <w:t>Member State engagement is agreed as a critical component of the Review. The Secretary-General will report on the implementation of the Review to CWG-FHR and ITU Council as required</w:t>
      </w:r>
      <w:r w:rsidRPr="00986D12">
        <w:rPr>
          <w:rFonts w:asciiTheme="minorHAnsi" w:hAnsiTheme="minorHAnsi" w:cstheme="minorHAnsi"/>
        </w:rPr>
        <w:t xml:space="preserve">. </w:t>
      </w:r>
    </w:p>
    <w:p w14:paraId="5A68FB8D" w14:textId="77777777" w:rsidR="00617FC9" w:rsidRPr="00986D12" w:rsidRDefault="00617FC9" w:rsidP="00617FC9">
      <w:pPr>
        <w:jc w:val="both"/>
        <w:rPr>
          <w:rFonts w:asciiTheme="minorHAnsi" w:hAnsiTheme="minorHAnsi" w:cstheme="minorHAnsi"/>
          <w:highlight w:val="yellow"/>
          <w:lang w:val="en-US"/>
        </w:rPr>
      </w:pPr>
      <w:r w:rsidRPr="00986D12">
        <w:rPr>
          <w:rFonts w:asciiTheme="minorHAnsi" w:hAnsiTheme="minorHAnsi" w:cstheme="minorHAnsi"/>
          <w:lang w:val="en-US"/>
        </w:rPr>
        <w:lastRenderedPageBreak/>
        <w:t>An Inter-Sectoral Task Force (ISTF) on the review of regional presence has been established, chaired by the Deputy Secretary-General, and includes Directors of the three Bureaux, the Regional Directors, and other representatives from the Development Bureau, Radiocommunication Bureau and Standardization Bureau, as well as the General Secretariat. A meeting was held on 17 July 2025 by the ISTF to plan the actions to be taken and BDT commenced its work thereafter.</w:t>
      </w:r>
    </w:p>
    <w:p w14:paraId="08872FC3" w14:textId="77777777" w:rsidR="00617FC9" w:rsidRPr="00986D12" w:rsidRDefault="00617FC9" w:rsidP="00617FC9">
      <w:pPr>
        <w:jc w:val="both"/>
        <w:rPr>
          <w:rFonts w:asciiTheme="minorHAnsi" w:hAnsiTheme="minorHAnsi" w:cstheme="minorHAnsi"/>
          <w:lang w:val="en-US"/>
        </w:rPr>
      </w:pPr>
      <w:r w:rsidRPr="00986D12">
        <w:rPr>
          <w:rFonts w:asciiTheme="minorHAnsi" w:hAnsiTheme="minorHAnsi" w:cstheme="minorHAnsi"/>
          <w:lang w:val="en-US"/>
        </w:rPr>
        <w:t xml:space="preserve">Accordingly, the review of the ITU Regional Presence is being undertaken per the </w:t>
      </w:r>
      <w:r w:rsidRPr="00986D12" w:rsidDel="001F2A97">
        <w:rPr>
          <w:rFonts w:asciiTheme="minorHAnsi" w:hAnsiTheme="minorHAnsi" w:cstheme="minorHAnsi"/>
          <w:lang w:val="en-US"/>
        </w:rPr>
        <w:t>recommendations</w:t>
      </w:r>
      <w:r w:rsidRPr="00986D12">
        <w:rPr>
          <w:rFonts w:asciiTheme="minorHAnsi" w:hAnsiTheme="minorHAnsi" w:cstheme="minorHAnsi"/>
          <w:lang w:val="en-US"/>
        </w:rPr>
        <w:t xml:space="preserve"> of Council-25 (Report by the Chair of the Standing Committee on Administration and Management, Document </w:t>
      </w:r>
      <w:hyperlink r:id="rId18">
        <w:r w:rsidRPr="00986D12">
          <w:rPr>
            <w:rStyle w:val="Hyperlink"/>
            <w:rFonts w:asciiTheme="minorHAnsi" w:hAnsiTheme="minorHAnsi" w:cstheme="minorHAnsi"/>
            <w:b/>
            <w:color w:val="5F497A" w:themeColor="accent4" w:themeShade="BF"/>
            <w:lang w:val="en-US"/>
          </w:rPr>
          <w:t>C25/105</w:t>
        </w:r>
      </w:hyperlink>
      <w:r w:rsidRPr="00986D12">
        <w:rPr>
          <w:rFonts w:asciiTheme="minorHAnsi" w:hAnsiTheme="minorHAnsi" w:cstheme="minorHAnsi"/>
          <w:color w:val="000000" w:themeColor="text1"/>
          <w:lang w:val="en-US"/>
        </w:rPr>
        <w:t>,</w:t>
      </w:r>
      <w:r w:rsidRPr="00986D12">
        <w:rPr>
          <w:rFonts w:asciiTheme="minorHAnsi" w:hAnsiTheme="minorHAnsi" w:cstheme="minorHAnsi"/>
          <w:color w:val="5F497A" w:themeColor="accent4" w:themeShade="BF"/>
          <w:lang w:val="en-US"/>
        </w:rPr>
        <w:t xml:space="preserve"> </w:t>
      </w:r>
      <w:r w:rsidRPr="00986D12">
        <w:rPr>
          <w:rFonts w:asciiTheme="minorHAnsi" w:hAnsiTheme="minorHAnsi" w:cstheme="minorHAnsi"/>
          <w:lang w:val="en-US"/>
        </w:rPr>
        <w:t>paragraph 26, Annex H, Annex A and Annex 1</w:t>
      </w:r>
      <w:r w:rsidRPr="00986D12">
        <w:rPr>
          <w:rStyle w:val="FootnoteReference"/>
          <w:rFonts w:asciiTheme="minorHAnsi" w:hAnsiTheme="minorHAnsi" w:cstheme="minorHAnsi"/>
          <w:szCs w:val="16"/>
          <w:lang w:val="en-US"/>
        </w:rPr>
        <w:footnoteReference w:id="1"/>
      </w:r>
      <w:r w:rsidRPr="00986D12">
        <w:rPr>
          <w:rFonts w:asciiTheme="minorHAnsi" w:hAnsiTheme="minorHAnsi" w:cstheme="minorHAnsi"/>
          <w:lang w:val="en-US"/>
        </w:rPr>
        <w:t>).</w:t>
      </w:r>
    </w:p>
    <w:p w14:paraId="453FEFA8" w14:textId="77777777" w:rsidR="00617FC9" w:rsidRPr="00986D12" w:rsidRDefault="00617FC9" w:rsidP="00617FC9">
      <w:pPr>
        <w:pStyle w:val="Heading2"/>
      </w:pPr>
      <w:bookmarkStart w:id="47" w:name="_Toc224213023"/>
      <w:bookmarkStart w:id="48" w:name="_Toc225163566"/>
      <w:bookmarkStart w:id="49" w:name="_Toc226580568"/>
      <w:r w:rsidRPr="00986D12">
        <w:t>Structure of the review, timeline, and deliverables</w:t>
      </w:r>
      <w:bookmarkEnd w:id="47"/>
      <w:bookmarkEnd w:id="48"/>
      <w:bookmarkEnd w:id="49"/>
      <w:r w:rsidRPr="00986D12">
        <w:t xml:space="preserve"> </w:t>
      </w:r>
    </w:p>
    <w:p w14:paraId="40D9D321" w14:textId="77777777" w:rsidR="00617FC9" w:rsidRDefault="00617FC9" w:rsidP="00617FC9">
      <w:pPr>
        <w:jc w:val="both"/>
        <w:rPr>
          <w:rFonts w:asciiTheme="minorHAnsi" w:hAnsiTheme="minorHAnsi" w:cstheme="minorHAnsi"/>
          <w:lang w:val="en-US"/>
        </w:rPr>
      </w:pPr>
      <w:r w:rsidRPr="00986D12">
        <w:rPr>
          <w:rFonts w:asciiTheme="minorHAnsi" w:hAnsiTheme="minorHAnsi" w:cstheme="minorHAnsi"/>
          <w:lang w:val="en-US"/>
        </w:rPr>
        <w:t xml:space="preserve">The review spanned 10 months from July 2025 to April 2026. It was carried out in four Phases as set out in Document </w:t>
      </w:r>
      <w:hyperlink r:id="rId19">
        <w:r w:rsidRPr="00986D12">
          <w:rPr>
            <w:rStyle w:val="Hyperlink"/>
            <w:rFonts w:asciiTheme="minorHAnsi" w:hAnsiTheme="minorHAnsi" w:cstheme="minorHAnsi"/>
            <w:color w:val="5F497A" w:themeColor="accent4" w:themeShade="BF"/>
            <w:lang w:val="en-US"/>
          </w:rPr>
          <w:t>C25/69(Rev.1)</w:t>
        </w:r>
      </w:hyperlink>
      <w:r w:rsidRPr="00986D12">
        <w:rPr>
          <w:rFonts w:asciiTheme="minorHAnsi" w:hAnsiTheme="minorHAnsi" w:cstheme="minorHAnsi"/>
          <w:lang w:val="en-US"/>
        </w:rPr>
        <w:t xml:space="preserve"> and as summarized in the table below. All phases have been completed. </w:t>
      </w:r>
    </w:p>
    <w:p w14:paraId="7F855D52" w14:textId="77777777" w:rsidR="00617FC9" w:rsidRDefault="00617FC9" w:rsidP="00617FC9">
      <w:pPr>
        <w:jc w:val="both"/>
        <w:rPr>
          <w:rFonts w:asciiTheme="minorHAnsi" w:hAnsiTheme="minorHAnsi" w:cstheme="minorHAnsi"/>
          <w:lang w:val="en-US"/>
        </w:rPr>
      </w:pPr>
    </w:p>
    <w:tbl>
      <w:tblPr>
        <w:tblStyle w:val="GridTable5Dark-Accent1"/>
        <w:tblW w:w="0" w:type="auto"/>
        <w:tblLook w:val="04A0" w:firstRow="1" w:lastRow="0" w:firstColumn="1" w:lastColumn="0" w:noHBand="0" w:noVBand="1"/>
      </w:tblPr>
      <w:tblGrid>
        <w:gridCol w:w="1635"/>
        <w:gridCol w:w="1951"/>
        <w:gridCol w:w="5479"/>
      </w:tblGrid>
      <w:tr w:rsidR="00617FC9" w14:paraId="11EF50C5" w14:textId="77777777" w:rsidTr="0069617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5" w:type="dxa"/>
          </w:tcPr>
          <w:p w14:paraId="3A5A05CE" w14:textId="77777777" w:rsidR="00617FC9" w:rsidRDefault="00617FC9" w:rsidP="00696175">
            <w:pPr>
              <w:pStyle w:val="Tabletitle0"/>
              <w:rPr>
                <w:rFonts w:asciiTheme="minorHAnsi" w:hAnsiTheme="minorHAnsi" w:cstheme="minorBidi"/>
              </w:rPr>
            </w:pPr>
            <w:r w:rsidRPr="0EDB9B28">
              <w:rPr>
                <w:rFonts w:asciiTheme="minorHAnsi" w:hAnsiTheme="minorHAnsi" w:cstheme="minorBidi"/>
              </w:rPr>
              <w:t xml:space="preserve">Phase </w:t>
            </w:r>
            <w:r>
              <w:br/>
            </w:r>
            <w:r w:rsidRPr="0EDB9B28">
              <w:rPr>
                <w:rFonts w:asciiTheme="minorHAnsi" w:hAnsiTheme="minorHAnsi" w:cstheme="minorBidi"/>
              </w:rPr>
              <w:t xml:space="preserve">(Progress) </w:t>
            </w:r>
          </w:p>
        </w:tc>
        <w:tc>
          <w:tcPr>
            <w:tcW w:w="1951" w:type="dxa"/>
          </w:tcPr>
          <w:p w14:paraId="2A9D82C8" w14:textId="77777777" w:rsidR="00617FC9" w:rsidRDefault="00617FC9" w:rsidP="00696175">
            <w:pPr>
              <w:pStyle w:val="Tabletitle0"/>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Time period</w:t>
            </w:r>
          </w:p>
        </w:tc>
        <w:tc>
          <w:tcPr>
            <w:tcW w:w="5479" w:type="dxa"/>
          </w:tcPr>
          <w:p w14:paraId="77AF0F6A" w14:textId="77777777" w:rsidR="00617FC9" w:rsidRDefault="00617FC9" w:rsidP="00696175">
            <w:pPr>
              <w:pStyle w:val="Tabletitle0"/>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Deliverables</w:t>
            </w:r>
          </w:p>
        </w:tc>
      </w:tr>
      <w:tr w:rsidR="00617FC9" w14:paraId="2C9F3E38" w14:textId="77777777" w:rsidTr="006961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5" w:type="dxa"/>
          </w:tcPr>
          <w:p w14:paraId="24FA4167" w14:textId="77777777" w:rsidR="00617FC9" w:rsidRDefault="00617FC9" w:rsidP="00696175">
            <w:pPr>
              <w:pStyle w:val="Texttable"/>
              <w:rPr>
                <w:rFonts w:asciiTheme="minorHAnsi" w:hAnsiTheme="minorHAnsi" w:cstheme="minorBidi"/>
              </w:rPr>
            </w:pPr>
            <w:r w:rsidRPr="0EDB9B28">
              <w:rPr>
                <w:rFonts w:asciiTheme="minorHAnsi" w:hAnsiTheme="minorHAnsi" w:cstheme="minorBidi"/>
              </w:rPr>
              <w:t>Phase 1: Preliminary assessment</w:t>
            </w:r>
          </w:p>
        </w:tc>
        <w:tc>
          <w:tcPr>
            <w:tcW w:w="1951" w:type="dxa"/>
          </w:tcPr>
          <w:p w14:paraId="2FABC9DC" w14:textId="77777777" w:rsidR="00617FC9"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July – August 2025</w:t>
            </w:r>
          </w:p>
        </w:tc>
        <w:tc>
          <w:tcPr>
            <w:tcW w:w="5479" w:type="dxa"/>
          </w:tcPr>
          <w:p w14:paraId="6C6BD4A9" w14:textId="77777777" w:rsidR="00617FC9" w:rsidRDefault="00617FC9" w:rsidP="00696175">
            <w:pPr>
              <w:pStyle w:val="Tablelis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Formation of the review team and establishment of working protocols.</w:t>
            </w:r>
          </w:p>
          <w:p w14:paraId="7FCA4C21" w14:textId="77777777" w:rsidR="00617FC9" w:rsidRDefault="00617FC9" w:rsidP="00696175">
            <w:pPr>
              <w:pStyle w:val="Tablelis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Articulation of the objective of the review with methodology.</w:t>
            </w:r>
          </w:p>
          <w:p w14:paraId="0ED78E32" w14:textId="77777777" w:rsidR="00617FC9" w:rsidRDefault="00617FC9" w:rsidP="00696175">
            <w:pPr>
              <w:pStyle w:val="Tablelis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Development of tailored tools for data collection (e.g., surveys, interview questions).</w:t>
            </w:r>
          </w:p>
          <w:p w14:paraId="7E76BF8B" w14:textId="77777777" w:rsidR="00617FC9" w:rsidRDefault="00617FC9" w:rsidP="00696175">
            <w:pPr>
              <w:pStyle w:val="Tablelis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Alignment of review metrics with ITU’s KPIs and strategic objectives.</w:t>
            </w:r>
          </w:p>
        </w:tc>
      </w:tr>
      <w:tr w:rsidR="00617FC9" w14:paraId="5258C66C" w14:textId="77777777" w:rsidTr="00696175">
        <w:trPr>
          <w:trHeight w:val="300"/>
        </w:trPr>
        <w:tc>
          <w:tcPr>
            <w:cnfStyle w:val="001000000000" w:firstRow="0" w:lastRow="0" w:firstColumn="1" w:lastColumn="0" w:oddVBand="0" w:evenVBand="0" w:oddHBand="0" w:evenHBand="0" w:firstRowFirstColumn="0" w:firstRowLastColumn="0" w:lastRowFirstColumn="0" w:lastRowLastColumn="0"/>
            <w:tcW w:w="1635" w:type="dxa"/>
          </w:tcPr>
          <w:p w14:paraId="7422B498" w14:textId="77777777" w:rsidR="00617FC9" w:rsidRDefault="00617FC9" w:rsidP="00696175">
            <w:pPr>
              <w:pStyle w:val="Texttable"/>
              <w:rPr>
                <w:rFonts w:asciiTheme="minorHAnsi" w:hAnsiTheme="minorHAnsi" w:cstheme="minorBidi"/>
              </w:rPr>
            </w:pPr>
            <w:r w:rsidRPr="0EDB9B28">
              <w:rPr>
                <w:rFonts w:asciiTheme="minorHAnsi" w:hAnsiTheme="minorHAnsi" w:cstheme="minorBidi"/>
              </w:rPr>
              <w:t xml:space="preserve">Phase 2: </w:t>
            </w:r>
            <w:r>
              <w:br/>
            </w:r>
            <w:r w:rsidRPr="0EDB9B28">
              <w:rPr>
                <w:rFonts w:asciiTheme="minorHAnsi" w:hAnsiTheme="minorHAnsi" w:cstheme="minorBidi"/>
              </w:rPr>
              <w:t>Data collection and initial analysis</w:t>
            </w:r>
          </w:p>
        </w:tc>
        <w:tc>
          <w:tcPr>
            <w:tcW w:w="1951" w:type="dxa"/>
          </w:tcPr>
          <w:p w14:paraId="72772BA5" w14:textId="77777777" w:rsidR="00617FC9"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September – November 2025</w:t>
            </w:r>
          </w:p>
        </w:tc>
        <w:tc>
          <w:tcPr>
            <w:tcW w:w="5479" w:type="dxa"/>
          </w:tcPr>
          <w:p w14:paraId="60D23FAB" w14:textId="77777777" w:rsidR="00617FC9" w:rsidRDefault="00617FC9" w:rsidP="00696175">
            <w:pPr>
              <w:pStyle w:val="Tablelis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Implementation of interviews and surveys across stakeholder groups.</w:t>
            </w:r>
          </w:p>
          <w:p w14:paraId="7CE15E28" w14:textId="77777777" w:rsidR="00617FC9" w:rsidRDefault="00617FC9" w:rsidP="00696175">
            <w:pPr>
              <w:pStyle w:val="Tablelis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Benchmarking exercises.</w:t>
            </w:r>
          </w:p>
          <w:p w14:paraId="6CE618F8" w14:textId="77777777" w:rsidR="00617FC9" w:rsidRDefault="00617FC9" w:rsidP="00696175">
            <w:pPr>
              <w:pStyle w:val="Tablelis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Initial analysis and identification of emerging patterns and key themes.</w:t>
            </w:r>
          </w:p>
        </w:tc>
      </w:tr>
      <w:tr w:rsidR="00617FC9" w14:paraId="4D84E389" w14:textId="77777777" w:rsidTr="0069617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5" w:type="dxa"/>
          </w:tcPr>
          <w:p w14:paraId="32C0FF77" w14:textId="77777777" w:rsidR="00617FC9" w:rsidRDefault="00617FC9" w:rsidP="00696175">
            <w:pPr>
              <w:pStyle w:val="Texttable"/>
              <w:rPr>
                <w:rFonts w:asciiTheme="minorHAnsi" w:hAnsiTheme="minorHAnsi" w:cstheme="minorBidi"/>
              </w:rPr>
            </w:pPr>
            <w:r w:rsidRPr="0EDB9B28">
              <w:rPr>
                <w:rFonts w:asciiTheme="minorHAnsi" w:hAnsiTheme="minorHAnsi" w:cstheme="minorBidi"/>
              </w:rPr>
              <w:t>Phase 3: Detailed analysis and drafting</w:t>
            </w:r>
          </w:p>
        </w:tc>
        <w:tc>
          <w:tcPr>
            <w:tcW w:w="1951" w:type="dxa"/>
          </w:tcPr>
          <w:p w14:paraId="31155717" w14:textId="77777777" w:rsidR="00617FC9"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 xml:space="preserve">December 2025 – February 2026 </w:t>
            </w:r>
          </w:p>
        </w:tc>
        <w:tc>
          <w:tcPr>
            <w:tcW w:w="5479" w:type="dxa"/>
          </w:tcPr>
          <w:p w14:paraId="1ABAE58C" w14:textId="77777777" w:rsidR="00617FC9" w:rsidRDefault="00617FC9" w:rsidP="00696175">
            <w:pPr>
              <w:pStyle w:val="Tablelis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Comprehensive analysis of findings based on the initial analysis.</w:t>
            </w:r>
          </w:p>
          <w:p w14:paraId="0F04FDAF" w14:textId="77777777" w:rsidR="00617FC9" w:rsidRDefault="00617FC9" w:rsidP="00696175">
            <w:pPr>
              <w:pStyle w:val="Tablelist"/>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Preparation of a draft review report including preliminary recommendations.</w:t>
            </w:r>
          </w:p>
        </w:tc>
      </w:tr>
      <w:tr w:rsidR="00617FC9" w14:paraId="4A5AEB85" w14:textId="77777777" w:rsidTr="00696175">
        <w:trPr>
          <w:trHeight w:val="300"/>
        </w:trPr>
        <w:tc>
          <w:tcPr>
            <w:cnfStyle w:val="001000000000" w:firstRow="0" w:lastRow="0" w:firstColumn="1" w:lastColumn="0" w:oddVBand="0" w:evenVBand="0" w:oddHBand="0" w:evenHBand="0" w:firstRowFirstColumn="0" w:firstRowLastColumn="0" w:lastRowFirstColumn="0" w:lastRowLastColumn="0"/>
            <w:tcW w:w="1635" w:type="dxa"/>
          </w:tcPr>
          <w:p w14:paraId="7E19EB1D" w14:textId="77777777" w:rsidR="00617FC9" w:rsidRDefault="00617FC9" w:rsidP="00696175">
            <w:pPr>
              <w:pStyle w:val="Texttable"/>
              <w:rPr>
                <w:rFonts w:asciiTheme="minorHAnsi" w:hAnsiTheme="minorHAnsi" w:cstheme="minorBidi"/>
              </w:rPr>
            </w:pPr>
            <w:r w:rsidRPr="0EDB9B28">
              <w:rPr>
                <w:rFonts w:asciiTheme="minorHAnsi" w:hAnsiTheme="minorHAnsi" w:cstheme="minorBidi"/>
              </w:rPr>
              <w:t>Phase 4: Validation and reporting</w:t>
            </w:r>
          </w:p>
        </w:tc>
        <w:tc>
          <w:tcPr>
            <w:tcW w:w="1951" w:type="dxa"/>
          </w:tcPr>
          <w:p w14:paraId="435DAA66" w14:textId="77777777" w:rsidR="00617FC9"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March – April 2026</w:t>
            </w:r>
          </w:p>
        </w:tc>
        <w:tc>
          <w:tcPr>
            <w:tcW w:w="5479" w:type="dxa"/>
          </w:tcPr>
          <w:p w14:paraId="7B5EF66C" w14:textId="77777777" w:rsidR="00617FC9" w:rsidRDefault="00617FC9" w:rsidP="00696175">
            <w:pPr>
              <w:pStyle w:val="Tablelis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 xml:space="preserve">Validation of the draft review report. </w:t>
            </w:r>
          </w:p>
          <w:p w14:paraId="0520989B" w14:textId="77777777" w:rsidR="00617FC9" w:rsidRDefault="00617FC9" w:rsidP="00696175">
            <w:pPr>
              <w:pStyle w:val="Tablelis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 xml:space="preserve">Incorporation of feedback from validation. </w:t>
            </w:r>
          </w:p>
          <w:p w14:paraId="4E8B2017" w14:textId="77777777" w:rsidR="00617FC9" w:rsidRDefault="00617FC9" w:rsidP="00696175">
            <w:pPr>
              <w:pStyle w:val="Tablelist"/>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EDB9B28">
              <w:rPr>
                <w:rFonts w:asciiTheme="minorHAnsi" w:hAnsiTheme="minorHAnsi" w:cstheme="minorBidi"/>
              </w:rPr>
              <w:t>Drafting of the final review report for consideration by the Council and the 2026 Plenipotentiary Conference (PP-26).</w:t>
            </w:r>
          </w:p>
        </w:tc>
      </w:tr>
    </w:tbl>
    <w:p w14:paraId="1D0A2D01" w14:textId="77777777" w:rsidR="00617FC9" w:rsidRPr="00986D12" w:rsidRDefault="00617FC9" w:rsidP="00617FC9">
      <w:pPr>
        <w:jc w:val="both"/>
        <w:rPr>
          <w:rFonts w:asciiTheme="minorHAnsi" w:hAnsiTheme="minorHAnsi" w:cstheme="minorHAnsi"/>
        </w:rPr>
      </w:pPr>
    </w:p>
    <w:p w14:paraId="2A6D311E" w14:textId="77777777" w:rsidR="00617FC9" w:rsidRPr="00986D12" w:rsidRDefault="00617FC9" w:rsidP="00617FC9">
      <w:pPr>
        <w:pStyle w:val="Heading2"/>
      </w:pPr>
      <w:bookmarkStart w:id="50" w:name="_Toc224213024"/>
      <w:bookmarkStart w:id="51" w:name="_Toc225163567"/>
      <w:bookmarkStart w:id="52" w:name="_Toc226580569"/>
      <w:r w:rsidRPr="000E12EC">
        <w:lastRenderedPageBreak/>
        <w:t>Work</w:t>
      </w:r>
      <w:r w:rsidRPr="00986D12">
        <w:t xml:space="preserve"> carried out by the BDT</w:t>
      </w:r>
      <w:bookmarkEnd w:id="50"/>
      <w:bookmarkEnd w:id="51"/>
      <w:bookmarkEnd w:id="52"/>
    </w:p>
    <w:p w14:paraId="3A0216C1" w14:textId="77777777" w:rsidR="00617FC9" w:rsidRPr="00D1139E" w:rsidRDefault="00617FC9" w:rsidP="00617FC9">
      <w:pPr>
        <w:jc w:val="both"/>
        <w:rPr>
          <w:rFonts w:asciiTheme="minorHAnsi" w:hAnsiTheme="minorHAnsi" w:cstheme="minorHAnsi"/>
          <w:b/>
          <w:szCs w:val="24"/>
          <w:lang w:val="en-US"/>
        </w:rPr>
      </w:pPr>
      <w:r w:rsidRPr="00D1139E">
        <w:rPr>
          <w:rFonts w:asciiTheme="minorHAnsi" w:hAnsiTheme="minorHAnsi" w:cstheme="minorHAnsi"/>
          <w:szCs w:val="24"/>
          <w:lang w:val="en-US"/>
        </w:rPr>
        <w:t xml:space="preserve">As an input to the preparation of the ITU Secretary-General’s report on the implementation of </w:t>
      </w:r>
      <w:hyperlink r:id="rId20">
        <w:r w:rsidRPr="00D1139E">
          <w:rPr>
            <w:rStyle w:val="Hyperlink"/>
            <w:rFonts w:asciiTheme="minorHAnsi" w:hAnsiTheme="minorHAnsi" w:cstheme="minorHAnsi"/>
            <w:color w:val="5F497A" w:themeColor="accent4" w:themeShade="BF"/>
            <w:szCs w:val="24"/>
            <w:lang w:val="en-US"/>
          </w:rPr>
          <w:t>Resolution 25 (Rev. Bucharest, 2022)</w:t>
        </w:r>
      </w:hyperlink>
      <w:r w:rsidRPr="00D1139E">
        <w:rPr>
          <w:rFonts w:asciiTheme="minorHAnsi" w:hAnsiTheme="minorHAnsi" w:cstheme="minorHAnsi"/>
          <w:szCs w:val="24"/>
          <w:lang w:val="en-US"/>
        </w:rPr>
        <w:t xml:space="preserve"> of the Plenipotentiary on Strengthening the ITU Regional Presence, the BDT has undertaken the following activities:</w:t>
      </w:r>
    </w:p>
    <w:p w14:paraId="7D2FAF32" w14:textId="77777777" w:rsidR="00617FC9" w:rsidRPr="00D1139E" w:rsidRDefault="00617FC9" w:rsidP="00BC7ABA">
      <w:pPr>
        <w:pStyle w:val="ListParagraph"/>
        <w:numPr>
          <w:ilvl w:val="0"/>
          <w:numId w:val="21"/>
        </w:numPr>
        <w:spacing w:before="60" w:after="60"/>
        <w:ind w:left="714" w:hanging="357"/>
        <w:contextualSpacing w:val="0"/>
        <w:jc w:val="both"/>
        <w:rPr>
          <w:rFonts w:asciiTheme="minorHAnsi" w:hAnsiTheme="minorHAnsi" w:cstheme="minorHAnsi"/>
          <w:sz w:val="24"/>
          <w:szCs w:val="24"/>
          <w:lang w:val="en-US"/>
        </w:rPr>
      </w:pPr>
      <w:r w:rsidRPr="00D1139E">
        <w:rPr>
          <w:rFonts w:asciiTheme="minorHAnsi" w:hAnsiTheme="minorHAnsi" w:cstheme="minorHAnsi"/>
          <w:sz w:val="24"/>
          <w:szCs w:val="24"/>
          <w:lang w:val="en-US"/>
        </w:rPr>
        <w:t>Design and Launch of the ITU Membership Survey</w:t>
      </w:r>
    </w:p>
    <w:p w14:paraId="2960FD23" w14:textId="77777777" w:rsidR="00617FC9" w:rsidRPr="00D1139E" w:rsidRDefault="00617FC9" w:rsidP="00BC7ABA">
      <w:pPr>
        <w:pStyle w:val="ListParagraph"/>
        <w:numPr>
          <w:ilvl w:val="0"/>
          <w:numId w:val="21"/>
        </w:numPr>
        <w:spacing w:before="60" w:after="60"/>
        <w:ind w:left="714" w:hanging="357"/>
        <w:contextualSpacing w:val="0"/>
        <w:jc w:val="both"/>
        <w:rPr>
          <w:rFonts w:asciiTheme="minorHAnsi" w:hAnsiTheme="minorHAnsi" w:cstheme="minorHAnsi"/>
          <w:sz w:val="24"/>
          <w:szCs w:val="24"/>
          <w:lang w:val="en-US"/>
        </w:rPr>
      </w:pPr>
      <w:r w:rsidRPr="00D1139E">
        <w:rPr>
          <w:rFonts w:asciiTheme="minorHAnsi" w:hAnsiTheme="minorHAnsi" w:cstheme="minorHAnsi"/>
          <w:sz w:val="24"/>
          <w:szCs w:val="24"/>
          <w:lang w:val="en-US"/>
        </w:rPr>
        <w:t>Desk Review</w:t>
      </w:r>
    </w:p>
    <w:p w14:paraId="08DBF7D1" w14:textId="77777777" w:rsidR="00617FC9" w:rsidRPr="00D1139E" w:rsidRDefault="00617FC9" w:rsidP="00BC7ABA">
      <w:pPr>
        <w:pStyle w:val="ListParagraph"/>
        <w:numPr>
          <w:ilvl w:val="0"/>
          <w:numId w:val="21"/>
        </w:numPr>
        <w:spacing w:before="60" w:after="60"/>
        <w:ind w:left="714" w:hanging="357"/>
        <w:contextualSpacing w:val="0"/>
        <w:jc w:val="both"/>
        <w:rPr>
          <w:rFonts w:asciiTheme="minorHAnsi" w:hAnsiTheme="minorHAnsi" w:cstheme="minorHAnsi"/>
          <w:sz w:val="24"/>
          <w:szCs w:val="24"/>
          <w:lang w:val="en-US"/>
        </w:rPr>
      </w:pPr>
      <w:r w:rsidRPr="00D1139E">
        <w:rPr>
          <w:rFonts w:asciiTheme="minorHAnsi" w:hAnsiTheme="minorHAnsi" w:cstheme="minorHAnsi"/>
          <w:sz w:val="24"/>
          <w:szCs w:val="24"/>
          <w:lang w:val="en-US"/>
        </w:rPr>
        <w:t xml:space="preserve">Stakeholder Consultation including the Design and Launch of the Internal Assessment (IA) Survey, and interviews of RTOs </w:t>
      </w:r>
    </w:p>
    <w:p w14:paraId="79BEC711" w14:textId="77777777" w:rsidR="00617FC9" w:rsidRPr="00D1139E" w:rsidRDefault="00617FC9" w:rsidP="00BC7ABA">
      <w:pPr>
        <w:pStyle w:val="ListParagraph"/>
        <w:numPr>
          <w:ilvl w:val="0"/>
          <w:numId w:val="21"/>
        </w:numPr>
        <w:spacing w:before="60" w:after="60"/>
        <w:ind w:left="714" w:hanging="357"/>
        <w:contextualSpacing w:val="0"/>
        <w:jc w:val="both"/>
        <w:rPr>
          <w:rFonts w:asciiTheme="minorHAnsi" w:hAnsiTheme="minorHAnsi" w:cstheme="minorHAnsi"/>
          <w:sz w:val="24"/>
          <w:szCs w:val="24"/>
          <w:lang w:val="en-US"/>
        </w:rPr>
      </w:pPr>
      <w:r w:rsidRPr="00D1139E">
        <w:rPr>
          <w:rFonts w:asciiTheme="minorHAnsi" w:hAnsiTheme="minorHAnsi" w:cstheme="minorHAnsi"/>
          <w:sz w:val="24"/>
          <w:szCs w:val="24"/>
          <w:lang w:val="en-US"/>
        </w:rPr>
        <w:t>Periodic reporting as per the instructions of CWG-FHR and Council</w:t>
      </w:r>
    </w:p>
    <w:p w14:paraId="26E7D595" w14:textId="77777777" w:rsidR="00617FC9" w:rsidRPr="00D1139E" w:rsidRDefault="00617FC9" w:rsidP="00617FC9">
      <w:pPr>
        <w:jc w:val="both"/>
        <w:rPr>
          <w:rFonts w:asciiTheme="minorHAnsi" w:hAnsiTheme="minorHAnsi" w:cstheme="minorHAnsi"/>
          <w:szCs w:val="24"/>
        </w:rPr>
      </w:pPr>
      <w:r w:rsidRPr="00D1139E">
        <w:rPr>
          <w:rFonts w:asciiTheme="minorHAnsi" w:hAnsiTheme="minorHAnsi" w:cstheme="minorHAnsi"/>
          <w:szCs w:val="24"/>
          <w:lang w:val="en-US"/>
        </w:rPr>
        <w:t>Further details of the above activities can be found in the body of the report.</w:t>
      </w:r>
    </w:p>
    <w:p w14:paraId="26F97917" w14:textId="77777777" w:rsidR="00617FC9" w:rsidRPr="00986D12" w:rsidRDefault="00617FC9" w:rsidP="00617FC9">
      <w:pPr>
        <w:pStyle w:val="Heading1"/>
      </w:pPr>
      <w:bookmarkStart w:id="53" w:name="_Toc224213025"/>
      <w:bookmarkStart w:id="54" w:name="_Toc225163568"/>
      <w:bookmarkStart w:id="55" w:name="_Toc226580570"/>
      <w:r w:rsidRPr="000E12EC">
        <w:t>Methodology</w:t>
      </w:r>
      <w:bookmarkEnd w:id="53"/>
      <w:bookmarkEnd w:id="54"/>
      <w:bookmarkEnd w:id="55"/>
    </w:p>
    <w:p w14:paraId="4BA73787" w14:textId="77777777" w:rsidR="00617FC9" w:rsidRDefault="00617FC9" w:rsidP="00617FC9">
      <w:pPr>
        <w:rPr>
          <w:rFonts w:asciiTheme="minorHAnsi" w:hAnsiTheme="minorHAnsi" w:cstheme="minorHAnsi"/>
          <w:lang w:val="en-US"/>
        </w:rPr>
      </w:pPr>
      <w:r w:rsidRPr="00986D12">
        <w:rPr>
          <w:rFonts w:asciiTheme="minorHAnsi" w:hAnsiTheme="minorHAnsi" w:cstheme="minorHAnsi"/>
          <w:lang w:val="en-US"/>
        </w:rPr>
        <w:t xml:space="preserve">The methodology of the Review followed the ToR agreed by membership as contained in Annex A and Annex 1 to Document </w:t>
      </w:r>
      <w:hyperlink r:id="rId21">
        <w:r w:rsidRPr="00986D12">
          <w:rPr>
            <w:rStyle w:val="Hyperlink"/>
            <w:rFonts w:asciiTheme="minorHAnsi" w:hAnsiTheme="minorHAnsi" w:cstheme="minorHAnsi"/>
            <w:color w:val="5F497A" w:themeColor="accent4" w:themeShade="BF"/>
            <w:lang w:val="en-US"/>
          </w:rPr>
          <w:t>C25/105</w:t>
        </w:r>
      </w:hyperlink>
      <w:r w:rsidRPr="00986D12">
        <w:rPr>
          <w:rFonts w:asciiTheme="minorHAnsi" w:hAnsiTheme="minorHAnsi" w:cstheme="minorHAnsi"/>
          <w:lang w:val="en-US"/>
        </w:rPr>
        <w:t>,</w:t>
      </w:r>
      <w:r w:rsidRPr="00986D12">
        <w:rPr>
          <w:rFonts w:asciiTheme="minorHAnsi" w:hAnsiTheme="minorHAnsi" w:cstheme="minorHAnsi"/>
          <w:b/>
          <w:lang w:val="en-US"/>
        </w:rPr>
        <w:t xml:space="preserve"> </w:t>
      </w:r>
      <w:r w:rsidRPr="00986D12">
        <w:rPr>
          <w:rFonts w:asciiTheme="minorHAnsi" w:hAnsiTheme="minorHAnsi" w:cstheme="minorHAnsi"/>
          <w:lang w:val="en-US"/>
        </w:rPr>
        <w:t>as tabulated below.</w:t>
      </w:r>
    </w:p>
    <w:p w14:paraId="690A1D84" w14:textId="77777777" w:rsidR="00617FC9" w:rsidRPr="00986D12" w:rsidRDefault="00617FC9" w:rsidP="00617FC9">
      <w:pPr>
        <w:rPr>
          <w:rFonts w:asciiTheme="minorHAnsi" w:hAnsiTheme="minorHAnsi" w:cstheme="minorHAnsi"/>
          <w:lang w:val="en-US"/>
        </w:rPr>
      </w:pPr>
    </w:p>
    <w:tbl>
      <w:tblPr>
        <w:tblStyle w:val="GridTable5Dark-Accent1"/>
        <w:tblW w:w="0" w:type="auto"/>
        <w:tblLook w:val="0420" w:firstRow="1" w:lastRow="0" w:firstColumn="0" w:lastColumn="0" w:noHBand="0" w:noVBand="1"/>
      </w:tblPr>
      <w:tblGrid>
        <w:gridCol w:w="3114"/>
        <w:gridCol w:w="5902"/>
      </w:tblGrid>
      <w:tr w:rsidR="00617FC9" w:rsidRPr="00986D12" w14:paraId="474F1FEB" w14:textId="77777777" w:rsidTr="00696175">
        <w:trPr>
          <w:cnfStyle w:val="100000000000" w:firstRow="1" w:lastRow="0" w:firstColumn="0" w:lastColumn="0" w:oddVBand="0" w:evenVBand="0" w:oddHBand="0" w:evenHBand="0" w:firstRowFirstColumn="0" w:firstRowLastColumn="0" w:lastRowFirstColumn="0" w:lastRowLastColumn="0"/>
        </w:trPr>
        <w:tc>
          <w:tcPr>
            <w:tcW w:w="3114" w:type="dxa"/>
          </w:tcPr>
          <w:p w14:paraId="441B4B3C" w14:textId="77777777" w:rsidR="00617FC9" w:rsidRPr="00986D12" w:rsidRDefault="00617FC9" w:rsidP="00696175">
            <w:pPr>
              <w:pStyle w:val="Tabletitle0"/>
              <w:rPr>
                <w:rFonts w:asciiTheme="minorHAnsi" w:hAnsiTheme="minorHAnsi" w:cstheme="minorHAnsi"/>
                <w:b/>
              </w:rPr>
            </w:pPr>
            <w:r w:rsidRPr="00986D12">
              <w:rPr>
                <w:rFonts w:asciiTheme="minorHAnsi" w:hAnsiTheme="minorHAnsi" w:cstheme="minorHAnsi"/>
                <w:b/>
              </w:rPr>
              <w:t>Activity</w:t>
            </w:r>
          </w:p>
        </w:tc>
        <w:tc>
          <w:tcPr>
            <w:tcW w:w="5902" w:type="dxa"/>
          </w:tcPr>
          <w:p w14:paraId="6622276B" w14:textId="77777777" w:rsidR="00617FC9" w:rsidRPr="00986D12" w:rsidRDefault="00617FC9" w:rsidP="00696175">
            <w:pPr>
              <w:pStyle w:val="Tabletitle0"/>
              <w:rPr>
                <w:rFonts w:asciiTheme="minorHAnsi" w:hAnsiTheme="minorHAnsi" w:cstheme="minorHAnsi"/>
                <w:b/>
              </w:rPr>
            </w:pPr>
            <w:r w:rsidRPr="00986D12">
              <w:rPr>
                <w:rFonts w:asciiTheme="minorHAnsi" w:hAnsiTheme="minorHAnsi" w:cstheme="minorHAnsi"/>
                <w:b/>
              </w:rPr>
              <w:t>Description</w:t>
            </w:r>
          </w:p>
        </w:tc>
      </w:tr>
      <w:tr w:rsidR="00617FC9" w:rsidRPr="00986D12" w14:paraId="73E0D16D" w14:textId="77777777" w:rsidTr="00696175">
        <w:trPr>
          <w:cnfStyle w:val="000000100000" w:firstRow="0" w:lastRow="0" w:firstColumn="0" w:lastColumn="0" w:oddVBand="0" w:evenVBand="0" w:oddHBand="1" w:evenHBand="0" w:firstRowFirstColumn="0" w:firstRowLastColumn="0" w:lastRowFirstColumn="0" w:lastRowLastColumn="0"/>
        </w:trPr>
        <w:tc>
          <w:tcPr>
            <w:tcW w:w="3114" w:type="dxa"/>
          </w:tcPr>
          <w:p w14:paraId="4188515D" w14:textId="77777777" w:rsidR="00617FC9" w:rsidRPr="00986D12" w:rsidRDefault="00617FC9" w:rsidP="00696175">
            <w:pPr>
              <w:pStyle w:val="Texttable"/>
              <w:rPr>
                <w:rFonts w:asciiTheme="minorHAnsi" w:hAnsiTheme="minorHAnsi" w:cstheme="minorHAnsi"/>
              </w:rPr>
            </w:pPr>
            <w:r w:rsidRPr="00986D12">
              <w:rPr>
                <w:rFonts w:asciiTheme="minorHAnsi" w:hAnsiTheme="minorHAnsi" w:cstheme="minorHAnsi"/>
              </w:rPr>
              <w:t>Document analysis</w:t>
            </w:r>
          </w:p>
        </w:tc>
        <w:tc>
          <w:tcPr>
            <w:tcW w:w="5902" w:type="dxa"/>
          </w:tcPr>
          <w:p w14:paraId="25A63235" w14:textId="77777777" w:rsidR="00617FC9" w:rsidRPr="00986D12" w:rsidRDefault="00617FC9" w:rsidP="00696175">
            <w:pPr>
              <w:pStyle w:val="Texttable"/>
              <w:rPr>
                <w:rFonts w:asciiTheme="minorHAnsi" w:hAnsiTheme="minorHAnsi" w:cstheme="minorHAnsi"/>
              </w:rPr>
            </w:pPr>
            <w:r w:rsidRPr="00986D12">
              <w:rPr>
                <w:rFonts w:asciiTheme="minorHAnsi" w:hAnsiTheme="minorHAnsi" w:cstheme="minorHAnsi"/>
              </w:rPr>
              <w:t>Conduct a desk review of foundational documents, including Resolution 25, ITU’s strategic plans, and operational, performance and audit reports</w:t>
            </w:r>
          </w:p>
        </w:tc>
      </w:tr>
      <w:tr w:rsidR="00617FC9" w:rsidRPr="00986D12" w14:paraId="59F5644B" w14:textId="77777777" w:rsidTr="00696175">
        <w:tc>
          <w:tcPr>
            <w:tcW w:w="3114" w:type="dxa"/>
          </w:tcPr>
          <w:p w14:paraId="12CF28F4" w14:textId="77777777" w:rsidR="00617FC9" w:rsidRPr="00986D12" w:rsidRDefault="00617FC9" w:rsidP="00696175">
            <w:pPr>
              <w:pStyle w:val="Texttable"/>
              <w:rPr>
                <w:rFonts w:asciiTheme="minorHAnsi" w:hAnsiTheme="minorHAnsi" w:cstheme="minorHAnsi"/>
              </w:rPr>
            </w:pPr>
            <w:r w:rsidRPr="00986D12">
              <w:rPr>
                <w:rFonts w:asciiTheme="minorHAnsi" w:hAnsiTheme="minorHAnsi" w:cstheme="minorHAnsi"/>
              </w:rPr>
              <w:t>Data analysis</w:t>
            </w:r>
          </w:p>
        </w:tc>
        <w:tc>
          <w:tcPr>
            <w:tcW w:w="5902" w:type="dxa"/>
          </w:tcPr>
          <w:p w14:paraId="3062D0EA" w14:textId="77777777" w:rsidR="00617FC9" w:rsidRPr="00986D12" w:rsidRDefault="00617FC9" w:rsidP="00696175">
            <w:pPr>
              <w:pStyle w:val="Texttable"/>
              <w:rPr>
                <w:rFonts w:asciiTheme="minorHAnsi" w:hAnsiTheme="minorHAnsi" w:cstheme="minorHAnsi"/>
              </w:rPr>
            </w:pPr>
            <w:r w:rsidRPr="00986D12">
              <w:rPr>
                <w:rFonts w:asciiTheme="minorHAnsi" w:hAnsiTheme="minorHAnsi" w:cstheme="minorHAnsi"/>
              </w:rPr>
              <w:t>Analyse key data points, including staffing structures, budget allocations, and project outcomes, to uncover trends, gaps, and opportunities for enhancement</w:t>
            </w:r>
          </w:p>
        </w:tc>
      </w:tr>
      <w:tr w:rsidR="00617FC9" w:rsidRPr="00986D12" w14:paraId="6C12DCCE" w14:textId="77777777" w:rsidTr="00696175">
        <w:trPr>
          <w:cnfStyle w:val="000000100000" w:firstRow="0" w:lastRow="0" w:firstColumn="0" w:lastColumn="0" w:oddVBand="0" w:evenVBand="0" w:oddHBand="1" w:evenHBand="0" w:firstRowFirstColumn="0" w:firstRowLastColumn="0" w:lastRowFirstColumn="0" w:lastRowLastColumn="0"/>
        </w:trPr>
        <w:tc>
          <w:tcPr>
            <w:tcW w:w="3114" w:type="dxa"/>
          </w:tcPr>
          <w:p w14:paraId="36156F6F" w14:textId="77777777" w:rsidR="00617FC9" w:rsidRPr="00986D12" w:rsidRDefault="00617FC9" w:rsidP="00696175">
            <w:pPr>
              <w:pStyle w:val="Texttable"/>
              <w:rPr>
                <w:rFonts w:asciiTheme="minorHAnsi" w:hAnsiTheme="minorHAnsi" w:cstheme="minorHAnsi"/>
              </w:rPr>
            </w:pPr>
            <w:r w:rsidRPr="00986D12">
              <w:rPr>
                <w:rFonts w:asciiTheme="minorHAnsi" w:hAnsiTheme="minorHAnsi" w:cstheme="minorHAnsi"/>
              </w:rPr>
              <w:t>Stakeholder consultations</w:t>
            </w:r>
          </w:p>
        </w:tc>
        <w:tc>
          <w:tcPr>
            <w:tcW w:w="5902" w:type="dxa"/>
          </w:tcPr>
          <w:p w14:paraId="6F60B529" w14:textId="77777777" w:rsidR="00617FC9" w:rsidRPr="00986D12" w:rsidRDefault="00617FC9" w:rsidP="00696175">
            <w:pPr>
              <w:pStyle w:val="Texttable"/>
              <w:rPr>
                <w:rFonts w:asciiTheme="minorHAnsi" w:hAnsiTheme="minorHAnsi" w:cstheme="minorHAnsi"/>
              </w:rPr>
            </w:pPr>
            <w:r w:rsidRPr="00986D12">
              <w:rPr>
                <w:rFonts w:asciiTheme="minorHAnsi" w:hAnsiTheme="minorHAnsi" w:cstheme="minorHAnsi"/>
              </w:rPr>
              <w:t>Engage internally with key stakeholders and consult with ITU advisory groups to gain insights and strategic guidance on shaping the future direction of ITU’s regional presence</w:t>
            </w:r>
          </w:p>
        </w:tc>
      </w:tr>
      <w:tr w:rsidR="00617FC9" w:rsidRPr="00986D12" w14:paraId="5E3CB2B5" w14:textId="77777777" w:rsidTr="00696175">
        <w:tc>
          <w:tcPr>
            <w:tcW w:w="3114" w:type="dxa"/>
          </w:tcPr>
          <w:p w14:paraId="2AADAEDE" w14:textId="77777777" w:rsidR="00617FC9" w:rsidRPr="00986D12" w:rsidRDefault="00617FC9" w:rsidP="00696175">
            <w:pPr>
              <w:pStyle w:val="Texttable"/>
              <w:rPr>
                <w:rFonts w:asciiTheme="minorHAnsi" w:hAnsiTheme="minorHAnsi" w:cstheme="minorHAnsi"/>
              </w:rPr>
            </w:pPr>
            <w:r w:rsidRPr="00986D12">
              <w:rPr>
                <w:rFonts w:asciiTheme="minorHAnsi" w:hAnsiTheme="minorHAnsi" w:cstheme="minorHAnsi"/>
              </w:rPr>
              <w:t>Stakeholder surveys</w:t>
            </w:r>
          </w:p>
        </w:tc>
        <w:tc>
          <w:tcPr>
            <w:tcW w:w="5902" w:type="dxa"/>
          </w:tcPr>
          <w:p w14:paraId="641A4101" w14:textId="77777777" w:rsidR="00617FC9" w:rsidRPr="00986D12" w:rsidRDefault="00617FC9" w:rsidP="00696175">
            <w:pPr>
              <w:pStyle w:val="Texttable"/>
              <w:rPr>
                <w:rFonts w:asciiTheme="minorHAnsi" w:hAnsiTheme="minorHAnsi" w:cstheme="minorHAnsi"/>
              </w:rPr>
            </w:pPr>
            <w:r w:rsidRPr="00986D12">
              <w:rPr>
                <w:rFonts w:asciiTheme="minorHAnsi" w:hAnsiTheme="minorHAnsi" w:cstheme="minorHAnsi"/>
              </w:rPr>
              <w:t>Administer and collect feedback on satisfaction levels from membership and Regional Telecommunication Organizations (RTOs) to gauge the impact of regional presence with the priority assessment of the overall satisfaction</w:t>
            </w:r>
          </w:p>
        </w:tc>
      </w:tr>
    </w:tbl>
    <w:p w14:paraId="59A0A072" w14:textId="2983DBD5" w:rsidR="00617FC9" w:rsidRPr="00986D12" w:rsidRDefault="00617FC9" w:rsidP="00617FC9">
      <w:pPr>
        <w:jc w:val="both"/>
        <w:rPr>
          <w:rFonts w:asciiTheme="minorHAnsi" w:hAnsiTheme="minorHAnsi" w:cstheme="minorHAnsi"/>
          <w:lang w:val="en-US"/>
        </w:rPr>
      </w:pPr>
      <w:r w:rsidRPr="00986D12">
        <w:rPr>
          <w:rFonts w:asciiTheme="minorHAnsi" w:hAnsiTheme="minorHAnsi" w:cstheme="minorHAnsi"/>
          <w:lang w:val="en-US"/>
        </w:rPr>
        <w:t xml:space="preserve">Accordingly, commencing its work after the first meeting of the Intersectoral Task Force on Regional Presence on 17 July 2025, BDT analyzed the 12 SoW items listed in Annex A and the 27 KPI listed in Annex 1 to Document </w:t>
      </w:r>
      <w:hyperlink r:id="rId22" w:history="1">
        <w:r w:rsidRPr="00986D12">
          <w:rPr>
            <w:rStyle w:val="Hyperlink"/>
            <w:rFonts w:asciiTheme="minorHAnsi" w:hAnsiTheme="minorHAnsi" w:cstheme="minorHAnsi"/>
            <w:color w:val="5F497A" w:themeColor="accent4" w:themeShade="BF"/>
            <w:lang w:val="en-US"/>
          </w:rPr>
          <w:t>C25/105</w:t>
        </w:r>
      </w:hyperlink>
      <w:r w:rsidRPr="00986D12">
        <w:rPr>
          <w:rFonts w:asciiTheme="minorHAnsi" w:hAnsiTheme="minorHAnsi" w:cstheme="minorHAnsi"/>
          <w:lang w:val="en-US"/>
        </w:rPr>
        <w:t>. As a first step the KPIs were mapped to the 12 SoW items. The 27</w:t>
      </w:r>
      <w:r w:rsidR="00D1139E">
        <w:rPr>
          <w:rFonts w:asciiTheme="minorHAnsi" w:hAnsiTheme="minorHAnsi" w:cstheme="minorHAnsi"/>
          <w:lang w:val="en-US"/>
        </w:rPr>
        <w:t> </w:t>
      </w:r>
      <w:r w:rsidRPr="00986D12">
        <w:rPr>
          <w:rFonts w:asciiTheme="minorHAnsi" w:hAnsiTheme="minorHAnsi" w:cstheme="minorHAnsi"/>
          <w:lang w:val="en-US"/>
        </w:rPr>
        <w:t xml:space="preserve">KPI and 12 SoW items were studied to evaluate the primary and secondary data sources, i.e., whether it could be derived from the membership survey, or stakeholder consultations including the internal assessment survey, or desk research/ document analysis. Some KPIs were mapped to two or more data sources. </w:t>
      </w:r>
    </w:p>
    <w:p w14:paraId="02381554" w14:textId="77777777" w:rsidR="00617FC9" w:rsidRPr="00986D12" w:rsidRDefault="00617FC9" w:rsidP="00617FC9">
      <w:pPr>
        <w:jc w:val="both"/>
        <w:rPr>
          <w:rFonts w:asciiTheme="minorHAnsi" w:hAnsiTheme="minorHAnsi" w:cstheme="minorHAnsi"/>
          <w:lang w:val="en-US"/>
        </w:rPr>
      </w:pPr>
      <w:r w:rsidRPr="00986D12">
        <w:rPr>
          <w:rFonts w:asciiTheme="minorHAnsi" w:hAnsiTheme="minorHAnsi" w:cstheme="minorHAnsi"/>
          <w:lang w:val="en-US"/>
        </w:rPr>
        <w:t>BDT designed and implemented the Membership survey and carried out desk research by identifying documentary sources and collecting data from relevant reliable sources. Document analysis also encompassed benchmarking against similarly placed UN organizations. The findings of the Membership Survey and desk research were supplemented with data from stakeholder consultation including interviews of RTOs to supplement the feedback from the Membership survey, the findings of the Internal Assessment survey as well as other stakeholder feedback. Once data had been collected and collated, it was analyzed per KPI to arrive at consolidated findings for all 12 SoW items.</w:t>
      </w:r>
    </w:p>
    <w:p w14:paraId="3C96D7CF" w14:textId="77777777" w:rsidR="00617FC9" w:rsidRPr="00986D12" w:rsidRDefault="00617FC9" w:rsidP="00617FC9">
      <w:pPr>
        <w:pStyle w:val="Heading2"/>
      </w:pPr>
      <w:bookmarkStart w:id="56" w:name="_Toc224213026"/>
      <w:bookmarkStart w:id="57" w:name="_Toc225163569"/>
      <w:bookmarkStart w:id="58" w:name="_Toc226580571"/>
      <w:r w:rsidRPr="000E12EC">
        <w:lastRenderedPageBreak/>
        <w:t>Membership</w:t>
      </w:r>
      <w:r w:rsidRPr="00986D12">
        <w:t xml:space="preserve"> Survey</w:t>
      </w:r>
      <w:bookmarkEnd w:id="56"/>
      <w:bookmarkEnd w:id="57"/>
      <w:bookmarkEnd w:id="58"/>
    </w:p>
    <w:p w14:paraId="01E2050F" w14:textId="77777777" w:rsidR="00617FC9" w:rsidRPr="00986D12" w:rsidRDefault="00617FC9" w:rsidP="00617FC9">
      <w:pPr>
        <w:jc w:val="both"/>
        <w:rPr>
          <w:rFonts w:asciiTheme="minorHAnsi" w:hAnsiTheme="minorHAnsi" w:cstheme="minorHAnsi"/>
          <w:color w:val="000000" w:themeColor="text1"/>
          <w:lang w:val="en-US"/>
        </w:rPr>
      </w:pPr>
      <w:r w:rsidRPr="00986D12">
        <w:rPr>
          <w:rFonts w:asciiTheme="minorHAnsi" w:hAnsiTheme="minorHAnsi" w:cstheme="minorHAnsi"/>
          <w:lang w:val="en-US"/>
        </w:rPr>
        <w:t>A membership survey was designed and ad</w:t>
      </w:r>
      <w:r w:rsidRPr="00986D12">
        <w:rPr>
          <w:rFonts w:asciiTheme="minorHAnsi" w:hAnsiTheme="minorHAnsi" w:cstheme="minorHAnsi"/>
        </w:rPr>
        <w:t>ministered to collect feedback on satisfaction levels from membership and Regional Telecommunication Organizations (RTOs) to gauge the impact of regional presence with the priority assessment of the overall satisfaction</w:t>
      </w:r>
      <w:r w:rsidRPr="00986D12">
        <w:rPr>
          <w:rFonts w:asciiTheme="minorHAnsi" w:hAnsiTheme="minorHAnsi" w:cstheme="minorHAnsi"/>
          <w:lang w:val="en-US"/>
        </w:rPr>
        <w:t xml:space="preserve"> as set out in Document</w:t>
      </w:r>
      <w:r w:rsidRPr="00986D12">
        <w:rPr>
          <w:rFonts w:asciiTheme="minorHAnsi" w:hAnsiTheme="minorHAnsi" w:cstheme="minorHAnsi"/>
          <w:color w:val="0070C0"/>
          <w:lang w:val="en-US"/>
        </w:rPr>
        <w:t xml:space="preserve"> </w:t>
      </w:r>
      <w:hyperlink r:id="rId23">
        <w:r w:rsidRPr="00986D12">
          <w:rPr>
            <w:rStyle w:val="Hyperlink"/>
            <w:rFonts w:asciiTheme="minorHAnsi" w:hAnsiTheme="minorHAnsi" w:cstheme="minorHAnsi"/>
            <w:color w:val="5F497A" w:themeColor="accent4" w:themeShade="BF"/>
            <w:lang w:val="en-US"/>
          </w:rPr>
          <w:t>C25/105</w:t>
        </w:r>
      </w:hyperlink>
      <w:r w:rsidRPr="00986D12">
        <w:rPr>
          <w:rFonts w:asciiTheme="minorHAnsi" w:hAnsiTheme="minorHAnsi" w:cstheme="minorHAnsi"/>
          <w:color w:val="000000" w:themeColor="text1"/>
        </w:rPr>
        <w:t>.</w:t>
      </w:r>
    </w:p>
    <w:p w14:paraId="56E8C74C" w14:textId="77777777" w:rsidR="00617FC9" w:rsidRPr="00986D12" w:rsidRDefault="00617FC9" w:rsidP="00617FC9">
      <w:pPr>
        <w:jc w:val="both"/>
        <w:rPr>
          <w:rFonts w:asciiTheme="minorHAnsi" w:hAnsiTheme="minorHAnsi" w:cstheme="minorHAnsi"/>
          <w:lang w:val="en-US"/>
        </w:rPr>
      </w:pPr>
      <w:r w:rsidRPr="00986D12">
        <w:rPr>
          <w:rFonts w:asciiTheme="minorHAnsi" w:hAnsiTheme="minorHAnsi" w:cstheme="minorHAnsi"/>
          <w:lang w:val="en-US"/>
        </w:rPr>
        <w:t>The membership survey was addressed to the administrations of ITU Member States, RTOs, ITU Sector Members, ITU Academia Members, ITU Associate Members, and the State of Palestine (Resolution 99 (Rev. Dubai, 2018)), representing a total of 1,133 entities.</w:t>
      </w:r>
    </w:p>
    <w:p w14:paraId="3B3286F4"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The questionnaire comprised 22 questions, including 15 Likert-scale statements rated on a five-point scale from “strongly agree” to “strongly disagree”, with “don’t know” and “not applicable” options. It also included five open-ended questions to gather qualitative feedback, one yes/no question on the impact of the absence of an ITU office, and one multiple-choice question on the channels used to follow ITU activities.</w:t>
      </w:r>
    </w:p>
    <w:p w14:paraId="1C700F0B" w14:textId="77777777" w:rsidR="00617FC9" w:rsidRPr="00986D12" w:rsidRDefault="00617FC9" w:rsidP="00617FC9">
      <w:pPr>
        <w:jc w:val="both"/>
        <w:rPr>
          <w:rFonts w:asciiTheme="minorHAnsi" w:hAnsiTheme="minorHAnsi" w:cstheme="minorHAnsi"/>
          <w:lang w:val="en-US"/>
        </w:rPr>
      </w:pPr>
      <w:hyperlink r:id="rId24" w:history="1">
        <w:r w:rsidRPr="00986D12">
          <w:rPr>
            <w:rStyle w:val="Hyperlink"/>
            <w:rFonts w:asciiTheme="minorHAnsi" w:hAnsiTheme="minorHAnsi" w:cstheme="minorHAnsi"/>
            <w:color w:val="5F497A" w:themeColor="accent4" w:themeShade="BF"/>
          </w:rPr>
          <w:t>Circular BDT/DDR/084</w:t>
        </w:r>
      </w:hyperlink>
      <w:r w:rsidRPr="00986D12">
        <w:rPr>
          <w:rFonts w:asciiTheme="minorHAnsi" w:hAnsiTheme="minorHAnsi" w:cstheme="minorHAnsi"/>
        </w:rPr>
        <w:t xml:space="preserve"> was sent by the BDT Director on 22 September 2025 to inform members of the imminent launch of the survey. The Circular was also shared, for information, with the corresponding Embassies and Permanent Missions in Geneva.</w:t>
      </w:r>
    </w:p>
    <w:p w14:paraId="11FDC8A7" w14:textId="77777777" w:rsidR="00617FC9" w:rsidRPr="00986D12" w:rsidRDefault="00617FC9" w:rsidP="00617FC9">
      <w:pPr>
        <w:jc w:val="both"/>
        <w:rPr>
          <w:rFonts w:asciiTheme="minorHAnsi" w:hAnsiTheme="minorHAnsi" w:cstheme="minorHAnsi"/>
          <w:lang w:val="en-US"/>
        </w:rPr>
      </w:pPr>
      <w:r w:rsidRPr="00986D12">
        <w:rPr>
          <w:rFonts w:asciiTheme="minorHAnsi" w:hAnsiTheme="minorHAnsi" w:cstheme="minorHAnsi"/>
          <w:lang w:val="en-US"/>
        </w:rPr>
        <w:t xml:space="preserve">The survey was launched on 24 September 2025 via email to members’ focal points. The deadline for submission was initially set for 15 October 2025 to encourage early responses and, in agreement with the CWG-FHR Chair, was subsequently extended to 31 October 2025 to increase the response rate. </w:t>
      </w:r>
    </w:p>
    <w:p w14:paraId="50077639" w14:textId="77777777" w:rsidR="00617FC9" w:rsidRPr="00986D12" w:rsidRDefault="00617FC9" w:rsidP="00617FC9">
      <w:pPr>
        <w:jc w:val="both"/>
        <w:rPr>
          <w:rFonts w:asciiTheme="minorHAnsi" w:hAnsiTheme="minorHAnsi" w:cstheme="minorHAnsi"/>
          <w:lang w:val="en-US"/>
        </w:rPr>
      </w:pPr>
      <w:r w:rsidRPr="00986D12">
        <w:rPr>
          <w:rFonts w:asciiTheme="minorHAnsi" w:hAnsiTheme="minorHAnsi" w:cstheme="minorHAnsi"/>
        </w:rPr>
        <w:t xml:space="preserve">Each member was permitted to submit one response. </w:t>
      </w:r>
      <w:r w:rsidRPr="00986D12">
        <w:rPr>
          <w:rFonts w:asciiTheme="minorHAnsi" w:hAnsiTheme="minorHAnsi" w:cstheme="minorHAnsi"/>
          <w:lang w:val="en-US"/>
        </w:rPr>
        <w:t xml:space="preserve">Responses are to be treated as confidential and used exclusively to support the report on the regional presence. Results are presented only in aggregate form, at the level of membership type. </w:t>
      </w:r>
    </w:p>
    <w:p w14:paraId="494F5474" w14:textId="77777777" w:rsidR="00617FC9" w:rsidRDefault="00617FC9" w:rsidP="00617FC9">
      <w:pPr>
        <w:jc w:val="both"/>
        <w:rPr>
          <w:rFonts w:asciiTheme="minorHAnsi" w:hAnsiTheme="minorHAnsi" w:cstheme="minorHAnsi"/>
        </w:rPr>
      </w:pPr>
      <w:r w:rsidRPr="00986D12">
        <w:rPr>
          <w:rFonts w:asciiTheme="minorHAnsi" w:hAnsiTheme="minorHAnsi" w:cstheme="minorHAnsi"/>
        </w:rPr>
        <w:t>A total of 234 responses were received, corresponding to an overall response rate of 21 per cent. The figure below shows the distribution of responses by the three ITU membership categories and by ITU region. Each response was weighted equally in the calculation of the results. The response from Member States was strong at 69%.</w:t>
      </w:r>
    </w:p>
    <w:p w14:paraId="6909D34A" w14:textId="77777777" w:rsidR="009845D4" w:rsidRDefault="009845D4" w:rsidP="00617FC9">
      <w:pPr>
        <w:jc w:val="both"/>
        <w:rPr>
          <w:rFonts w:asciiTheme="minorHAnsi" w:hAnsiTheme="minorHAnsi" w:cstheme="minorHAnsi"/>
        </w:rPr>
      </w:pPr>
    </w:p>
    <w:tbl>
      <w:tblPr>
        <w:tblStyle w:val="TableGrid"/>
        <w:tblW w:w="5000" w:type="pct"/>
        <w:jc w:val="center"/>
        <w:tblBorders>
          <w:top w:val="single" w:sz="4" w:space="0" w:color="3071C3" w:themeColor="text2" w:themeTint="BF"/>
          <w:left w:val="single" w:sz="4" w:space="0" w:color="3071C3" w:themeColor="text2" w:themeTint="BF"/>
          <w:bottom w:val="single" w:sz="4" w:space="0" w:color="3071C3" w:themeColor="text2" w:themeTint="BF"/>
          <w:right w:val="single" w:sz="4" w:space="0" w:color="3071C3" w:themeColor="text2" w:themeTint="BF"/>
          <w:insideH w:val="none" w:sz="0" w:space="0" w:color="auto"/>
          <w:insideV w:val="none" w:sz="0" w:space="0" w:color="auto"/>
        </w:tblBorders>
        <w:tblLook w:val="04A0" w:firstRow="1" w:lastRow="0" w:firstColumn="1" w:lastColumn="0" w:noHBand="0" w:noVBand="1"/>
      </w:tblPr>
      <w:tblGrid>
        <w:gridCol w:w="4814"/>
        <w:gridCol w:w="4815"/>
      </w:tblGrid>
      <w:tr w:rsidR="00617FC9" w:rsidRPr="00986D12" w14:paraId="45BDACD5" w14:textId="77777777" w:rsidTr="009845D4">
        <w:trPr>
          <w:jc w:val="center"/>
        </w:trPr>
        <w:tc>
          <w:tcPr>
            <w:tcW w:w="4814" w:type="dxa"/>
          </w:tcPr>
          <w:p w14:paraId="4579082F" w14:textId="1F5CCC9F" w:rsidR="00617FC9" w:rsidRPr="00D50A71" w:rsidRDefault="00617FC9" w:rsidP="00696175">
            <w:pPr>
              <w:pStyle w:val="Tabletitle0"/>
              <w:jc w:val="center"/>
              <w:rPr>
                <w:rFonts w:asciiTheme="minorHAnsi" w:hAnsiTheme="minorHAnsi" w:cstheme="minorHAnsi"/>
                <w:color w:val="709FDB" w:themeColor="text2" w:themeTint="80"/>
                <w:sz w:val="22"/>
                <w:szCs w:val="24"/>
              </w:rPr>
            </w:pPr>
            <w:r w:rsidRPr="00D50A71">
              <w:rPr>
                <w:rFonts w:asciiTheme="minorHAnsi" w:hAnsiTheme="minorHAnsi" w:cstheme="minorHAnsi"/>
                <w:sz w:val="22"/>
                <w:szCs w:val="24"/>
              </w:rPr>
              <w:t>Response rate by membership type</w:t>
            </w:r>
          </w:p>
        </w:tc>
        <w:tc>
          <w:tcPr>
            <w:tcW w:w="4815" w:type="dxa"/>
          </w:tcPr>
          <w:p w14:paraId="4F3BD741" w14:textId="77777777" w:rsidR="00617FC9" w:rsidRPr="00D50A71" w:rsidRDefault="00617FC9" w:rsidP="00696175">
            <w:pPr>
              <w:pStyle w:val="Tabletitle0"/>
              <w:jc w:val="center"/>
              <w:rPr>
                <w:rFonts w:asciiTheme="minorHAnsi" w:hAnsiTheme="minorHAnsi" w:cstheme="minorHAnsi"/>
                <w:color w:val="709FDB" w:themeColor="text2" w:themeTint="80"/>
                <w:sz w:val="22"/>
                <w:szCs w:val="24"/>
              </w:rPr>
            </w:pPr>
            <w:r w:rsidRPr="00D50A71">
              <w:rPr>
                <w:rFonts w:asciiTheme="minorHAnsi" w:hAnsiTheme="minorHAnsi" w:cstheme="minorHAnsi"/>
                <w:sz w:val="22"/>
                <w:szCs w:val="24"/>
              </w:rPr>
              <w:t>Response rate by region</w:t>
            </w:r>
          </w:p>
        </w:tc>
      </w:tr>
      <w:tr w:rsidR="00617FC9" w:rsidRPr="00986D12" w14:paraId="748CD8A8" w14:textId="77777777" w:rsidTr="009845D4">
        <w:trPr>
          <w:jc w:val="center"/>
        </w:trPr>
        <w:tc>
          <w:tcPr>
            <w:tcW w:w="4814" w:type="dxa"/>
            <w:vAlign w:val="bottom"/>
          </w:tcPr>
          <w:p w14:paraId="189C4784" w14:textId="77777777" w:rsidR="00617FC9" w:rsidRPr="00986D12" w:rsidRDefault="00617FC9" w:rsidP="00696175">
            <w:pPr>
              <w:rPr>
                <w:rFonts w:asciiTheme="minorHAnsi" w:hAnsiTheme="minorHAnsi" w:cstheme="minorHAnsi"/>
              </w:rPr>
            </w:pPr>
            <w:r w:rsidRPr="00986D12">
              <w:rPr>
                <w:rFonts w:asciiTheme="minorHAnsi" w:hAnsiTheme="minorHAnsi" w:cstheme="minorHAnsi"/>
                <w:noProof/>
              </w:rPr>
              <w:drawing>
                <wp:inline distT="0" distB="0" distL="0" distR="0" wp14:anchorId="1BD897AE" wp14:editId="5F3FA249">
                  <wp:extent cx="2520000" cy="1334653"/>
                  <wp:effectExtent l="0" t="0" r="0" b="0"/>
                  <wp:docPr id="11748028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20000" cy="1334653"/>
                          </a:xfrm>
                          <a:prstGeom prst="rect">
                            <a:avLst/>
                          </a:prstGeom>
                          <a:noFill/>
                        </pic:spPr>
                      </pic:pic>
                    </a:graphicData>
                  </a:graphic>
                </wp:inline>
              </w:drawing>
            </w:r>
          </w:p>
        </w:tc>
        <w:tc>
          <w:tcPr>
            <w:tcW w:w="4815" w:type="dxa"/>
            <w:vAlign w:val="bottom"/>
          </w:tcPr>
          <w:p w14:paraId="3E704827" w14:textId="77777777" w:rsidR="00617FC9" w:rsidRPr="00986D12" w:rsidRDefault="00617FC9" w:rsidP="00696175">
            <w:pPr>
              <w:rPr>
                <w:rFonts w:asciiTheme="minorHAnsi" w:hAnsiTheme="minorHAnsi" w:cstheme="minorHAnsi"/>
              </w:rPr>
            </w:pPr>
            <w:r w:rsidRPr="00986D12">
              <w:rPr>
                <w:rFonts w:asciiTheme="minorHAnsi" w:hAnsiTheme="minorHAnsi" w:cstheme="minorHAnsi"/>
                <w:noProof/>
              </w:rPr>
              <w:drawing>
                <wp:inline distT="0" distB="0" distL="0" distR="0" wp14:anchorId="2741AD94" wp14:editId="1DACBF30">
                  <wp:extent cx="2520000" cy="1366149"/>
                  <wp:effectExtent l="0" t="0" r="0" b="0"/>
                  <wp:docPr id="2003435818" name="Picture 5" descr="A graph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35818" name="Picture 5" descr="A graph of different colors&#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20000" cy="1366149"/>
                          </a:xfrm>
                          <a:prstGeom prst="rect">
                            <a:avLst/>
                          </a:prstGeom>
                          <a:noFill/>
                        </pic:spPr>
                      </pic:pic>
                    </a:graphicData>
                  </a:graphic>
                </wp:inline>
              </w:drawing>
            </w:r>
          </w:p>
        </w:tc>
      </w:tr>
      <w:tr w:rsidR="00617FC9" w:rsidRPr="00986D12" w14:paraId="45E9C06A" w14:textId="77777777" w:rsidTr="009845D4">
        <w:trPr>
          <w:jc w:val="center"/>
        </w:trPr>
        <w:tc>
          <w:tcPr>
            <w:tcW w:w="9629" w:type="dxa"/>
            <w:gridSpan w:val="2"/>
          </w:tcPr>
          <w:p w14:paraId="5A6092BA" w14:textId="77777777" w:rsidR="00617FC9" w:rsidRPr="00986D12" w:rsidRDefault="00617FC9" w:rsidP="00696175">
            <w:pPr>
              <w:pStyle w:val="Notes"/>
              <w:rPr>
                <w:rFonts w:asciiTheme="minorHAnsi" w:hAnsiTheme="minorHAnsi" w:cstheme="minorHAnsi"/>
              </w:rPr>
            </w:pPr>
            <w:r w:rsidRPr="00986D12">
              <w:rPr>
                <w:rFonts w:asciiTheme="minorHAnsi" w:hAnsiTheme="minorHAnsi" w:cstheme="minorHAnsi"/>
              </w:rPr>
              <w:t>Note: Number of responses reported in parentheses.</w:t>
            </w:r>
          </w:p>
        </w:tc>
      </w:tr>
    </w:tbl>
    <w:p w14:paraId="338769FE" w14:textId="38FBC025" w:rsidR="00617FC9" w:rsidRPr="00986D12" w:rsidRDefault="009845D4" w:rsidP="00617FC9">
      <w:pPr>
        <w:jc w:val="both"/>
        <w:rPr>
          <w:rFonts w:asciiTheme="minorHAnsi" w:hAnsiTheme="minorHAnsi" w:cstheme="minorHAnsi"/>
          <w:lang w:val="en-US"/>
        </w:rPr>
      </w:pPr>
      <w:r>
        <w:rPr>
          <w:rFonts w:asciiTheme="minorHAnsi" w:hAnsiTheme="minorHAnsi" w:cstheme="minorHAnsi"/>
          <w:lang w:val="en-US"/>
        </w:rPr>
        <w:br/>
      </w:r>
      <w:r w:rsidR="00617FC9" w:rsidRPr="00986D12">
        <w:rPr>
          <w:rFonts w:asciiTheme="minorHAnsi" w:hAnsiTheme="minorHAnsi" w:cstheme="minorHAnsi"/>
          <w:lang w:val="en-US"/>
        </w:rPr>
        <w:t>Preliminary results of the Membership Survey</w:t>
      </w:r>
      <w:r w:rsidR="00617FC9" w:rsidRPr="00986D12">
        <w:rPr>
          <w:rStyle w:val="FootnoteReference"/>
          <w:rFonts w:asciiTheme="minorHAnsi" w:hAnsiTheme="minorHAnsi" w:cstheme="minorHAnsi"/>
          <w:szCs w:val="16"/>
          <w:lang w:val="en-US"/>
        </w:rPr>
        <w:footnoteReference w:id="2"/>
      </w:r>
      <w:r w:rsidR="00617FC9" w:rsidRPr="00986D12">
        <w:rPr>
          <w:rFonts w:asciiTheme="minorHAnsi" w:hAnsiTheme="minorHAnsi" w:cstheme="minorHAnsi"/>
          <w:lang w:val="en-US"/>
        </w:rPr>
        <w:t xml:space="preserve"> were presented at the World Telecommunication Development Conference 2025 (WTDC-25) during a special session on 24 November</w:t>
      </w:r>
      <w:r w:rsidR="00617FC9" w:rsidRPr="00986D12">
        <w:rPr>
          <w:rFonts w:asciiTheme="minorHAnsi" w:hAnsiTheme="minorHAnsi" w:cstheme="minorHAnsi"/>
        </w:rPr>
        <w:t xml:space="preserve"> and in the Interim Report </w:t>
      </w:r>
      <w:r w:rsidR="00617FC9" w:rsidRPr="00986D12">
        <w:rPr>
          <w:rFonts w:asciiTheme="minorHAnsi" w:hAnsiTheme="minorHAnsi" w:cstheme="minorHAnsi"/>
          <w:lang w:val="en-US"/>
        </w:rPr>
        <w:t xml:space="preserve">to CWG-FHR on 16 January 2026. Summary of the discussions during this session </w:t>
      </w:r>
      <w:r w:rsidR="00617FC9" w:rsidRPr="00986D12">
        <w:rPr>
          <w:rFonts w:asciiTheme="minorHAnsi" w:hAnsiTheme="minorHAnsi" w:cstheme="minorHAnsi"/>
          <w:lang w:val="en-US"/>
        </w:rPr>
        <w:lastRenderedPageBreak/>
        <w:t xml:space="preserve">have been posted in Annex 2 of Doc. </w:t>
      </w:r>
      <w:hyperlink r:id="rId27">
        <w:r w:rsidR="00617FC9" w:rsidRPr="00986D12">
          <w:rPr>
            <w:rStyle w:val="Hyperlink"/>
            <w:rFonts w:asciiTheme="minorHAnsi" w:hAnsiTheme="minorHAnsi" w:cstheme="minorHAnsi"/>
            <w:color w:val="5F497A" w:themeColor="accent4" w:themeShade="BF"/>
            <w:lang w:val="en-US"/>
          </w:rPr>
          <w:t>CWG-FHR-22/4</w:t>
        </w:r>
      </w:hyperlink>
      <w:r w:rsidR="00617FC9" w:rsidRPr="00986D12">
        <w:rPr>
          <w:rFonts w:asciiTheme="minorHAnsi" w:hAnsiTheme="minorHAnsi" w:cstheme="minorHAnsi"/>
          <w:lang w:val="en-US"/>
        </w:rPr>
        <w:t xml:space="preserve">. It is also available as Annex C1 below. The results for the Likert-scale questions are presented in Annex B (Doc. </w:t>
      </w:r>
      <w:hyperlink r:id="rId28" w:history="1">
        <w:r w:rsidR="00617FC9" w:rsidRPr="00986D12">
          <w:rPr>
            <w:rStyle w:val="Hyperlink"/>
            <w:rFonts w:asciiTheme="minorHAnsi" w:hAnsiTheme="minorHAnsi" w:cstheme="minorHAnsi"/>
            <w:color w:val="5F497A" w:themeColor="accent4" w:themeShade="BF"/>
            <w:lang w:val="en-US"/>
          </w:rPr>
          <w:t>CWG-FHR-22/4</w:t>
        </w:r>
      </w:hyperlink>
      <w:r w:rsidR="00617FC9" w:rsidRPr="00986D12">
        <w:rPr>
          <w:rFonts w:asciiTheme="minorHAnsi" w:hAnsiTheme="minorHAnsi" w:cstheme="minorHAnsi"/>
        </w:rPr>
        <w:t xml:space="preserve"> </w:t>
      </w:r>
      <w:r w:rsidR="00617FC9" w:rsidRPr="00986D12">
        <w:rPr>
          <w:rFonts w:asciiTheme="minorHAnsi" w:hAnsiTheme="minorHAnsi" w:cstheme="minorHAnsi"/>
          <w:i/>
          <w:iCs/>
        </w:rPr>
        <w:t>Annex 1</w:t>
      </w:r>
      <w:r w:rsidR="00617FC9" w:rsidRPr="00986D12">
        <w:rPr>
          <w:rFonts w:asciiTheme="minorHAnsi" w:hAnsiTheme="minorHAnsi" w:cstheme="minorHAnsi"/>
        </w:rPr>
        <w:t>)</w:t>
      </w:r>
      <w:r w:rsidR="00617FC9" w:rsidRPr="00986D12">
        <w:rPr>
          <w:rFonts w:asciiTheme="minorHAnsi" w:hAnsiTheme="minorHAnsi" w:cstheme="minorHAnsi"/>
          <w:lang w:val="en-US"/>
        </w:rPr>
        <w:t xml:space="preserve">, while the full results, including responses to open-ended questions, are available in a </w:t>
      </w:r>
      <w:hyperlink r:id="rId29" w:history="1">
        <w:r w:rsidR="00617FC9" w:rsidRPr="00995AFA">
          <w:rPr>
            <w:rStyle w:val="Hyperlink"/>
            <w:rFonts w:asciiTheme="minorHAnsi" w:hAnsiTheme="minorHAnsi" w:cstheme="minorHAnsi"/>
            <w:lang w:val="en-US"/>
          </w:rPr>
          <w:t>PowerBI dashboard</w:t>
        </w:r>
      </w:hyperlink>
      <w:r w:rsidR="00617FC9" w:rsidRPr="00986D12">
        <w:rPr>
          <w:rFonts w:asciiTheme="minorHAnsi" w:hAnsiTheme="minorHAnsi" w:cstheme="minorHAnsi"/>
          <w:lang w:val="en-US"/>
        </w:rPr>
        <w:t>.</w:t>
      </w:r>
    </w:p>
    <w:p w14:paraId="6CF9F3B0" w14:textId="77777777" w:rsidR="00617FC9" w:rsidRPr="00986D12" w:rsidRDefault="00617FC9" w:rsidP="00617FC9">
      <w:pPr>
        <w:pStyle w:val="Heading2"/>
      </w:pPr>
      <w:bookmarkStart w:id="59" w:name="_Toc224213027"/>
      <w:bookmarkStart w:id="60" w:name="_Toc225163570"/>
      <w:bookmarkStart w:id="61" w:name="_Toc226580572"/>
      <w:r w:rsidRPr="00986D12">
        <w:t>Stakeholder Consultations</w:t>
      </w:r>
      <w:bookmarkEnd w:id="59"/>
      <w:bookmarkEnd w:id="60"/>
      <w:bookmarkEnd w:id="61"/>
    </w:p>
    <w:p w14:paraId="4C068C8A" w14:textId="77777777" w:rsidR="00617FC9" w:rsidRDefault="00617FC9" w:rsidP="00617FC9">
      <w:pPr>
        <w:jc w:val="both"/>
        <w:rPr>
          <w:rFonts w:asciiTheme="minorHAnsi" w:hAnsiTheme="minorHAnsi" w:cstheme="minorHAnsi"/>
          <w:color w:val="000000" w:themeColor="text1"/>
        </w:rPr>
      </w:pPr>
      <w:r w:rsidRPr="00986D12">
        <w:rPr>
          <w:rFonts w:asciiTheme="minorHAnsi" w:hAnsiTheme="minorHAnsi" w:cstheme="minorHAnsi"/>
          <w:color w:val="000000" w:themeColor="text1"/>
        </w:rPr>
        <w:t xml:space="preserve">In keeping with the Terms of Reference contained in Annex A of </w:t>
      </w:r>
      <w:r w:rsidRPr="00986D12">
        <w:rPr>
          <w:rFonts w:asciiTheme="minorHAnsi" w:hAnsiTheme="minorHAnsi" w:cstheme="minorHAnsi"/>
          <w:lang w:val="en-US"/>
        </w:rPr>
        <w:t xml:space="preserve">Document </w:t>
      </w:r>
      <w:hyperlink r:id="rId30" w:history="1">
        <w:r w:rsidRPr="00986D12">
          <w:rPr>
            <w:rStyle w:val="Hyperlink"/>
            <w:rFonts w:asciiTheme="minorHAnsi" w:hAnsiTheme="minorHAnsi" w:cstheme="minorHAnsi"/>
            <w:color w:val="5F497A" w:themeColor="accent4" w:themeShade="BF"/>
            <w:lang w:val="en-US"/>
          </w:rPr>
          <w:t>C25/105</w:t>
        </w:r>
      </w:hyperlink>
      <w:r w:rsidRPr="00986D12">
        <w:rPr>
          <w:rFonts w:asciiTheme="minorHAnsi" w:hAnsiTheme="minorHAnsi" w:cstheme="minorHAnsi"/>
          <w:lang w:val="en-US"/>
        </w:rPr>
        <w:t xml:space="preserve">, stakeholder consultations were carried out including internal </w:t>
      </w:r>
      <w:r w:rsidRPr="00986D12">
        <w:rPr>
          <w:rFonts w:asciiTheme="minorHAnsi" w:hAnsiTheme="minorHAnsi" w:cstheme="minorHAnsi"/>
        </w:rPr>
        <w:t>stakeholders and consultations with ITU advisory groups to gain insights and strategic guidance on shaping the future direction of ITU’s regional presence.</w:t>
      </w:r>
      <w:r w:rsidRPr="00986D12">
        <w:rPr>
          <w:rFonts w:asciiTheme="minorHAnsi" w:hAnsiTheme="minorHAnsi" w:cstheme="minorHAnsi"/>
          <w:color w:val="000000" w:themeColor="text1"/>
        </w:rPr>
        <w:t xml:space="preserve"> The table below details the various consultations. </w:t>
      </w:r>
    </w:p>
    <w:p w14:paraId="324A6FA9" w14:textId="77777777" w:rsidR="00617FC9" w:rsidRPr="00986D12" w:rsidRDefault="00617FC9" w:rsidP="00617FC9">
      <w:pPr>
        <w:jc w:val="both"/>
        <w:rPr>
          <w:rFonts w:asciiTheme="minorHAnsi" w:hAnsiTheme="minorHAnsi" w:cstheme="minorHAnsi"/>
          <w:color w:val="000000" w:themeColor="text1"/>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3171"/>
        <w:gridCol w:w="2422"/>
        <w:gridCol w:w="4030"/>
      </w:tblGrid>
      <w:tr w:rsidR="00617FC9" w:rsidRPr="00E656D1" w14:paraId="7AEF396A" w14:textId="77777777" w:rsidTr="00696175">
        <w:trPr>
          <w:trHeight w:val="300"/>
          <w:tblHeader/>
        </w:trPr>
        <w:tc>
          <w:tcPr>
            <w:tcW w:w="2969" w:type="dxa"/>
            <w:tcMar>
              <w:left w:w="108" w:type="dxa"/>
              <w:right w:w="108" w:type="dxa"/>
            </w:tcMar>
          </w:tcPr>
          <w:p w14:paraId="6CAA84F4" w14:textId="77777777" w:rsidR="00617FC9" w:rsidRPr="00E656D1" w:rsidRDefault="00617FC9" w:rsidP="00696175">
            <w:pPr>
              <w:pStyle w:val="Tabletitle0"/>
              <w:rPr>
                <w:rFonts w:asciiTheme="minorHAnsi" w:hAnsiTheme="minorHAnsi" w:cstheme="minorHAnsi"/>
                <w:b w:val="0"/>
              </w:rPr>
            </w:pPr>
            <w:r w:rsidRPr="00E656D1">
              <w:rPr>
                <w:rFonts w:asciiTheme="minorHAnsi" w:hAnsiTheme="minorHAnsi" w:cstheme="minorHAnsi"/>
                <w:lang w:val="en-US"/>
              </w:rPr>
              <w:t>Details</w:t>
            </w:r>
          </w:p>
        </w:tc>
        <w:tc>
          <w:tcPr>
            <w:tcW w:w="2268" w:type="dxa"/>
            <w:tcMar>
              <w:left w:w="108" w:type="dxa"/>
              <w:right w:w="108" w:type="dxa"/>
            </w:tcMar>
          </w:tcPr>
          <w:p w14:paraId="64BB6752" w14:textId="77777777" w:rsidR="00617FC9" w:rsidRPr="00E656D1" w:rsidRDefault="00617FC9" w:rsidP="00696175">
            <w:pPr>
              <w:pStyle w:val="Tabletitle0"/>
              <w:rPr>
                <w:rFonts w:asciiTheme="minorHAnsi" w:hAnsiTheme="minorHAnsi" w:cstheme="minorHAnsi"/>
                <w:b w:val="0"/>
              </w:rPr>
            </w:pPr>
            <w:r w:rsidRPr="00E656D1">
              <w:rPr>
                <w:rFonts w:asciiTheme="minorHAnsi" w:hAnsiTheme="minorHAnsi" w:cstheme="minorHAnsi"/>
                <w:lang w:val="en-US"/>
              </w:rPr>
              <w:t>Date</w:t>
            </w:r>
          </w:p>
        </w:tc>
        <w:tc>
          <w:tcPr>
            <w:tcW w:w="3773" w:type="dxa"/>
            <w:tcMar>
              <w:left w:w="108" w:type="dxa"/>
              <w:right w:w="108" w:type="dxa"/>
            </w:tcMar>
          </w:tcPr>
          <w:p w14:paraId="0477972D" w14:textId="77777777" w:rsidR="00617FC9" w:rsidRPr="00E656D1" w:rsidRDefault="00617FC9" w:rsidP="00696175">
            <w:pPr>
              <w:pStyle w:val="Tabletitle0"/>
              <w:rPr>
                <w:rFonts w:asciiTheme="minorHAnsi" w:hAnsiTheme="minorHAnsi" w:cstheme="minorHAnsi"/>
                <w:b w:val="0"/>
              </w:rPr>
            </w:pPr>
            <w:r w:rsidRPr="00E656D1">
              <w:rPr>
                <w:rFonts w:asciiTheme="minorHAnsi" w:hAnsiTheme="minorHAnsi" w:cstheme="minorHAnsi"/>
                <w:lang w:val="en-US"/>
              </w:rPr>
              <w:t>Event / Remarks</w:t>
            </w:r>
          </w:p>
        </w:tc>
      </w:tr>
      <w:tr w:rsidR="00617FC9" w:rsidRPr="00E656D1" w14:paraId="29DE6838" w14:textId="77777777" w:rsidTr="00696175">
        <w:trPr>
          <w:trHeight w:val="300"/>
        </w:trPr>
        <w:tc>
          <w:tcPr>
            <w:tcW w:w="2969" w:type="dxa"/>
            <w:tcMar>
              <w:left w:w="108" w:type="dxa"/>
              <w:right w:w="108" w:type="dxa"/>
            </w:tcMar>
          </w:tcPr>
          <w:p w14:paraId="467A8DD2"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 xml:space="preserve">Interim report on the Review of the ITU Regional Presence (Doc. </w:t>
            </w:r>
            <w:hyperlink r:id="rId31">
              <w:r w:rsidRPr="00E656D1">
                <w:rPr>
                  <w:rStyle w:val="Hyperlink"/>
                  <w:rFonts w:asciiTheme="minorHAnsi" w:hAnsiTheme="minorHAnsi" w:cstheme="minorHAnsi"/>
                  <w:color w:val="5F497A" w:themeColor="accent4" w:themeShade="BF"/>
                  <w:lang w:val="en-US"/>
                </w:rPr>
                <w:t>CWG-FHR-21/4</w:t>
              </w:r>
            </w:hyperlink>
            <w:r w:rsidRPr="00E656D1">
              <w:rPr>
                <w:rFonts w:asciiTheme="minorHAnsi" w:hAnsiTheme="minorHAnsi" w:cstheme="minorHAnsi"/>
                <w:lang w:val="en-US"/>
              </w:rPr>
              <w:t>) prepared and presented at the 21</w:t>
            </w:r>
            <w:r w:rsidRPr="00E656D1">
              <w:rPr>
                <w:rFonts w:asciiTheme="minorHAnsi" w:hAnsiTheme="minorHAnsi" w:cstheme="minorHAnsi"/>
                <w:vertAlign w:val="superscript"/>
                <w:lang w:val="en-US"/>
              </w:rPr>
              <w:t>st</w:t>
            </w:r>
            <w:r w:rsidRPr="00E656D1">
              <w:rPr>
                <w:rFonts w:asciiTheme="minorHAnsi" w:hAnsiTheme="minorHAnsi" w:cstheme="minorHAnsi"/>
                <w:lang w:val="en-US"/>
              </w:rPr>
              <w:t xml:space="preserve"> CWG-FHR meeting.</w:t>
            </w:r>
          </w:p>
        </w:tc>
        <w:tc>
          <w:tcPr>
            <w:tcW w:w="2268" w:type="dxa"/>
            <w:tcMar>
              <w:left w:w="108" w:type="dxa"/>
              <w:right w:w="108" w:type="dxa"/>
            </w:tcMar>
          </w:tcPr>
          <w:p w14:paraId="669F83EF"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10-12 September 2025</w:t>
            </w:r>
          </w:p>
        </w:tc>
        <w:tc>
          <w:tcPr>
            <w:tcW w:w="3773" w:type="dxa"/>
            <w:tcMar>
              <w:left w:w="108" w:type="dxa"/>
              <w:right w:w="108" w:type="dxa"/>
            </w:tcMar>
          </w:tcPr>
          <w:p w14:paraId="10954F14"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Presentation at the 21</w:t>
            </w:r>
            <w:r w:rsidRPr="00E656D1">
              <w:rPr>
                <w:rFonts w:asciiTheme="minorHAnsi" w:hAnsiTheme="minorHAnsi" w:cstheme="minorHAnsi"/>
                <w:vertAlign w:val="superscript"/>
                <w:lang w:val="en-US"/>
              </w:rPr>
              <w:t>st</w:t>
            </w:r>
            <w:r w:rsidRPr="00E656D1">
              <w:rPr>
                <w:rFonts w:asciiTheme="minorHAnsi" w:hAnsiTheme="minorHAnsi" w:cstheme="minorHAnsi"/>
                <w:lang w:val="en-US"/>
              </w:rPr>
              <w:t xml:space="preserve"> CWG-FHR meeting on 10 September 2025.</w:t>
            </w:r>
          </w:p>
          <w:p w14:paraId="4B077148" w14:textId="77777777" w:rsidR="00617FC9" w:rsidRPr="00E656D1" w:rsidRDefault="00617FC9" w:rsidP="00696175">
            <w:pPr>
              <w:pStyle w:val="Texttable"/>
              <w:rPr>
                <w:rFonts w:asciiTheme="minorHAnsi" w:hAnsiTheme="minorHAnsi" w:cstheme="minorHAnsi"/>
              </w:rPr>
            </w:pPr>
          </w:p>
          <w:p w14:paraId="7791A7C7"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Summary Report of the 21</w:t>
            </w:r>
            <w:r w:rsidRPr="00E656D1">
              <w:rPr>
                <w:rFonts w:asciiTheme="minorHAnsi" w:hAnsiTheme="minorHAnsi" w:cstheme="minorHAnsi"/>
                <w:vertAlign w:val="superscript"/>
                <w:lang w:val="en-US"/>
              </w:rPr>
              <w:t>st</w:t>
            </w:r>
            <w:r w:rsidRPr="00E656D1">
              <w:rPr>
                <w:rFonts w:asciiTheme="minorHAnsi" w:hAnsiTheme="minorHAnsi" w:cstheme="minorHAnsi"/>
                <w:lang w:val="en-US"/>
              </w:rPr>
              <w:t xml:space="preserve"> CWG-FHR meeting (Doc. </w:t>
            </w:r>
            <w:hyperlink r:id="rId32">
              <w:r w:rsidRPr="00E656D1">
                <w:rPr>
                  <w:rStyle w:val="Hyperlink"/>
                  <w:rFonts w:asciiTheme="minorHAnsi" w:hAnsiTheme="minorHAnsi" w:cstheme="minorHAnsi"/>
                  <w:color w:val="5F497A" w:themeColor="accent4" w:themeShade="BF"/>
                  <w:lang w:val="en-US"/>
                </w:rPr>
                <w:t>CWG-FHR-21/25</w:t>
              </w:r>
            </w:hyperlink>
            <w:r w:rsidRPr="00E656D1">
              <w:rPr>
                <w:rFonts w:asciiTheme="minorHAnsi" w:hAnsiTheme="minorHAnsi" w:cstheme="minorHAnsi"/>
                <w:lang w:val="en-US"/>
              </w:rPr>
              <w:t>; pages 8-9).</w:t>
            </w:r>
          </w:p>
        </w:tc>
      </w:tr>
      <w:tr w:rsidR="00617FC9" w:rsidRPr="00E656D1" w14:paraId="45000585" w14:textId="77777777" w:rsidTr="00696175">
        <w:trPr>
          <w:trHeight w:val="300"/>
        </w:trPr>
        <w:tc>
          <w:tcPr>
            <w:tcW w:w="2969" w:type="dxa"/>
            <w:tcMar>
              <w:left w:w="108" w:type="dxa"/>
              <w:right w:w="108" w:type="dxa"/>
            </w:tcMar>
          </w:tcPr>
          <w:p w14:paraId="5450E79C" w14:textId="77777777" w:rsidR="00617FC9" w:rsidRPr="00E656D1" w:rsidRDefault="00617FC9" w:rsidP="00696175">
            <w:pPr>
              <w:pStyle w:val="Texttable"/>
              <w:rPr>
                <w:rFonts w:asciiTheme="minorHAnsi" w:hAnsiTheme="minorHAnsi" w:cstheme="minorHAnsi"/>
                <w:lang w:val="en-US"/>
              </w:rPr>
            </w:pPr>
            <w:r w:rsidRPr="00E656D1">
              <w:rPr>
                <w:rFonts w:asciiTheme="minorHAnsi" w:hAnsiTheme="minorHAnsi" w:cstheme="minorHAnsi"/>
                <w:lang w:val="en-US"/>
              </w:rPr>
              <w:t>Internal assessment survey</w:t>
            </w:r>
          </w:p>
        </w:tc>
        <w:tc>
          <w:tcPr>
            <w:tcW w:w="2268" w:type="dxa"/>
            <w:tcMar>
              <w:left w:w="108" w:type="dxa"/>
              <w:right w:w="108" w:type="dxa"/>
            </w:tcMar>
          </w:tcPr>
          <w:p w14:paraId="3ED23F83" w14:textId="77777777" w:rsidR="00617FC9" w:rsidRPr="00E656D1" w:rsidRDefault="00617FC9" w:rsidP="00696175">
            <w:pPr>
              <w:pStyle w:val="Texttable"/>
              <w:rPr>
                <w:rFonts w:asciiTheme="minorHAnsi" w:hAnsiTheme="minorHAnsi" w:cstheme="minorHAnsi"/>
                <w:lang w:val="en-US"/>
              </w:rPr>
            </w:pPr>
            <w:r w:rsidRPr="00E656D1">
              <w:rPr>
                <w:rFonts w:asciiTheme="minorHAnsi" w:hAnsiTheme="minorHAnsi" w:cstheme="minorHAnsi"/>
                <w:lang w:val="en-US"/>
              </w:rPr>
              <w:t>Launched 3 October 2025, Closed 7 November 2025</w:t>
            </w:r>
          </w:p>
        </w:tc>
        <w:tc>
          <w:tcPr>
            <w:tcW w:w="3773" w:type="dxa"/>
            <w:tcMar>
              <w:left w:w="108" w:type="dxa"/>
              <w:right w:w="108" w:type="dxa"/>
            </w:tcMar>
          </w:tcPr>
          <w:p w14:paraId="22DB5763" w14:textId="77777777" w:rsidR="00617FC9" w:rsidRPr="00E656D1" w:rsidRDefault="00617FC9" w:rsidP="00696175">
            <w:pPr>
              <w:pStyle w:val="Texttable"/>
              <w:rPr>
                <w:rFonts w:asciiTheme="minorHAnsi" w:hAnsiTheme="minorHAnsi" w:cstheme="minorHAnsi"/>
                <w:lang w:val="en-US"/>
              </w:rPr>
            </w:pPr>
            <w:r w:rsidRPr="00E656D1">
              <w:rPr>
                <w:rFonts w:asciiTheme="minorHAnsi" w:hAnsiTheme="minorHAnsi" w:cstheme="minorHAnsi"/>
                <w:lang w:val="en-US"/>
              </w:rPr>
              <w:t xml:space="preserve">The survey initially targeted ITU staff of the professional category </w:t>
            </w:r>
          </w:p>
          <w:p w14:paraId="53B43FCA" w14:textId="77777777" w:rsidR="00617FC9" w:rsidRPr="00E656D1" w:rsidRDefault="00617FC9" w:rsidP="00696175">
            <w:pPr>
              <w:pStyle w:val="Texttable"/>
              <w:rPr>
                <w:rFonts w:asciiTheme="minorHAnsi" w:hAnsiTheme="minorHAnsi" w:cstheme="minorHAnsi"/>
                <w:lang w:val="en-US"/>
              </w:rPr>
            </w:pPr>
            <w:r w:rsidRPr="00E656D1">
              <w:rPr>
                <w:rFonts w:asciiTheme="minorHAnsi" w:hAnsiTheme="minorHAnsi" w:cstheme="minorHAnsi"/>
                <w:lang w:val="en-US"/>
              </w:rPr>
              <w:t>(Elected officials and fixed-term staff P5 and above at headquarters and all professional staff in the regions; and was later relaunched based on membership feedback to include all staff. See below).</w:t>
            </w:r>
          </w:p>
        </w:tc>
      </w:tr>
      <w:tr w:rsidR="00617FC9" w:rsidRPr="00E656D1" w14:paraId="27D1ABB3" w14:textId="77777777" w:rsidTr="00696175">
        <w:trPr>
          <w:trHeight w:val="300"/>
        </w:trPr>
        <w:tc>
          <w:tcPr>
            <w:tcW w:w="2969" w:type="dxa"/>
            <w:tcMar>
              <w:left w:w="108" w:type="dxa"/>
              <w:right w:w="108" w:type="dxa"/>
            </w:tcMar>
          </w:tcPr>
          <w:p w14:paraId="2CE090B1"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Interim report presented to IMAC.</w:t>
            </w:r>
          </w:p>
        </w:tc>
        <w:tc>
          <w:tcPr>
            <w:tcW w:w="2268" w:type="dxa"/>
            <w:tcMar>
              <w:left w:w="108" w:type="dxa"/>
              <w:right w:w="108" w:type="dxa"/>
            </w:tcMar>
          </w:tcPr>
          <w:p w14:paraId="3E1B93D1"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12 November 2025</w:t>
            </w:r>
          </w:p>
        </w:tc>
        <w:tc>
          <w:tcPr>
            <w:tcW w:w="3773" w:type="dxa"/>
            <w:tcMar>
              <w:left w:w="108" w:type="dxa"/>
              <w:right w:w="108" w:type="dxa"/>
            </w:tcMar>
          </w:tcPr>
          <w:p w14:paraId="430297A3"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 xml:space="preserve">Presentation to IMAC. </w:t>
            </w:r>
          </w:p>
          <w:p w14:paraId="55801278"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IMAC requested that the updated draft of the final report be shared in advance for review, stressing the importance of its oversight role.</w:t>
            </w:r>
          </w:p>
          <w:p w14:paraId="2D515FA9" w14:textId="77777777" w:rsidR="00617FC9" w:rsidRPr="00E656D1" w:rsidRDefault="00617FC9" w:rsidP="00696175">
            <w:pPr>
              <w:pStyle w:val="Texttable"/>
              <w:rPr>
                <w:rFonts w:asciiTheme="minorHAnsi" w:hAnsiTheme="minorHAnsi" w:cstheme="minorHAnsi"/>
              </w:rPr>
            </w:pPr>
          </w:p>
          <w:p w14:paraId="25CF969C" w14:textId="77777777" w:rsidR="00617FC9" w:rsidRPr="00E656D1" w:rsidRDefault="00617FC9" w:rsidP="00696175">
            <w:pPr>
              <w:pStyle w:val="Texttable"/>
              <w:rPr>
                <w:rFonts w:asciiTheme="minorHAnsi" w:hAnsiTheme="minorHAnsi" w:cstheme="minorHAnsi"/>
                <w:color w:val="000000" w:themeColor="text1"/>
              </w:rPr>
            </w:pPr>
            <w:r w:rsidRPr="00E656D1">
              <w:rPr>
                <w:rFonts w:asciiTheme="minorHAnsi" w:hAnsiTheme="minorHAnsi" w:cstheme="minorHAnsi"/>
                <w:lang w:val="en-US"/>
              </w:rPr>
              <w:t xml:space="preserve">Final report shared </w:t>
            </w:r>
            <w:r w:rsidRPr="00E656D1">
              <w:rPr>
                <w:rFonts w:asciiTheme="minorHAnsi" w:hAnsiTheme="minorHAnsi" w:cstheme="minorHAnsi"/>
                <w:color w:val="000000" w:themeColor="text1"/>
                <w:lang w:val="en-US"/>
              </w:rPr>
              <w:t>with IMAC at the meeting of 26 March 2026.</w:t>
            </w:r>
          </w:p>
        </w:tc>
      </w:tr>
      <w:tr w:rsidR="00617FC9" w:rsidRPr="00E656D1" w14:paraId="0DC2293B" w14:textId="77777777" w:rsidTr="00696175">
        <w:trPr>
          <w:trHeight w:val="300"/>
        </w:trPr>
        <w:tc>
          <w:tcPr>
            <w:tcW w:w="2969" w:type="dxa"/>
            <w:tcMar>
              <w:left w:w="108" w:type="dxa"/>
              <w:right w:w="108" w:type="dxa"/>
            </w:tcMar>
          </w:tcPr>
          <w:p w14:paraId="31B4C161"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Interim report shared with External Auditors.</w:t>
            </w:r>
          </w:p>
        </w:tc>
        <w:tc>
          <w:tcPr>
            <w:tcW w:w="2268" w:type="dxa"/>
            <w:tcMar>
              <w:left w:w="108" w:type="dxa"/>
              <w:right w:w="108" w:type="dxa"/>
            </w:tcMar>
          </w:tcPr>
          <w:p w14:paraId="7E6B676C"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24 November 2025</w:t>
            </w:r>
          </w:p>
        </w:tc>
        <w:tc>
          <w:tcPr>
            <w:tcW w:w="3773" w:type="dxa"/>
            <w:tcMar>
              <w:left w:w="108" w:type="dxa"/>
              <w:right w:w="108" w:type="dxa"/>
            </w:tcMar>
          </w:tcPr>
          <w:p w14:paraId="796B9B7C"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 xml:space="preserve">Shared with External Auditors. </w:t>
            </w:r>
          </w:p>
          <w:p w14:paraId="3038CAA0"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No comments were received.</w:t>
            </w:r>
          </w:p>
        </w:tc>
      </w:tr>
      <w:tr w:rsidR="00617FC9" w:rsidRPr="00E656D1" w14:paraId="747AB362" w14:textId="77777777" w:rsidTr="00696175">
        <w:trPr>
          <w:trHeight w:val="300"/>
        </w:trPr>
        <w:tc>
          <w:tcPr>
            <w:tcW w:w="2969" w:type="dxa"/>
            <w:tcMar>
              <w:left w:w="108" w:type="dxa"/>
              <w:right w:w="108" w:type="dxa"/>
            </w:tcMar>
          </w:tcPr>
          <w:p w14:paraId="6CB46C63"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Special Session on the preliminary findings of the review; held in hybrid mode during the WTDC-25</w:t>
            </w:r>
          </w:p>
        </w:tc>
        <w:tc>
          <w:tcPr>
            <w:tcW w:w="2268" w:type="dxa"/>
            <w:tcMar>
              <w:left w:w="108" w:type="dxa"/>
              <w:right w:w="108" w:type="dxa"/>
            </w:tcMar>
          </w:tcPr>
          <w:p w14:paraId="60AEF565"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24 November 2025</w:t>
            </w:r>
          </w:p>
        </w:tc>
        <w:tc>
          <w:tcPr>
            <w:tcW w:w="3773" w:type="dxa"/>
            <w:tcMar>
              <w:left w:w="108" w:type="dxa"/>
              <w:right w:w="108" w:type="dxa"/>
            </w:tcMar>
          </w:tcPr>
          <w:p w14:paraId="3308FF08"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Presentation at the WTDC-25 Special Session.</w:t>
            </w:r>
          </w:p>
          <w:p w14:paraId="7B2C997D" w14:textId="77777777" w:rsidR="00617FC9" w:rsidRPr="00E656D1" w:rsidRDefault="00617FC9" w:rsidP="00696175">
            <w:pPr>
              <w:pStyle w:val="Texttable"/>
              <w:rPr>
                <w:rFonts w:asciiTheme="minorHAnsi" w:hAnsiTheme="minorHAnsi" w:cstheme="minorHAnsi"/>
              </w:rPr>
            </w:pPr>
          </w:p>
          <w:p w14:paraId="79094A77" w14:textId="77777777" w:rsidR="00617FC9" w:rsidRPr="00E656D1" w:rsidRDefault="00617FC9" w:rsidP="00696175">
            <w:pPr>
              <w:pStyle w:val="Texttable"/>
              <w:rPr>
                <w:rFonts w:asciiTheme="minorHAnsi" w:hAnsiTheme="minorHAnsi" w:cstheme="minorHAnsi"/>
                <w:color w:val="FF0000"/>
              </w:rPr>
            </w:pPr>
            <w:r w:rsidRPr="00E656D1">
              <w:rPr>
                <w:rFonts w:asciiTheme="minorHAnsi" w:hAnsiTheme="minorHAnsi" w:cstheme="minorHAnsi"/>
                <w:lang w:val="en-US"/>
              </w:rPr>
              <w:t xml:space="preserve">Summary of the discussions during this session have been posted in Annex 2 of Doc. </w:t>
            </w:r>
            <w:hyperlink r:id="rId33">
              <w:r w:rsidRPr="00E656D1">
                <w:rPr>
                  <w:rStyle w:val="Hyperlink"/>
                  <w:rFonts w:asciiTheme="minorHAnsi" w:hAnsiTheme="minorHAnsi" w:cstheme="minorHAnsi"/>
                  <w:color w:val="5F497A" w:themeColor="accent4" w:themeShade="BF"/>
                  <w:lang w:val="en-US"/>
                </w:rPr>
                <w:t>CWG-FHR-22/4</w:t>
              </w:r>
            </w:hyperlink>
            <w:r w:rsidRPr="00E656D1">
              <w:rPr>
                <w:rFonts w:asciiTheme="minorHAnsi" w:hAnsiTheme="minorHAnsi" w:cstheme="minorHAnsi"/>
                <w:lang w:val="en-US"/>
              </w:rPr>
              <w:t>. It is also available as Annex C1 below.</w:t>
            </w:r>
          </w:p>
        </w:tc>
      </w:tr>
      <w:tr w:rsidR="00617FC9" w:rsidRPr="00E656D1" w14:paraId="3157057D" w14:textId="77777777" w:rsidTr="00696175">
        <w:trPr>
          <w:trHeight w:val="300"/>
        </w:trPr>
        <w:tc>
          <w:tcPr>
            <w:tcW w:w="2969" w:type="dxa"/>
            <w:tcMar>
              <w:left w:w="108" w:type="dxa"/>
              <w:right w:w="108" w:type="dxa"/>
            </w:tcMar>
          </w:tcPr>
          <w:p w14:paraId="2240B60F" w14:textId="77777777" w:rsidR="00617FC9" w:rsidRPr="00E656D1" w:rsidRDefault="00617FC9" w:rsidP="00696175">
            <w:pPr>
              <w:pStyle w:val="Texttable"/>
              <w:rPr>
                <w:rFonts w:asciiTheme="minorHAnsi" w:hAnsiTheme="minorHAnsi" w:cstheme="minorHAnsi"/>
                <w:lang w:val="en-US"/>
              </w:rPr>
            </w:pPr>
            <w:r w:rsidRPr="00E656D1">
              <w:rPr>
                <w:rFonts w:asciiTheme="minorHAnsi" w:hAnsiTheme="minorHAnsi" w:cstheme="minorHAnsi"/>
                <w:lang w:val="en-US"/>
              </w:rPr>
              <w:t>Internal assessment survey relaunched</w:t>
            </w:r>
          </w:p>
        </w:tc>
        <w:tc>
          <w:tcPr>
            <w:tcW w:w="2268" w:type="dxa"/>
            <w:tcMar>
              <w:left w:w="108" w:type="dxa"/>
              <w:right w:w="108" w:type="dxa"/>
            </w:tcMar>
          </w:tcPr>
          <w:p w14:paraId="27950FE1" w14:textId="77777777" w:rsidR="00617FC9" w:rsidRPr="00E656D1" w:rsidRDefault="00617FC9" w:rsidP="00696175">
            <w:pPr>
              <w:pStyle w:val="Texttable"/>
              <w:rPr>
                <w:rFonts w:asciiTheme="minorHAnsi" w:hAnsiTheme="minorHAnsi" w:cstheme="minorHAnsi"/>
                <w:lang w:val="en-US"/>
              </w:rPr>
            </w:pPr>
            <w:r w:rsidRPr="00E656D1">
              <w:rPr>
                <w:rFonts w:asciiTheme="minorHAnsi" w:hAnsiTheme="minorHAnsi" w:cstheme="minorHAnsi"/>
                <w:lang w:val="en-US"/>
              </w:rPr>
              <w:t>Launched on 1 December 2025. Closed 24 December 2025.</w:t>
            </w:r>
          </w:p>
        </w:tc>
        <w:tc>
          <w:tcPr>
            <w:tcW w:w="3773" w:type="dxa"/>
            <w:tcMar>
              <w:left w:w="108" w:type="dxa"/>
              <w:right w:w="108" w:type="dxa"/>
            </w:tcMar>
          </w:tcPr>
          <w:p w14:paraId="1C8EE795" w14:textId="77777777" w:rsidR="00617FC9" w:rsidRPr="00E656D1" w:rsidRDefault="00617FC9" w:rsidP="00696175">
            <w:pPr>
              <w:pStyle w:val="Texttable"/>
              <w:rPr>
                <w:rFonts w:asciiTheme="minorHAnsi" w:hAnsiTheme="minorHAnsi" w:cstheme="minorHAnsi"/>
                <w:lang w:val="en-US"/>
              </w:rPr>
            </w:pPr>
            <w:r w:rsidRPr="00E656D1">
              <w:rPr>
                <w:rFonts w:asciiTheme="minorHAnsi" w:hAnsiTheme="minorHAnsi" w:cstheme="minorHAnsi"/>
                <w:lang w:val="en-US"/>
              </w:rPr>
              <w:t xml:space="preserve">Based on feedback from membership, the survey was expanded to all ITU staff, with a deadline for completion of 24 December. Please see Annex C2 (Doc. </w:t>
            </w:r>
            <w:hyperlink r:id="rId34" w:history="1">
              <w:r w:rsidRPr="00E656D1">
                <w:rPr>
                  <w:rStyle w:val="Hyperlink"/>
                  <w:rFonts w:asciiTheme="minorHAnsi" w:hAnsiTheme="minorHAnsi" w:cstheme="minorHAnsi"/>
                  <w:color w:val="5F497A" w:themeColor="accent4" w:themeShade="BF"/>
                  <w:lang w:val="en-US"/>
                </w:rPr>
                <w:t>CWG-FHR-22/4</w:t>
              </w:r>
              <w:r w:rsidRPr="00E656D1">
                <w:rPr>
                  <w:rStyle w:val="Hyperlink"/>
                  <w:rFonts w:asciiTheme="minorHAnsi" w:hAnsiTheme="minorHAnsi" w:cstheme="minorHAnsi"/>
                  <w:color w:val="5F497A" w:themeColor="accent4" w:themeShade="BF"/>
                </w:rPr>
                <w:t>(Rev.1)</w:t>
              </w:r>
            </w:hyperlink>
            <w:r w:rsidRPr="00E656D1">
              <w:rPr>
                <w:rFonts w:asciiTheme="minorHAnsi" w:hAnsiTheme="minorHAnsi" w:cstheme="minorHAnsi"/>
                <w:lang w:eastAsia="en-GB"/>
              </w:rPr>
              <w:t xml:space="preserve"> </w:t>
            </w:r>
            <w:r w:rsidRPr="00E656D1">
              <w:rPr>
                <w:rFonts w:asciiTheme="minorHAnsi" w:hAnsiTheme="minorHAnsi" w:cstheme="minorHAnsi"/>
                <w:i/>
                <w:iCs/>
                <w:lang w:eastAsia="en-GB"/>
              </w:rPr>
              <w:t>Annex 4</w:t>
            </w:r>
            <w:r w:rsidRPr="00E656D1">
              <w:rPr>
                <w:rFonts w:asciiTheme="minorHAnsi" w:hAnsiTheme="minorHAnsi" w:cstheme="minorHAnsi"/>
                <w:lang w:eastAsia="en-GB"/>
              </w:rPr>
              <w:t>)</w:t>
            </w:r>
            <w:r w:rsidRPr="00E656D1">
              <w:rPr>
                <w:rFonts w:asciiTheme="minorHAnsi" w:hAnsiTheme="minorHAnsi" w:cstheme="minorHAnsi"/>
                <w:lang w:val="en-US"/>
              </w:rPr>
              <w:t>.</w:t>
            </w:r>
          </w:p>
        </w:tc>
      </w:tr>
      <w:tr w:rsidR="00617FC9" w:rsidRPr="00E656D1" w14:paraId="13239D1A" w14:textId="77777777" w:rsidTr="00696175">
        <w:trPr>
          <w:trHeight w:val="300"/>
        </w:trPr>
        <w:tc>
          <w:tcPr>
            <w:tcW w:w="2969" w:type="dxa"/>
            <w:tcMar>
              <w:left w:w="108" w:type="dxa"/>
              <w:right w:w="108" w:type="dxa"/>
            </w:tcMar>
          </w:tcPr>
          <w:p w14:paraId="727A5563"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Interim report shared with Internal Auditors.</w:t>
            </w:r>
          </w:p>
        </w:tc>
        <w:tc>
          <w:tcPr>
            <w:tcW w:w="2268" w:type="dxa"/>
            <w:tcMar>
              <w:left w:w="108" w:type="dxa"/>
              <w:right w:w="108" w:type="dxa"/>
            </w:tcMar>
          </w:tcPr>
          <w:p w14:paraId="5A2AB405"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5 December 2025</w:t>
            </w:r>
          </w:p>
        </w:tc>
        <w:tc>
          <w:tcPr>
            <w:tcW w:w="3773" w:type="dxa"/>
            <w:tcMar>
              <w:left w:w="108" w:type="dxa"/>
              <w:right w:w="108" w:type="dxa"/>
            </w:tcMar>
          </w:tcPr>
          <w:p w14:paraId="334903CD"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 xml:space="preserve">Shared with Internal Auditors. </w:t>
            </w:r>
            <w:r w:rsidRPr="00E656D1">
              <w:rPr>
                <w:rFonts w:asciiTheme="minorHAnsi" w:hAnsiTheme="minorHAnsi" w:cstheme="minorHAnsi"/>
              </w:rPr>
              <w:br/>
            </w:r>
            <w:r w:rsidRPr="00E656D1">
              <w:rPr>
                <w:rFonts w:asciiTheme="minorHAnsi" w:hAnsiTheme="minorHAnsi" w:cstheme="minorHAnsi"/>
                <w:lang w:val="en-US"/>
              </w:rPr>
              <w:t>No comments were received.</w:t>
            </w:r>
          </w:p>
        </w:tc>
      </w:tr>
      <w:tr w:rsidR="00617FC9" w:rsidRPr="00E656D1" w14:paraId="332797DD" w14:textId="77777777" w:rsidTr="00696175">
        <w:trPr>
          <w:trHeight w:val="300"/>
        </w:trPr>
        <w:tc>
          <w:tcPr>
            <w:tcW w:w="2969" w:type="dxa"/>
            <w:tcMar>
              <w:left w:w="108" w:type="dxa"/>
              <w:right w:w="108" w:type="dxa"/>
            </w:tcMar>
          </w:tcPr>
          <w:p w14:paraId="584EA8D0"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Interviews with Regional Telecommunication Organization (RTOs)</w:t>
            </w:r>
          </w:p>
        </w:tc>
        <w:tc>
          <w:tcPr>
            <w:tcW w:w="2268" w:type="dxa"/>
            <w:tcMar>
              <w:left w:w="108" w:type="dxa"/>
              <w:right w:w="108" w:type="dxa"/>
            </w:tcMar>
          </w:tcPr>
          <w:p w14:paraId="5CAF2082"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24 December 2025-13 January 2026</w:t>
            </w:r>
          </w:p>
        </w:tc>
        <w:tc>
          <w:tcPr>
            <w:tcW w:w="3773" w:type="dxa"/>
            <w:tcMar>
              <w:left w:w="108" w:type="dxa"/>
              <w:right w:w="108" w:type="dxa"/>
            </w:tcMar>
          </w:tcPr>
          <w:p w14:paraId="457EF91D"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 xml:space="preserve">Summary of interviews is included in Annex C3. </w:t>
            </w:r>
          </w:p>
        </w:tc>
      </w:tr>
      <w:tr w:rsidR="00617FC9" w:rsidRPr="00E656D1" w14:paraId="17FD6EB2" w14:textId="77777777" w:rsidTr="00696175">
        <w:trPr>
          <w:trHeight w:val="300"/>
        </w:trPr>
        <w:tc>
          <w:tcPr>
            <w:tcW w:w="2969" w:type="dxa"/>
            <w:tcMar>
              <w:left w:w="108" w:type="dxa"/>
              <w:right w:w="108" w:type="dxa"/>
            </w:tcMar>
          </w:tcPr>
          <w:p w14:paraId="10F9DA52" w14:textId="77777777" w:rsidR="00617FC9" w:rsidRPr="00E656D1" w:rsidRDefault="00617FC9" w:rsidP="00696175">
            <w:pPr>
              <w:pStyle w:val="Texttable"/>
              <w:rPr>
                <w:rFonts w:asciiTheme="minorHAnsi" w:hAnsiTheme="minorHAnsi" w:cstheme="minorHAnsi"/>
                <w:color w:val="000000" w:themeColor="text1"/>
              </w:rPr>
            </w:pPr>
            <w:r w:rsidRPr="00E656D1">
              <w:rPr>
                <w:rFonts w:asciiTheme="minorHAnsi" w:hAnsiTheme="minorHAnsi" w:cstheme="minorHAnsi"/>
                <w:lang w:val="en-US"/>
              </w:rPr>
              <w:lastRenderedPageBreak/>
              <w:t>Interim report shared with Ethics Office.</w:t>
            </w:r>
          </w:p>
        </w:tc>
        <w:tc>
          <w:tcPr>
            <w:tcW w:w="2268" w:type="dxa"/>
            <w:tcMar>
              <w:left w:w="108" w:type="dxa"/>
              <w:right w:w="108" w:type="dxa"/>
            </w:tcMar>
          </w:tcPr>
          <w:p w14:paraId="5C3937E1"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10 February 2026</w:t>
            </w:r>
          </w:p>
        </w:tc>
        <w:tc>
          <w:tcPr>
            <w:tcW w:w="3773" w:type="dxa"/>
            <w:tcMar>
              <w:left w:w="108" w:type="dxa"/>
              <w:right w:w="108" w:type="dxa"/>
            </w:tcMar>
          </w:tcPr>
          <w:p w14:paraId="1A21A681"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rPr>
              <w:t>Shared with Ethics Office.</w:t>
            </w:r>
            <w:r w:rsidRPr="00E656D1">
              <w:rPr>
                <w:rFonts w:asciiTheme="minorHAnsi" w:hAnsiTheme="minorHAnsi" w:cstheme="minorHAnsi"/>
              </w:rPr>
              <w:br/>
            </w:r>
            <w:r w:rsidRPr="00E656D1">
              <w:rPr>
                <w:rFonts w:asciiTheme="minorHAnsi" w:hAnsiTheme="minorHAnsi" w:cstheme="minorHAnsi"/>
                <w:lang w:val="en-US"/>
              </w:rPr>
              <w:t>No comments were received.</w:t>
            </w:r>
          </w:p>
        </w:tc>
      </w:tr>
      <w:tr w:rsidR="00617FC9" w:rsidRPr="00E656D1" w14:paraId="50DAB958" w14:textId="77777777" w:rsidTr="00696175">
        <w:trPr>
          <w:trHeight w:val="300"/>
        </w:trPr>
        <w:tc>
          <w:tcPr>
            <w:tcW w:w="2969" w:type="dxa"/>
            <w:tcMar>
              <w:left w:w="108" w:type="dxa"/>
              <w:right w:w="108" w:type="dxa"/>
            </w:tcMar>
          </w:tcPr>
          <w:p w14:paraId="708C4F3E"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 xml:space="preserve">Interim report with initial analysis and emerging themes prepared by 12 December 2025 (Doc. </w:t>
            </w:r>
            <w:hyperlink r:id="rId35">
              <w:r w:rsidRPr="00E656D1">
                <w:rPr>
                  <w:rStyle w:val="Hyperlink"/>
                  <w:rFonts w:asciiTheme="minorHAnsi" w:hAnsiTheme="minorHAnsi" w:cstheme="minorHAnsi"/>
                  <w:color w:val="5F497A" w:themeColor="accent4" w:themeShade="BF"/>
                  <w:lang w:val="en-US"/>
                </w:rPr>
                <w:t>CWG-FHR-22/4</w:t>
              </w:r>
            </w:hyperlink>
            <w:r w:rsidRPr="00E656D1">
              <w:rPr>
                <w:rFonts w:asciiTheme="minorHAnsi" w:hAnsiTheme="minorHAnsi" w:cstheme="minorHAnsi"/>
                <w:lang w:val="en-US"/>
              </w:rPr>
              <w:t>) and presented at the 22</w:t>
            </w:r>
            <w:r w:rsidRPr="00E656D1">
              <w:rPr>
                <w:rFonts w:asciiTheme="minorHAnsi" w:hAnsiTheme="minorHAnsi" w:cstheme="minorHAnsi"/>
                <w:vertAlign w:val="superscript"/>
                <w:lang w:val="en-US"/>
              </w:rPr>
              <w:t>nd</w:t>
            </w:r>
            <w:r w:rsidRPr="00E656D1">
              <w:rPr>
                <w:rFonts w:asciiTheme="minorHAnsi" w:hAnsiTheme="minorHAnsi" w:cstheme="minorHAnsi"/>
                <w:lang w:val="en-US"/>
              </w:rPr>
              <w:t xml:space="preserve"> meeting of the CWG-FHR, together with an Information Document on Strengthening the Regional Presence (Doc. </w:t>
            </w:r>
            <w:hyperlink r:id="rId36">
              <w:r w:rsidRPr="00E656D1">
                <w:rPr>
                  <w:rStyle w:val="Hyperlink"/>
                  <w:rFonts w:asciiTheme="minorHAnsi" w:hAnsiTheme="minorHAnsi" w:cstheme="minorHAnsi"/>
                  <w:color w:val="5F497A" w:themeColor="accent4" w:themeShade="BF"/>
                  <w:lang w:val="en-US"/>
                </w:rPr>
                <w:t>CWG-FHR-22/INF/1</w:t>
              </w:r>
            </w:hyperlink>
            <w:r w:rsidRPr="00E656D1">
              <w:rPr>
                <w:rFonts w:asciiTheme="minorHAnsi" w:hAnsiTheme="minorHAnsi" w:cstheme="minorHAnsi"/>
                <w:lang w:val="en-US"/>
              </w:rPr>
              <w:t>).</w:t>
            </w:r>
          </w:p>
        </w:tc>
        <w:tc>
          <w:tcPr>
            <w:tcW w:w="2268" w:type="dxa"/>
            <w:tcMar>
              <w:left w:w="108" w:type="dxa"/>
              <w:right w:w="108" w:type="dxa"/>
            </w:tcMar>
          </w:tcPr>
          <w:p w14:paraId="51C900A6"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14-16 January 2026</w:t>
            </w:r>
          </w:p>
        </w:tc>
        <w:tc>
          <w:tcPr>
            <w:tcW w:w="3773" w:type="dxa"/>
            <w:tcMar>
              <w:left w:w="108" w:type="dxa"/>
              <w:right w:w="108" w:type="dxa"/>
            </w:tcMar>
          </w:tcPr>
          <w:p w14:paraId="272AB55A"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Presentation at the 22</w:t>
            </w:r>
            <w:r w:rsidRPr="00E656D1">
              <w:rPr>
                <w:rFonts w:asciiTheme="minorHAnsi" w:hAnsiTheme="minorHAnsi" w:cstheme="minorHAnsi"/>
                <w:vertAlign w:val="superscript"/>
                <w:lang w:val="en-US"/>
              </w:rPr>
              <w:t>nd</w:t>
            </w:r>
            <w:r w:rsidRPr="00E656D1">
              <w:rPr>
                <w:rFonts w:asciiTheme="minorHAnsi" w:hAnsiTheme="minorHAnsi" w:cstheme="minorHAnsi"/>
                <w:lang w:val="en-US"/>
              </w:rPr>
              <w:t xml:space="preserve"> CWG-FHR meeting on 16 January 2026.</w:t>
            </w:r>
          </w:p>
          <w:p w14:paraId="2C7BF764" w14:textId="77777777" w:rsidR="00617FC9" w:rsidRPr="00E656D1" w:rsidRDefault="00617FC9" w:rsidP="00696175">
            <w:pPr>
              <w:pStyle w:val="Texttable"/>
              <w:rPr>
                <w:rFonts w:asciiTheme="minorHAnsi" w:hAnsiTheme="minorHAnsi" w:cstheme="minorHAnsi"/>
              </w:rPr>
            </w:pPr>
          </w:p>
          <w:p w14:paraId="2ACE8BEC"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Summary Report of the 22</w:t>
            </w:r>
            <w:r w:rsidRPr="00E656D1">
              <w:rPr>
                <w:rFonts w:asciiTheme="minorHAnsi" w:hAnsiTheme="minorHAnsi" w:cstheme="minorHAnsi"/>
                <w:vertAlign w:val="superscript"/>
                <w:lang w:val="en-US"/>
              </w:rPr>
              <w:t>nd</w:t>
            </w:r>
            <w:r w:rsidRPr="00E656D1">
              <w:rPr>
                <w:rFonts w:asciiTheme="minorHAnsi" w:hAnsiTheme="minorHAnsi" w:cstheme="minorHAnsi"/>
                <w:lang w:val="en-US"/>
              </w:rPr>
              <w:t xml:space="preserve"> CWG-FHR meeting (Doc. </w:t>
            </w:r>
            <w:hyperlink r:id="rId37">
              <w:r w:rsidRPr="00E656D1">
                <w:rPr>
                  <w:rStyle w:val="Hyperlink"/>
                  <w:rFonts w:asciiTheme="minorHAnsi" w:hAnsiTheme="minorHAnsi" w:cstheme="minorHAnsi"/>
                  <w:color w:val="5F497A" w:themeColor="accent4" w:themeShade="BF"/>
                  <w:lang w:val="en-US"/>
                </w:rPr>
                <w:t>CWG-FHR-22/36</w:t>
              </w:r>
            </w:hyperlink>
            <w:r w:rsidRPr="00E656D1">
              <w:rPr>
                <w:rFonts w:asciiTheme="minorHAnsi" w:hAnsiTheme="minorHAnsi" w:cstheme="minorHAnsi"/>
                <w:lang w:val="en-US"/>
              </w:rPr>
              <w:t>; pages 28-31).</w:t>
            </w:r>
          </w:p>
        </w:tc>
      </w:tr>
      <w:tr w:rsidR="00617FC9" w:rsidRPr="00E656D1" w14:paraId="14296E6B" w14:textId="77777777" w:rsidTr="00696175">
        <w:trPr>
          <w:trHeight w:val="300"/>
        </w:trPr>
        <w:tc>
          <w:tcPr>
            <w:tcW w:w="2969" w:type="dxa"/>
            <w:tcMar>
              <w:left w:w="108" w:type="dxa"/>
              <w:right w:w="108" w:type="dxa"/>
            </w:tcMar>
          </w:tcPr>
          <w:p w14:paraId="72055249"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 xml:space="preserve">Interim report (Doc. </w:t>
            </w:r>
            <w:hyperlink r:id="rId38">
              <w:r w:rsidRPr="00E656D1">
                <w:rPr>
                  <w:rStyle w:val="Hyperlink"/>
                  <w:rFonts w:asciiTheme="minorHAnsi" w:hAnsiTheme="minorHAnsi" w:cstheme="minorHAnsi"/>
                  <w:color w:val="5F497A" w:themeColor="accent4" w:themeShade="BF"/>
                  <w:lang w:val="en-US"/>
                </w:rPr>
                <w:t>TSAG-TD314</w:t>
              </w:r>
            </w:hyperlink>
            <w:r w:rsidRPr="00E656D1">
              <w:rPr>
                <w:rFonts w:asciiTheme="minorHAnsi" w:hAnsiTheme="minorHAnsi" w:cstheme="minorHAnsi"/>
                <w:lang w:val="en-US"/>
              </w:rPr>
              <w:t>) presented at the Telecommunication Standardization Advisory Group (TSAG).</w:t>
            </w:r>
          </w:p>
        </w:tc>
        <w:tc>
          <w:tcPr>
            <w:tcW w:w="2268" w:type="dxa"/>
            <w:tcMar>
              <w:left w:w="108" w:type="dxa"/>
              <w:right w:w="108" w:type="dxa"/>
            </w:tcMar>
          </w:tcPr>
          <w:p w14:paraId="5132BB3F"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26-30 January 2026</w:t>
            </w:r>
          </w:p>
        </w:tc>
        <w:tc>
          <w:tcPr>
            <w:tcW w:w="3773" w:type="dxa"/>
            <w:tcMar>
              <w:left w:w="108" w:type="dxa"/>
              <w:right w:w="108" w:type="dxa"/>
            </w:tcMar>
          </w:tcPr>
          <w:p w14:paraId="22463C20" w14:textId="77777777" w:rsidR="00617FC9" w:rsidRPr="00E656D1" w:rsidRDefault="00617FC9" w:rsidP="00696175">
            <w:pPr>
              <w:pStyle w:val="Texttable"/>
              <w:rPr>
                <w:rFonts w:asciiTheme="minorHAnsi" w:hAnsiTheme="minorHAnsi" w:cstheme="minorHAnsi"/>
                <w:lang w:val="en-US"/>
              </w:rPr>
            </w:pPr>
            <w:r w:rsidRPr="00E656D1">
              <w:rPr>
                <w:rFonts w:asciiTheme="minorHAnsi" w:hAnsiTheme="minorHAnsi" w:cstheme="minorHAnsi"/>
                <w:lang w:val="en-US"/>
              </w:rPr>
              <w:t xml:space="preserve">Presentation at TSAG on 30 January 2026. </w:t>
            </w:r>
          </w:p>
          <w:p w14:paraId="7B7D621A" w14:textId="77777777" w:rsidR="00617FC9" w:rsidRPr="00E656D1" w:rsidRDefault="00617FC9" w:rsidP="00696175">
            <w:pPr>
              <w:pStyle w:val="Texttable"/>
              <w:rPr>
                <w:rFonts w:asciiTheme="minorHAnsi" w:hAnsiTheme="minorHAnsi" w:cstheme="minorHAnsi"/>
                <w:lang w:val="en-US"/>
              </w:rPr>
            </w:pPr>
            <w:r w:rsidRPr="00E656D1">
              <w:rPr>
                <w:rFonts w:asciiTheme="minorHAnsi" w:hAnsiTheme="minorHAnsi" w:cstheme="minorHAnsi"/>
                <w:lang w:val="en-US"/>
              </w:rPr>
              <w:t>No comments were received.</w:t>
            </w:r>
          </w:p>
        </w:tc>
      </w:tr>
      <w:tr w:rsidR="00617FC9" w:rsidRPr="00E656D1" w14:paraId="2F1C208E" w14:textId="77777777" w:rsidTr="00696175">
        <w:trPr>
          <w:trHeight w:val="840"/>
        </w:trPr>
        <w:tc>
          <w:tcPr>
            <w:tcW w:w="2969" w:type="dxa"/>
            <w:tcMar>
              <w:left w:w="108" w:type="dxa"/>
              <w:right w:w="108" w:type="dxa"/>
            </w:tcMar>
          </w:tcPr>
          <w:p w14:paraId="147DB2CD"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Information Session on Regional Presence prior to Council 26.</w:t>
            </w:r>
          </w:p>
        </w:tc>
        <w:tc>
          <w:tcPr>
            <w:tcW w:w="2268" w:type="dxa"/>
            <w:tcMar>
              <w:left w:w="108" w:type="dxa"/>
              <w:right w:w="108" w:type="dxa"/>
            </w:tcMar>
          </w:tcPr>
          <w:p w14:paraId="3541113B"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5 March 2026</w:t>
            </w:r>
          </w:p>
        </w:tc>
        <w:tc>
          <w:tcPr>
            <w:tcW w:w="3773" w:type="dxa"/>
            <w:tcMar>
              <w:left w:w="108" w:type="dxa"/>
              <w:right w:w="108" w:type="dxa"/>
            </w:tcMar>
          </w:tcPr>
          <w:p w14:paraId="1C3EC519" w14:textId="77777777" w:rsidR="00617FC9" w:rsidRPr="00E656D1" w:rsidRDefault="00617FC9" w:rsidP="00696175">
            <w:pPr>
              <w:pStyle w:val="Texttable"/>
              <w:rPr>
                <w:rFonts w:asciiTheme="minorHAnsi" w:hAnsiTheme="minorHAnsi" w:cstheme="minorHAnsi"/>
              </w:rPr>
            </w:pPr>
            <w:hyperlink r:id="rId39">
              <w:r w:rsidRPr="00E656D1">
                <w:rPr>
                  <w:rStyle w:val="Hyperlink"/>
                  <w:rFonts w:asciiTheme="minorHAnsi" w:hAnsiTheme="minorHAnsi" w:cstheme="minorHAnsi"/>
                  <w:color w:val="5F497A" w:themeColor="accent4" w:themeShade="BF"/>
                  <w:lang w:val="en-US"/>
                </w:rPr>
                <w:t>Presentation</w:t>
              </w:r>
            </w:hyperlink>
            <w:r w:rsidRPr="00E656D1">
              <w:rPr>
                <w:rFonts w:asciiTheme="minorHAnsi" w:hAnsiTheme="minorHAnsi" w:cstheme="minorHAnsi"/>
                <w:lang w:val="en-US"/>
              </w:rPr>
              <w:t xml:space="preserve"> at the Information Session prior to Council.</w:t>
            </w:r>
          </w:p>
        </w:tc>
      </w:tr>
      <w:tr w:rsidR="00617FC9" w:rsidRPr="00E656D1" w14:paraId="02275340" w14:textId="77777777" w:rsidTr="00696175">
        <w:trPr>
          <w:trHeight w:val="840"/>
        </w:trPr>
        <w:tc>
          <w:tcPr>
            <w:tcW w:w="2969" w:type="dxa"/>
            <w:tcMar>
              <w:left w:w="108" w:type="dxa"/>
              <w:right w:w="108" w:type="dxa"/>
            </w:tcMar>
          </w:tcPr>
          <w:p w14:paraId="6519C492" w14:textId="77777777" w:rsidR="00617FC9" w:rsidRPr="00E656D1" w:rsidRDefault="00617FC9" w:rsidP="00696175">
            <w:pPr>
              <w:pStyle w:val="Texttable"/>
              <w:rPr>
                <w:rFonts w:asciiTheme="minorHAnsi" w:hAnsiTheme="minorHAnsi" w:cstheme="minorHAnsi"/>
                <w:color w:val="000000" w:themeColor="text1"/>
              </w:rPr>
            </w:pPr>
            <w:r w:rsidRPr="00E656D1">
              <w:rPr>
                <w:rFonts w:asciiTheme="minorHAnsi" w:hAnsiTheme="minorHAnsi" w:cstheme="minorHAnsi"/>
                <w:lang w:val="en-US"/>
              </w:rPr>
              <w:t xml:space="preserve">Interim report (Doc. </w:t>
            </w:r>
            <w:hyperlink r:id="rId40">
              <w:r w:rsidRPr="00E656D1">
                <w:rPr>
                  <w:rStyle w:val="Hyperlink"/>
                  <w:rFonts w:asciiTheme="minorHAnsi" w:hAnsiTheme="minorHAnsi" w:cstheme="minorHAnsi"/>
                  <w:color w:val="5F497A" w:themeColor="accent4" w:themeShade="BF"/>
                  <w:lang w:val="en-US"/>
                </w:rPr>
                <w:t>RAG/66</w:t>
              </w:r>
            </w:hyperlink>
            <w:r w:rsidRPr="00E656D1">
              <w:rPr>
                <w:rFonts w:asciiTheme="minorHAnsi" w:hAnsiTheme="minorHAnsi" w:cstheme="minorHAnsi"/>
                <w:color w:val="000000" w:themeColor="text1"/>
                <w:lang w:val="en-US"/>
              </w:rPr>
              <w:t>) presented at the Radiocommunication Advisory Group (RAG).</w:t>
            </w:r>
          </w:p>
        </w:tc>
        <w:tc>
          <w:tcPr>
            <w:tcW w:w="2268" w:type="dxa"/>
            <w:tcMar>
              <w:left w:w="108" w:type="dxa"/>
              <w:right w:w="108" w:type="dxa"/>
            </w:tcMar>
          </w:tcPr>
          <w:p w14:paraId="2896FED7"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30 March-2 April 2026</w:t>
            </w:r>
          </w:p>
        </w:tc>
        <w:tc>
          <w:tcPr>
            <w:tcW w:w="3773" w:type="dxa"/>
            <w:tcMar>
              <w:left w:w="108" w:type="dxa"/>
              <w:right w:w="108" w:type="dxa"/>
            </w:tcMar>
          </w:tcPr>
          <w:p w14:paraId="43BB43DD"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 xml:space="preserve">Presentation at RAG. </w:t>
            </w:r>
          </w:p>
        </w:tc>
      </w:tr>
      <w:tr w:rsidR="00617FC9" w:rsidRPr="00E656D1" w14:paraId="1742856B" w14:textId="77777777" w:rsidTr="00696175">
        <w:trPr>
          <w:trHeight w:val="840"/>
        </w:trPr>
        <w:tc>
          <w:tcPr>
            <w:tcW w:w="2969" w:type="dxa"/>
            <w:tcMar>
              <w:left w:w="108" w:type="dxa"/>
              <w:right w:w="108" w:type="dxa"/>
            </w:tcMar>
          </w:tcPr>
          <w:p w14:paraId="39B1692F" w14:textId="77777777" w:rsidR="00617FC9" w:rsidRPr="00E656D1" w:rsidRDefault="00617FC9" w:rsidP="00696175">
            <w:pPr>
              <w:pStyle w:val="Texttable"/>
              <w:rPr>
                <w:rFonts w:asciiTheme="minorHAnsi" w:hAnsiTheme="minorHAnsi" w:cstheme="minorHAnsi"/>
                <w:color w:val="000000" w:themeColor="text1"/>
              </w:rPr>
            </w:pPr>
            <w:r w:rsidRPr="00E656D1">
              <w:rPr>
                <w:rFonts w:asciiTheme="minorHAnsi" w:hAnsiTheme="minorHAnsi" w:cstheme="minorHAnsi"/>
                <w:lang w:val="en-US"/>
              </w:rPr>
              <w:t xml:space="preserve">Interim report (Doc. </w:t>
            </w:r>
            <w:hyperlink r:id="rId41">
              <w:r w:rsidRPr="00E656D1">
                <w:rPr>
                  <w:rStyle w:val="Hyperlink"/>
                  <w:rFonts w:asciiTheme="minorHAnsi" w:hAnsiTheme="minorHAnsi" w:cstheme="minorHAnsi"/>
                  <w:color w:val="5F497A" w:themeColor="accent4" w:themeShade="BF"/>
                </w:rPr>
                <w:t>TDAG-26/16</w:t>
              </w:r>
            </w:hyperlink>
            <w:r w:rsidRPr="00E656D1">
              <w:rPr>
                <w:rFonts w:asciiTheme="minorHAnsi" w:hAnsiTheme="minorHAnsi" w:cstheme="minorHAnsi"/>
                <w:color w:val="000000" w:themeColor="text1"/>
                <w:lang w:val="en-US"/>
              </w:rPr>
              <w:t>) presented at the Telecommunication Development Advisory Group (TDAG).</w:t>
            </w:r>
          </w:p>
        </w:tc>
        <w:tc>
          <w:tcPr>
            <w:tcW w:w="2268" w:type="dxa"/>
            <w:tcMar>
              <w:left w:w="108" w:type="dxa"/>
              <w:right w:w="108" w:type="dxa"/>
            </w:tcMar>
          </w:tcPr>
          <w:p w14:paraId="661D0CFC"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7-10 April 2026</w:t>
            </w:r>
          </w:p>
        </w:tc>
        <w:tc>
          <w:tcPr>
            <w:tcW w:w="3773" w:type="dxa"/>
            <w:tcMar>
              <w:left w:w="108" w:type="dxa"/>
              <w:right w:w="108" w:type="dxa"/>
            </w:tcMar>
          </w:tcPr>
          <w:p w14:paraId="03881962"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Presentation at TDAG on 9 April 2026.</w:t>
            </w:r>
          </w:p>
        </w:tc>
      </w:tr>
      <w:tr w:rsidR="00617FC9" w:rsidRPr="00E656D1" w14:paraId="64410293" w14:textId="77777777" w:rsidTr="00696175">
        <w:trPr>
          <w:trHeight w:val="300"/>
        </w:trPr>
        <w:tc>
          <w:tcPr>
            <w:tcW w:w="2969" w:type="dxa"/>
            <w:tcMar>
              <w:left w:w="108" w:type="dxa"/>
              <w:right w:w="108" w:type="dxa"/>
            </w:tcMar>
          </w:tcPr>
          <w:p w14:paraId="6E0511EA"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Final Report presented at Council-26.</w:t>
            </w:r>
          </w:p>
        </w:tc>
        <w:tc>
          <w:tcPr>
            <w:tcW w:w="2268" w:type="dxa"/>
            <w:tcMar>
              <w:left w:w="108" w:type="dxa"/>
              <w:right w:w="108" w:type="dxa"/>
            </w:tcMar>
          </w:tcPr>
          <w:p w14:paraId="538D391D" w14:textId="77777777" w:rsidR="00617FC9" w:rsidRPr="00E656D1" w:rsidRDefault="00617FC9" w:rsidP="00696175">
            <w:pPr>
              <w:pStyle w:val="Texttable"/>
              <w:rPr>
                <w:rFonts w:asciiTheme="minorHAnsi" w:hAnsiTheme="minorHAnsi" w:cstheme="minorHAnsi"/>
              </w:rPr>
            </w:pPr>
            <w:r w:rsidRPr="00E656D1">
              <w:rPr>
                <w:rFonts w:asciiTheme="minorHAnsi" w:hAnsiTheme="minorHAnsi" w:cstheme="minorHAnsi"/>
                <w:lang w:val="en-US"/>
              </w:rPr>
              <w:t>28 April-8 May 2026</w:t>
            </w:r>
          </w:p>
        </w:tc>
        <w:tc>
          <w:tcPr>
            <w:tcW w:w="3773" w:type="dxa"/>
            <w:tcMar>
              <w:left w:w="108" w:type="dxa"/>
              <w:right w:w="108" w:type="dxa"/>
            </w:tcMar>
          </w:tcPr>
          <w:p w14:paraId="6BD4F828" w14:textId="77777777" w:rsidR="00617FC9" w:rsidRPr="00E656D1" w:rsidRDefault="00617FC9" w:rsidP="00696175">
            <w:pPr>
              <w:pStyle w:val="Texttable"/>
              <w:rPr>
                <w:rFonts w:asciiTheme="minorHAnsi" w:hAnsiTheme="minorHAnsi" w:cstheme="minorHAnsi"/>
                <w:lang w:val="en-US"/>
              </w:rPr>
            </w:pPr>
            <w:r w:rsidRPr="00E656D1">
              <w:rPr>
                <w:rFonts w:asciiTheme="minorHAnsi" w:hAnsiTheme="minorHAnsi" w:cstheme="minorHAnsi"/>
                <w:lang w:val="en-US"/>
              </w:rPr>
              <w:t xml:space="preserve">Presentation of Final Report at Council-26. </w:t>
            </w:r>
          </w:p>
        </w:tc>
      </w:tr>
    </w:tbl>
    <w:p w14:paraId="2D0CBEE9" w14:textId="77777777" w:rsidR="00617FC9" w:rsidRPr="00986D12" w:rsidRDefault="00617FC9" w:rsidP="00617FC9">
      <w:pPr>
        <w:pStyle w:val="Heading2"/>
      </w:pPr>
      <w:bookmarkStart w:id="62" w:name="_Toc224213028"/>
      <w:bookmarkStart w:id="63" w:name="_Toc225163571"/>
      <w:bookmarkStart w:id="64" w:name="_Toc226580573"/>
      <w:r w:rsidRPr="00986D12">
        <w:t>Internal Assessment Survey (staff survey)</w:t>
      </w:r>
      <w:bookmarkEnd w:id="62"/>
      <w:bookmarkEnd w:id="63"/>
      <w:bookmarkEnd w:id="64"/>
    </w:p>
    <w:p w14:paraId="5D04ADA2"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As mentioned above, as a part of stakeholder consultation, an Internal Assessment Survey was conducted to collect feedback from ITU staff on issues related to ITU’s regional presence, internal coordination, processes and engagement with the Membership.</w:t>
      </w:r>
    </w:p>
    <w:p w14:paraId="17861A83"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The questionnaire consisted of 34 questions, including 22 Likert-scale questions, several of which included multiple items under a common thematic statement. There were six open-ended questions designed to collect qualitative feedback. There was a “Yes/No” question relating to the duplication of work among bureaux and one multiple-choice question on the platforms used by membership to follow ITU. </w:t>
      </w:r>
    </w:p>
    <w:p w14:paraId="0EB3D455" w14:textId="77777777" w:rsidR="00617FC9" w:rsidRPr="00986D12" w:rsidRDefault="00617FC9" w:rsidP="00617FC9">
      <w:pPr>
        <w:jc w:val="both"/>
        <w:rPr>
          <w:rFonts w:asciiTheme="minorHAnsi" w:hAnsiTheme="minorHAnsi" w:cstheme="minorHAnsi"/>
          <w:lang w:val="en-US"/>
        </w:rPr>
      </w:pPr>
      <w:r w:rsidRPr="00986D12">
        <w:rPr>
          <w:rFonts w:asciiTheme="minorHAnsi" w:hAnsiTheme="minorHAnsi" w:cstheme="minorHAnsi"/>
          <w:lang w:val="en-US"/>
        </w:rPr>
        <w:t>Initially, the target population of the staff survey included only staff at P5 level and above at ITU headquarters as well as all P-level staff at ITU Regional and Area Offices. It was thought that other staff categories had limited visibility in field operations and therefore were not well positioned to provide sufficiently informed views.</w:t>
      </w:r>
    </w:p>
    <w:p w14:paraId="23E571F5" w14:textId="77777777" w:rsidR="00617FC9" w:rsidRPr="00986D12" w:rsidRDefault="00617FC9" w:rsidP="00617FC9">
      <w:pPr>
        <w:jc w:val="both"/>
        <w:rPr>
          <w:rFonts w:asciiTheme="minorHAnsi" w:hAnsiTheme="minorHAnsi" w:cstheme="minorHAnsi"/>
          <w:lang w:val="en-US"/>
        </w:rPr>
      </w:pPr>
      <w:r w:rsidRPr="00986D12">
        <w:rPr>
          <w:rFonts w:asciiTheme="minorHAnsi" w:hAnsiTheme="minorHAnsi" w:cstheme="minorHAnsi"/>
          <w:lang w:val="en-US"/>
        </w:rPr>
        <w:t xml:space="preserve">An email inviting participation was sent by the BDT Director on 3 October 2025 announcing the launch of the survey, and the survey was launched the same day. The initial deadline of 15 October 2025 was later extended to 7 November 2025 to increase participation. A total of 50 responses were received, representing a response rate of 42 per cent. </w:t>
      </w:r>
    </w:p>
    <w:p w14:paraId="34519CDF" w14:textId="77777777" w:rsidR="00617FC9" w:rsidRPr="00986D12" w:rsidRDefault="00617FC9" w:rsidP="00617FC9">
      <w:pPr>
        <w:jc w:val="both"/>
        <w:rPr>
          <w:rFonts w:asciiTheme="minorHAnsi" w:hAnsiTheme="minorHAnsi" w:cstheme="minorHAnsi"/>
          <w:lang w:val="en-US"/>
        </w:rPr>
      </w:pPr>
      <w:r w:rsidRPr="00986D12">
        <w:rPr>
          <w:rFonts w:asciiTheme="minorHAnsi" w:hAnsiTheme="minorHAnsi" w:cstheme="minorHAnsi"/>
          <w:lang w:val="en-US"/>
        </w:rPr>
        <w:lastRenderedPageBreak/>
        <w:t xml:space="preserve">During the WTDC-25 special session, one Member State recommended broadening the survey’s scope to include all ITU staff. Based on this feedback, it was decided to expand the scope of the survey to include all ITU P and G staff. </w:t>
      </w:r>
    </w:p>
    <w:p w14:paraId="39FBDAD3" w14:textId="77777777" w:rsidR="00617FC9" w:rsidRDefault="00617FC9" w:rsidP="00617FC9">
      <w:pPr>
        <w:jc w:val="both"/>
        <w:rPr>
          <w:rFonts w:asciiTheme="minorHAnsi" w:hAnsiTheme="minorHAnsi" w:cstheme="minorHAnsi"/>
          <w:lang w:val="en-US"/>
        </w:rPr>
      </w:pPr>
      <w:r w:rsidRPr="00986D12">
        <w:rPr>
          <w:rFonts w:asciiTheme="minorHAnsi" w:hAnsiTheme="minorHAnsi" w:cstheme="minorHAnsi"/>
          <w:lang w:val="en-US"/>
        </w:rPr>
        <w:t xml:space="preserve">The new deadline for staff to complete the survey was 24 December 2025. In total, 806 staff were targeted and 92 responses were submitted, corresponding to a response rate of 11 per cent. The figure presents the breakdown of responses by organizational unit. </w:t>
      </w:r>
    </w:p>
    <w:p w14:paraId="0E0692E4" w14:textId="77777777" w:rsidR="00617FC9" w:rsidRPr="00986D12" w:rsidRDefault="00617FC9" w:rsidP="00617FC9">
      <w:pPr>
        <w:jc w:val="both"/>
        <w:rPr>
          <w:rFonts w:asciiTheme="minorHAnsi" w:hAnsiTheme="minorHAnsi" w:cstheme="minorHAnsi"/>
          <w:lang w:val="en-US"/>
        </w:rPr>
      </w:pPr>
    </w:p>
    <w:tbl>
      <w:tblPr>
        <w:tblStyle w:val="TableGrid"/>
        <w:tblW w:w="0" w:type="auto"/>
        <w:jc w:val="center"/>
        <w:tblBorders>
          <w:top w:val="single" w:sz="4" w:space="0" w:color="3071C3" w:themeColor="text2" w:themeTint="BF"/>
          <w:left w:val="single" w:sz="4" w:space="0" w:color="3071C3" w:themeColor="text2" w:themeTint="BF"/>
          <w:bottom w:val="single" w:sz="4" w:space="0" w:color="3071C3" w:themeColor="text2" w:themeTint="BF"/>
          <w:right w:val="single" w:sz="4" w:space="0" w:color="3071C3" w:themeColor="text2" w:themeTint="BF"/>
          <w:insideH w:val="none" w:sz="0" w:space="0" w:color="auto"/>
          <w:insideV w:val="none" w:sz="0" w:space="0" w:color="auto"/>
        </w:tblBorders>
        <w:tblLook w:val="04A0" w:firstRow="1" w:lastRow="0" w:firstColumn="1" w:lastColumn="0" w:noHBand="0" w:noVBand="1"/>
      </w:tblPr>
      <w:tblGrid>
        <w:gridCol w:w="5886"/>
      </w:tblGrid>
      <w:tr w:rsidR="00617FC9" w:rsidRPr="00986D12" w14:paraId="3E4D243F" w14:textId="77777777" w:rsidTr="00696175">
        <w:trPr>
          <w:cantSplit/>
          <w:jc w:val="center"/>
        </w:trPr>
        <w:tc>
          <w:tcPr>
            <w:tcW w:w="5886" w:type="dxa"/>
          </w:tcPr>
          <w:p w14:paraId="2D3DFE2F" w14:textId="77777777" w:rsidR="00617FC9" w:rsidRPr="00986D12" w:rsidRDefault="00617FC9" w:rsidP="00696175">
            <w:pPr>
              <w:pStyle w:val="Tabletitle0"/>
              <w:keepNext/>
              <w:jc w:val="center"/>
              <w:rPr>
                <w:rFonts w:asciiTheme="minorHAnsi" w:hAnsiTheme="minorHAnsi" w:cstheme="minorHAnsi"/>
              </w:rPr>
            </w:pPr>
            <w:r w:rsidRPr="00986D12">
              <w:rPr>
                <w:rFonts w:asciiTheme="minorHAnsi" w:hAnsiTheme="minorHAnsi" w:cstheme="minorHAnsi"/>
              </w:rPr>
              <w:t>Number of responses by organizational unit</w:t>
            </w:r>
          </w:p>
        </w:tc>
      </w:tr>
      <w:tr w:rsidR="00617FC9" w:rsidRPr="00986D12" w14:paraId="79353054" w14:textId="77777777" w:rsidTr="00696175">
        <w:trPr>
          <w:cantSplit/>
          <w:jc w:val="center"/>
        </w:trPr>
        <w:tc>
          <w:tcPr>
            <w:tcW w:w="5886" w:type="dxa"/>
          </w:tcPr>
          <w:p w14:paraId="30745031" w14:textId="77777777" w:rsidR="00617FC9" w:rsidRPr="00986D12" w:rsidRDefault="00617FC9" w:rsidP="00696175">
            <w:pPr>
              <w:rPr>
                <w:rFonts w:asciiTheme="minorHAnsi" w:hAnsiTheme="minorHAnsi" w:cstheme="minorHAnsi"/>
              </w:rPr>
            </w:pPr>
            <w:r w:rsidRPr="00986D12">
              <w:rPr>
                <w:rFonts w:asciiTheme="minorHAnsi" w:hAnsiTheme="minorHAnsi" w:cstheme="minorHAnsi"/>
                <w:noProof/>
              </w:rPr>
              <w:drawing>
                <wp:inline distT="0" distB="0" distL="0" distR="0" wp14:anchorId="072F65AA" wp14:editId="405BDA56">
                  <wp:extent cx="3600000" cy="1954908"/>
                  <wp:effectExtent l="0" t="0" r="635" b="0"/>
                  <wp:docPr id="54913522" name="Picture 3" descr="A blue square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8187" name="Picture 3" descr="A blue squares on a black background&#10;&#10;AI-generated content may be incorrec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00000" cy="1954908"/>
                          </a:xfrm>
                          <a:prstGeom prst="rect">
                            <a:avLst/>
                          </a:prstGeom>
                          <a:noFill/>
                        </pic:spPr>
                      </pic:pic>
                    </a:graphicData>
                  </a:graphic>
                </wp:inline>
              </w:drawing>
            </w:r>
            <w:r w:rsidRPr="00986D12">
              <w:rPr>
                <w:rFonts w:asciiTheme="minorHAnsi" w:hAnsiTheme="minorHAnsi" w:cstheme="minorHAnsi"/>
              </w:rPr>
              <w:br/>
            </w:r>
            <w:r w:rsidRPr="00986D12">
              <w:rPr>
                <w:rStyle w:val="NotesChar"/>
                <w:rFonts w:asciiTheme="minorHAnsi" w:hAnsiTheme="minorHAnsi" w:cstheme="minorHAnsi"/>
              </w:rPr>
              <w:t>Note: Response rate in parentheses.</w:t>
            </w:r>
          </w:p>
        </w:tc>
      </w:tr>
    </w:tbl>
    <w:p w14:paraId="088C0021" w14:textId="2D073026" w:rsidR="00617FC9" w:rsidRPr="00986D12" w:rsidRDefault="009845D4" w:rsidP="00617FC9">
      <w:pPr>
        <w:jc w:val="both"/>
        <w:rPr>
          <w:rFonts w:asciiTheme="minorHAnsi" w:hAnsiTheme="minorHAnsi" w:cstheme="minorHAnsi"/>
        </w:rPr>
      </w:pPr>
      <w:r>
        <w:rPr>
          <w:rFonts w:asciiTheme="minorHAnsi" w:hAnsiTheme="minorHAnsi" w:cstheme="minorHAnsi"/>
        </w:rPr>
        <w:br/>
      </w:r>
      <w:r w:rsidR="00617FC9" w:rsidRPr="00986D12">
        <w:rPr>
          <w:rFonts w:asciiTheme="minorHAnsi" w:hAnsiTheme="minorHAnsi" w:cstheme="minorHAnsi"/>
        </w:rPr>
        <w:t xml:space="preserve">For several questions, a substantial share of respondents – more than 30 per cent in many cases and up to 42 per cent in one instance – indicated that they did not know how to respond. </w:t>
      </w:r>
    </w:p>
    <w:p w14:paraId="7DED9DF8"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 xml:space="preserve">A high share of “don’t know” responses mechanically </w:t>
      </w:r>
      <w:proofErr w:type="gramStart"/>
      <w:r w:rsidRPr="00986D12">
        <w:rPr>
          <w:rFonts w:asciiTheme="minorHAnsi" w:hAnsiTheme="minorHAnsi" w:cstheme="minorHAnsi"/>
        </w:rPr>
        <w:t>reduces</w:t>
      </w:r>
      <w:proofErr w:type="gramEnd"/>
      <w:r w:rsidRPr="00986D12">
        <w:rPr>
          <w:rFonts w:asciiTheme="minorHAnsi" w:hAnsiTheme="minorHAnsi" w:cstheme="minorHAnsi"/>
        </w:rPr>
        <w:t xml:space="preserve"> the proportion of responses expressing an opinion. Considering this, a rebasing was carried out, with results recalculated using only substantive responses (i.e. excluding “don’t know” responses from the denominator).</w:t>
      </w:r>
    </w:p>
    <w:p w14:paraId="1FD224D6"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The results for the Likert-scale questions — including the distribution of responses by level of agreement and by bureau — are presented in Annex C2 (</w:t>
      </w:r>
      <w:r w:rsidRPr="00986D12">
        <w:rPr>
          <w:rFonts w:asciiTheme="minorHAnsi" w:hAnsiTheme="minorHAnsi" w:cstheme="minorHAnsi"/>
          <w:lang w:val="en-US"/>
        </w:rPr>
        <w:t xml:space="preserve">Doc. </w:t>
      </w:r>
      <w:hyperlink r:id="rId43" w:history="1">
        <w:r w:rsidRPr="00986D12">
          <w:rPr>
            <w:rStyle w:val="Hyperlink"/>
            <w:rFonts w:asciiTheme="minorHAnsi" w:hAnsiTheme="minorHAnsi" w:cstheme="minorHAnsi"/>
            <w:color w:val="5F497A" w:themeColor="accent4" w:themeShade="BF"/>
            <w:lang w:val="en-US"/>
          </w:rPr>
          <w:t>CWG-FHR-22/4</w:t>
        </w:r>
        <w:r w:rsidRPr="00986D12">
          <w:rPr>
            <w:rStyle w:val="Hyperlink"/>
            <w:rFonts w:asciiTheme="minorHAnsi" w:hAnsiTheme="minorHAnsi" w:cstheme="minorHAnsi"/>
            <w:color w:val="5F497A" w:themeColor="accent4" w:themeShade="BF"/>
          </w:rPr>
          <w:t>(Rev.1)</w:t>
        </w:r>
      </w:hyperlink>
      <w:r w:rsidRPr="00986D12">
        <w:rPr>
          <w:rFonts w:asciiTheme="minorHAnsi" w:hAnsiTheme="minorHAnsi" w:cstheme="minorHAnsi"/>
          <w:color w:val="5F497A" w:themeColor="accent4" w:themeShade="BF"/>
          <w:lang w:eastAsia="en-GB"/>
        </w:rPr>
        <w:t xml:space="preserve"> </w:t>
      </w:r>
      <w:r w:rsidRPr="00986D12">
        <w:rPr>
          <w:rFonts w:asciiTheme="minorHAnsi" w:hAnsiTheme="minorHAnsi" w:cstheme="minorHAnsi"/>
          <w:i/>
          <w:iCs/>
          <w:lang w:eastAsia="en-GB"/>
        </w:rPr>
        <w:t>Annex 4</w:t>
      </w:r>
      <w:r w:rsidRPr="00986D12">
        <w:rPr>
          <w:rFonts w:asciiTheme="minorHAnsi" w:hAnsiTheme="minorHAnsi" w:cstheme="minorHAnsi"/>
          <w:lang w:eastAsia="en-GB"/>
        </w:rPr>
        <w:t>)</w:t>
      </w:r>
      <w:r w:rsidRPr="00986D12">
        <w:rPr>
          <w:rFonts w:asciiTheme="minorHAnsi" w:hAnsiTheme="minorHAnsi" w:cstheme="minorHAnsi"/>
        </w:rPr>
        <w:t xml:space="preserve">. </w:t>
      </w:r>
    </w:p>
    <w:p w14:paraId="5BDBF564" w14:textId="77777777" w:rsidR="00617FC9" w:rsidRPr="00986D12" w:rsidRDefault="00617FC9" w:rsidP="00617FC9">
      <w:pPr>
        <w:pStyle w:val="Heading2"/>
      </w:pPr>
      <w:bookmarkStart w:id="65" w:name="_Toc225163572"/>
      <w:bookmarkStart w:id="66" w:name="_Toc226580574"/>
      <w:bookmarkStart w:id="67" w:name="_Toc224213029"/>
      <w:r w:rsidRPr="000E12EC">
        <w:t>Document</w:t>
      </w:r>
      <w:r w:rsidRPr="00986D12">
        <w:t xml:space="preserve"> Analysis</w:t>
      </w:r>
      <w:bookmarkEnd w:id="65"/>
      <w:bookmarkEnd w:id="66"/>
      <w:r w:rsidRPr="00986D12">
        <w:t xml:space="preserve"> </w:t>
      </w:r>
      <w:bookmarkEnd w:id="67"/>
    </w:p>
    <w:p w14:paraId="2061DA64" w14:textId="77777777" w:rsidR="00617FC9" w:rsidRPr="00986D12" w:rsidRDefault="00617FC9" w:rsidP="00617FC9">
      <w:pPr>
        <w:jc w:val="both"/>
        <w:rPr>
          <w:rFonts w:asciiTheme="minorHAnsi" w:hAnsiTheme="minorHAnsi" w:cstheme="minorHAnsi"/>
          <w:lang w:val="en-US"/>
        </w:rPr>
      </w:pPr>
      <w:r w:rsidRPr="00986D12">
        <w:rPr>
          <w:rFonts w:asciiTheme="minorHAnsi" w:hAnsiTheme="minorHAnsi" w:cstheme="minorHAnsi"/>
        </w:rPr>
        <w:t>As a part of the Desk research and data analysis, data collection forms were prepared for the relevant KPIs and SoW items. Requests sent to focal points across BDT and ITU General Secretariat for data collection. Information and resources were collected from different sources per SoW and KPI. This data analysis was collated along with the results from other data sources to arrive at the composite findings of the review.</w:t>
      </w:r>
      <w:r w:rsidRPr="00986D12">
        <w:rPr>
          <w:rFonts w:asciiTheme="minorHAnsi" w:hAnsiTheme="minorHAnsi" w:cstheme="minorHAnsi"/>
          <w:lang w:val="en-US"/>
        </w:rPr>
        <w:t xml:space="preserve"> The results of Benchmarking that was carried out as a part of desk research against similarly placed UN organizations are available in Annex D.</w:t>
      </w:r>
    </w:p>
    <w:p w14:paraId="6503F8BB" w14:textId="77777777" w:rsidR="00617FC9" w:rsidRPr="0046236F" w:rsidRDefault="00617FC9" w:rsidP="00617FC9">
      <w:pPr>
        <w:pStyle w:val="Heading1"/>
        <w:rPr>
          <w:sz w:val="24"/>
          <w:szCs w:val="24"/>
        </w:rPr>
      </w:pPr>
      <w:bookmarkStart w:id="68" w:name="_Toc224213030"/>
      <w:bookmarkStart w:id="69" w:name="_Toc225163573"/>
      <w:bookmarkStart w:id="70" w:name="_Toc226580575"/>
      <w:r w:rsidRPr="0046236F">
        <w:rPr>
          <w:sz w:val="24"/>
          <w:szCs w:val="24"/>
        </w:rPr>
        <w:t>Findings per Scope of Work</w:t>
      </w:r>
      <w:bookmarkEnd w:id="68"/>
      <w:bookmarkEnd w:id="69"/>
      <w:bookmarkEnd w:id="70"/>
    </w:p>
    <w:p w14:paraId="646A05EF" w14:textId="77777777" w:rsidR="00617FC9" w:rsidRPr="0046236F" w:rsidRDefault="00617FC9" w:rsidP="00617FC9">
      <w:pPr>
        <w:rPr>
          <w:szCs w:val="24"/>
        </w:rPr>
      </w:pPr>
      <w:r w:rsidRPr="0046236F">
        <w:rPr>
          <w:szCs w:val="24"/>
        </w:rPr>
        <w:t xml:space="preserve">This section reports on the findings per Scope of Work. For each Scope pf Work detailed findings are presented including patterns identified through analysis of data. The patterns are grounded in the evidence and do not extend beyond it. </w:t>
      </w:r>
    </w:p>
    <w:p w14:paraId="52728028" w14:textId="77777777" w:rsidR="00617FC9" w:rsidRPr="0046236F" w:rsidRDefault="00617FC9" w:rsidP="00617FC9">
      <w:pPr>
        <w:pStyle w:val="SoWtitle"/>
        <w:rPr>
          <w:rFonts w:asciiTheme="minorHAnsi" w:hAnsiTheme="minorHAnsi" w:cstheme="minorHAnsi"/>
          <w:sz w:val="24"/>
          <w:szCs w:val="24"/>
        </w:rPr>
      </w:pPr>
      <w:bookmarkStart w:id="71" w:name="_Toc224213031"/>
      <w:bookmarkStart w:id="72" w:name="_Toc224236462"/>
      <w:r w:rsidRPr="0046236F">
        <w:rPr>
          <w:rFonts w:asciiTheme="minorHAnsi" w:hAnsiTheme="minorHAnsi" w:cstheme="minorHAnsi"/>
          <w:sz w:val="24"/>
          <w:szCs w:val="24"/>
        </w:rPr>
        <w:lastRenderedPageBreak/>
        <w:t>Scope of Work 1 — Assess whether appropriate and sufficient financial, human and material resources are being allocated to Regional and Area Offices, considering each region’s characteristics, to effectively meet their activities, planned objectives, to represent ITU as a whole and have impact</w:t>
      </w:r>
      <w:bookmarkEnd w:id="71"/>
      <w:bookmarkEnd w:id="72"/>
    </w:p>
    <w:p w14:paraId="0DAB72AC"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Findings</w:t>
      </w:r>
    </w:p>
    <w:p w14:paraId="055AF8CB"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Evidence suggests that Regional and Area Offices are contributing actively to implementation of strategic and action-plan objectives, but that the adequacy of the resources supporting this role is a concern. KPI evidence points to an operationally active regional presence, with regional initiatives, projects and other delivery activities linked to strategic objectives and KPI progress across regions (KPI 1; KPI 6; KPI 17; KPI 18). At the same time, the broader evidence base indicates that this delivery is taking place under conditions that are not consistently perceived as sufficient in human, financial and organizational terms (KPI 5; KPI 19).</w:t>
      </w:r>
    </w:p>
    <w:p w14:paraId="0E07421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Survey evidence points to a clear distinction between operational activity and perceived adequacy of resources. Financial and human resources are viewed as areas of perceived gap, while support from headquarters is viewed positively (MS Q3_a; MS Q3_b; MS Q3_c). A similar pattern appears in staff responses. They highlight that timely access to detailed financial information is viewed as limited, suggesting that concerns relate not only to absolute resource levels but also to the ability to manage and deploy those resources effectively (IA Q6; IA Q7).</w:t>
      </w:r>
    </w:p>
    <w:p w14:paraId="477F24A0"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The KPI 13 analysis reveals that regional offices operate with an established but uneven resource footprint across regions. Across all Regional and Area Offices, 64 personnel support ITU’s regional presence, representing roughly 9% of the total ITU workforce of 695 staff (KPI 13_a). These personnel collectively serve a global membership of 194 Member States, yet the distribution of workload across regions varies considerably. Evidence from the annex indicates large differences in the number of countries served per staff member. In Europe, each staff member supports roughly 15 countries, whereas in most other regions the ratio is closer to two to three countries per staff member, reflecting the presence of multiple area offices that distribute responsibilities more widely (KPI 13_a; KPI 13_b). However, workload differences must be viewed in the context of the distribution of development projects and operational activities. Regional offices in Africa and the Americas manage the largest project portfolios, both in terms of number of projects and overall financial value, while Asia-Pacific also carries a substantial project workload, though with smaller average project budgets. By contrast, Europe and CIS manage fewer development projects but are responsible for broader coordination across large groups of Member States (KPI 13_c). </w:t>
      </w:r>
    </w:p>
    <w:p w14:paraId="73ACF7C5"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In addition, the presence of 52 multi-regional projects creates coordination demands that extend beyond individual regions and require collaboration between regional offices and headquarters (KPI 13_c). These patterns indicate that resource adequacy cannot be assessed through aggregate staffing or budget figures alone. Rather, the interaction between staffing levels, geographic coverage, project portfolios and regional complexity appears central to whether offices can effectively meet operational expectations (MS Q6_b; MS Q6_c; MS Q6_e).</w:t>
      </w:r>
    </w:p>
    <w:p w14:paraId="4DAA451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Across both membership and staff surveys, support is consistently stronger for increasing resources than for reallocating existing ones. Additional human and financial resources attract strong support, while reallocation options receive only moderate endorsement, indicating that respondents generally perceive the problem as one of insufficiency rather than redistribution alone (MS Q5_h; MS Q5_i; MS Q5_j; MS Q5_k; IA Q9_f; IA Q9_g; IA Q9_h; IA Q9_i). </w:t>
      </w:r>
    </w:p>
    <w:p w14:paraId="182A4FD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Support is also strong for measures that would improve data availability, digital tools and operational support conditions, suggesting that respondents see resource adequacy as including </w:t>
      </w:r>
      <w:r w:rsidRPr="0046236F">
        <w:rPr>
          <w:rFonts w:asciiTheme="minorHAnsi" w:hAnsiTheme="minorHAnsi" w:cstheme="minorHAnsi"/>
          <w:szCs w:val="24"/>
        </w:rPr>
        <w:lastRenderedPageBreak/>
        <w:t>transparency, systems and knowledge resources, not just headcount and budgets (MS Q5_a; IA Q9_l).</w:t>
      </w:r>
    </w:p>
    <w:p w14:paraId="2A44B615"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Qualitative evidence and stakeholder feedback point in the same direction. Open-ended responses suggest concerns regarding staffing shortages, uneven workload, administrative bottlenecks, limited financial visibility and the practical difficulty of implementing regional initiatives under current conditions (Open-ended survey responses). </w:t>
      </w:r>
    </w:p>
    <w:p w14:paraId="2909FD1A"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Interview feedback indicates expectations for stronger technical capacity, more predictable financing and greater ability of regional offices to adapt support to regional needs (RTO interviews). Institutional stakeholder feedback similarly highlights the importance of sufficient financial resources for regional initiatives, together with broad support for strengthening staffing, communication, multilingual outreach and overall regional capacity. Taken together, the evidence suggests that regional presence is valued and operationally relevant, but that current financial, human and material resources are not consistently perceived as sufficient to meet expected levels of delivery and impact.</w:t>
      </w:r>
    </w:p>
    <w:p w14:paraId="7F3F8E21" w14:textId="77777777" w:rsidR="00617FC9" w:rsidRPr="0046236F" w:rsidRDefault="00617FC9" w:rsidP="00617FC9">
      <w:pPr>
        <w:pStyle w:val="Subtitle0"/>
        <w:rPr>
          <w:rFonts w:asciiTheme="minorHAnsi" w:eastAsia="Times New Roman" w:hAnsiTheme="minorHAnsi" w:cstheme="minorHAnsi"/>
          <w:bCs w:val="0"/>
          <w:kern w:val="0"/>
          <w:sz w:val="24"/>
          <w:szCs w:val="24"/>
          <w:lang w:eastAsia="en-US"/>
          <w14:ligatures w14:val="none"/>
        </w:rPr>
      </w:pPr>
      <w:r w:rsidRPr="0046236F">
        <w:rPr>
          <w:rFonts w:asciiTheme="minorHAnsi" w:eastAsia="Times New Roman" w:hAnsiTheme="minorHAnsi" w:cstheme="minorHAnsi"/>
          <w:bCs w:val="0"/>
          <w:kern w:val="0"/>
          <w:sz w:val="24"/>
          <w:szCs w:val="24"/>
          <w:lang w:eastAsia="en-US"/>
          <w14:ligatures w14:val="none"/>
        </w:rPr>
        <w:t>Patterns in the evidence</w:t>
      </w:r>
    </w:p>
    <w:p w14:paraId="443C9754"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Resource allocation and staffing.</w:t>
      </w:r>
      <w:r w:rsidRPr="0046236F">
        <w:rPr>
          <w:rFonts w:asciiTheme="minorHAnsi" w:hAnsiTheme="minorHAnsi" w:cstheme="minorHAnsi"/>
          <w:szCs w:val="24"/>
        </w:rPr>
        <w:t xml:space="preserve"> The findings suggest that resourcing could consider all factors such as country coverage, project portfolios, implementation demands, and regional conditions, resource decisions so that resources are tailored to the context of offices with heavier delivery responsibilities.</w:t>
      </w:r>
    </w:p>
    <w:p w14:paraId="6386376C"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Transparency and reporting on staffing, financial allocations and implementation capacity.</w:t>
      </w:r>
      <w:r w:rsidRPr="0046236F">
        <w:rPr>
          <w:rFonts w:asciiTheme="minorHAnsi" w:hAnsiTheme="minorHAnsi" w:cstheme="minorHAnsi"/>
          <w:szCs w:val="24"/>
        </w:rPr>
        <w:t xml:space="preserve"> Evidence indicates that clearer visibility on resource levels, operational demands and implementation performance could help provide a fuller picture of regional presence and support more evidence-based oversight and planning.</w:t>
      </w:r>
    </w:p>
    <w:p w14:paraId="2F091622"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Procedural and managerial constraints.</w:t>
      </w:r>
      <w:r w:rsidRPr="0046236F">
        <w:rPr>
          <w:rFonts w:asciiTheme="minorHAnsi" w:hAnsiTheme="minorHAnsi" w:cstheme="minorHAnsi"/>
          <w:szCs w:val="24"/>
        </w:rPr>
        <w:t xml:space="preserve"> The findings indicate that improved access to financial information, more consistent use of management tools, and continued streamlining of operational processes could help regional offices make the most of existing resources and support the practical feasibility of implementation.</w:t>
      </w:r>
    </w:p>
    <w:p w14:paraId="0AA2DF69"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Enabling conditions for regional delivery.</w:t>
      </w:r>
      <w:r w:rsidRPr="0046236F">
        <w:rPr>
          <w:rFonts w:asciiTheme="minorHAnsi" w:hAnsiTheme="minorHAnsi" w:cstheme="minorHAnsi"/>
          <w:szCs w:val="24"/>
        </w:rPr>
        <w:t xml:space="preserve"> In addition to staffing and budget levels, the evidence reflects that continued improvement in digital tools, knowledge resources, headquarters support, and host country conditions could help ensure that allocated resources translate effectively into operational results.</w:t>
      </w:r>
    </w:p>
    <w:p w14:paraId="25617672"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Target additional support where strategic needs are greatest.</w:t>
      </w:r>
      <w:r w:rsidRPr="0046236F">
        <w:rPr>
          <w:rFonts w:asciiTheme="minorHAnsi" w:hAnsiTheme="minorHAnsi" w:cstheme="minorHAnsi"/>
          <w:szCs w:val="24"/>
        </w:rPr>
        <w:t xml:space="preserve"> The strong support for LDC focused assessments and action plans suggests that differentiated approaches may be warranted in contexts where development needs are especially acute and regional offices require stronger analytical and operational backing.</w:t>
      </w:r>
    </w:p>
    <w:p w14:paraId="2709A8D7" w14:textId="77777777" w:rsidR="00617FC9" w:rsidRPr="0046236F" w:rsidRDefault="00617FC9" w:rsidP="00617FC9">
      <w:pPr>
        <w:pStyle w:val="SoWtitle"/>
        <w:jc w:val="both"/>
        <w:rPr>
          <w:rFonts w:asciiTheme="minorHAnsi" w:eastAsia="Avenir Nxt2 W1G" w:hAnsiTheme="minorHAnsi" w:cstheme="minorHAnsi"/>
          <w:sz w:val="24"/>
          <w:szCs w:val="24"/>
        </w:rPr>
      </w:pPr>
      <w:bookmarkStart w:id="73" w:name="_Toc224213032"/>
      <w:bookmarkStart w:id="74" w:name="_Toc224236463"/>
      <w:r w:rsidRPr="0046236F">
        <w:rPr>
          <w:rFonts w:asciiTheme="minorHAnsi" w:hAnsiTheme="minorHAnsi" w:cstheme="minorHAnsi"/>
          <w:sz w:val="24"/>
          <w:szCs w:val="24"/>
        </w:rPr>
        <w:lastRenderedPageBreak/>
        <w:t>Scope of Work 2 — Review and assess the effectiveness of the resource mobilization function, as well as processes of consultants, special service agreement engagements and recruitments at regional offices and area offices taking into consideration the Key Performance Indicators (KPIs) detailed in Annex 1</w:t>
      </w:r>
      <w:bookmarkEnd w:id="73"/>
      <w:bookmarkEnd w:id="74"/>
    </w:p>
    <w:p w14:paraId="389F0723"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Findings</w:t>
      </w:r>
    </w:p>
    <w:p w14:paraId="47E1AB0C"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The resource mobilization function is widely recognized as an important component of regional presence, with stakeholders highlighting its potential to expand projects and partnerships. Survey results indicate strong support for increasing projects and activities achieved through resource mobilization </w:t>
      </w:r>
      <w:proofErr w:type="gramStart"/>
      <w:r w:rsidRPr="0046236F">
        <w:rPr>
          <w:rFonts w:asciiTheme="minorHAnsi" w:hAnsiTheme="minorHAnsi" w:cstheme="minorHAnsi"/>
          <w:szCs w:val="24"/>
        </w:rPr>
        <w:t>and also</w:t>
      </w:r>
      <w:proofErr w:type="gramEnd"/>
      <w:r w:rsidRPr="0046236F">
        <w:rPr>
          <w:rFonts w:asciiTheme="minorHAnsi" w:hAnsiTheme="minorHAnsi" w:cstheme="minorHAnsi"/>
          <w:szCs w:val="24"/>
        </w:rPr>
        <w:t xml:space="preserve"> highlight the importance of better data on staffing, financials and activity implementation to strengthen regional presence (MS Q5_f; MS Q5_a). Perceptions of the effectiveness of partnerships and resource mobilization support are more moderate, however, suggesting that while the role of regional offices in facilitating partnerships is valued, the scale and consistency of implementation may vary across regions (MS Q12_e).</w:t>
      </w:r>
    </w:p>
    <w:p w14:paraId="376BC353"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Recruitment-related evidence highlights areas where processes could be further strengthened to support the operational needs of regional offices. The KPI analysis shows recurring vacancies across regions and recruitment timelines that influence the operational capacity of offices to fully deploy their staffing resources (KPI 14_a; KPI 14_b). Improvements to recruitment tools and procedures have been introduced in some areas, such as clearer vacancy announcements and wider advertising of positions, although further strengthening of recruitment processes and staffing mobility arrangements could support more efficient deployment of expertise across regions (KPI 14_c; KPI 14_d). Survey responses broadly reflect these findings, with perceptions of the adequacy of recruitment processes for project managers and experts indicating moderate levels of satisfaction (MS Q6_g).</w:t>
      </w:r>
    </w:p>
    <w:p w14:paraId="3C312A6F"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Evidence related to stakeholder engagement highlights the important role that regional and area offices play in supporting partnerships and external collaboration. The KPI analysis indicates that regional offices can contribute significantly to maximizing engagement with regional stakeholders during global events when they are involved early in planning processes and play a clearer convening and coordination role (KPI 11). This function is closely linked to resource mobilization, as partnerships developed through such engagement can facilitate joint initiatives, co-financed activities and project implementation. Open-ended survey responses reinforce this perspective, with several respondents highlighting the value of joint projects, strengthened partnerships with regional organizations and UN entities, and simplified administrative processes that would allow regional offices to engage partners more effectively (Open-ended survey responses).</w:t>
      </w:r>
    </w:p>
    <w:p w14:paraId="4535B1A6"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Interview insights further highlight the importance of partnership-based approaches to resource mobilization. Discussions with Regional Telecommunication Organizations emphasize the value of predictable financing arrangements, closer coordination between ITU and regional organizations, and stronger collaboration in the design and implementation of regional initiatives (RTO interviews). Interviewees also stress the importance of maintaining sufficient technical expertise within regional offices and strengthening coordination with headquarters and sector bureaux </w:t>
      </w:r>
      <w:proofErr w:type="gramStart"/>
      <w:r w:rsidRPr="0046236F">
        <w:rPr>
          <w:rFonts w:asciiTheme="minorHAnsi" w:hAnsiTheme="minorHAnsi" w:cstheme="minorHAnsi"/>
          <w:szCs w:val="24"/>
        </w:rPr>
        <w:t>in order to</w:t>
      </w:r>
      <w:proofErr w:type="gramEnd"/>
      <w:r w:rsidRPr="0046236F">
        <w:rPr>
          <w:rFonts w:asciiTheme="minorHAnsi" w:hAnsiTheme="minorHAnsi" w:cstheme="minorHAnsi"/>
          <w:szCs w:val="24"/>
        </w:rPr>
        <w:t xml:space="preserve"> translate partnership opportunities into concrete projects and funded activities (RTO interviews).</w:t>
      </w:r>
    </w:p>
    <w:p w14:paraId="37ED188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Overall, the combined evidence indicates that the resource mobilization and recruitment functions provide a foundation for regional engagement and project development. Survey responses show broad support for strengthening regional presence through increased human and financial resources, increased physical presence of ITU staff in regions, and expanded project activities achieved through partnerships and resource mobilization (IA Q9_a; IA Q9_b; IA Q9_d). At the same </w:t>
      </w:r>
      <w:r w:rsidRPr="0046236F">
        <w:rPr>
          <w:rFonts w:asciiTheme="minorHAnsi" w:hAnsiTheme="minorHAnsi" w:cstheme="minorHAnsi"/>
          <w:szCs w:val="24"/>
        </w:rPr>
        <w:lastRenderedPageBreak/>
        <w:t>time, evidence from KPI analyses, surveys and stakeholder feedback suggests that further strengthening of staffing capacity, recruitment processes and partnership implementation mechanisms could enhance the ability of regional offices to mobilize resources and deliver projects consistently across regions.</w:t>
      </w:r>
    </w:p>
    <w:p w14:paraId="1DD2CA1D" w14:textId="77777777" w:rsidR="00617FC9" w:rsidRPr="0046236F" w:rsidRDefault="00617FC9" w:rsidP="00617FC9">
      <w:pPr>
        <w:pStyle w:val="Subtitle0"/>
        <w:rPr>
          <w:rFonts w:asciiTheme="minorHAnsi" w:eastAsia="Times New Roman" w:hAnsiTheme="minorHAnsi" w:cstheme="minorHAnsi"/>
          <w:bCs w:val="0"/>
          <w:kern w:val="0"/>
          <w:sz w:val="24"/>
          <w:szCs w:val="24"/>
          <w:lang w:eastAsia="en-US"/>
          <w14:ligatures w14:val="none"/>
        </w:rPr>
      </w:pPr>
      <w:r w:rsidRPr="0046236F">
        <w:rPr>
          <w:rFonts w:asciiTheme="minorHAnsi" w:eastAsia="Times New Roman" w:hAnsiTheme="minorHAnsi" w:cstheme="minorHAnsi"/>
          <w:bCs w:val="0"/>
          <w:kern w:val="0"/>
          <w:sz w:val="24"/>
          <w:szCs w:val="24"/>
          <w:lang w:eastAsia="en-US"/>
          <w14:ligatures w14:val="none"/>
        </w:rPr>
        <w:t>Patterns in the evidence</w:t>
      </w:r>
    </w:p>
    <w:p w14:paraId="3AA0708F"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Recruitment and vacancy management for regional posts.</w:t>
      </w:r>
      <w:r w:rsidRPr="0046236F">
        <w:rPr>
          <w:rFonts w:asciiTheme="minorHAnsi" w:hAnsiTheme="minorHAnsi" w:cstheme="minorHAnsi"/>
          <w:szCs w:val="24"/>
        </w:rPr>
        <w:t xml:space="preserve"> The evidence suggests that reviewing recruitment timelines for regional and area office positions in relation to operational requirements and considering mechanisms for monitoring vacancy duration and time</w:t>
      </w:r>
      <w:r w:rsidRPr="0046236F">
        <w:rPr>
          <w:rFonts w:asciiTheme="minorHAnsi" w:hAnsiTheme="minorHAnsi" w:cstheme="minorHAnsi"/>
          <w:szCs w:val="24"/>
        </w:rPr>
        <w:noBreakHyphen/>
        <w:t>to</w:t>
      </w:r>
      <w:r w:rsidRPr="0046236F">
        <w:rPr>
          <w:rFonts w:asciiTheme="minorHAnsi" w:hAnsiTheme="minorHAnsi" w:cstheme="minorHAnsi"/>
          <w:szCs w:val="24"/>
        </w:rPr>
        <w:noBreakHyphen/>
        <w:t>recruit could contribute to staffing needs being met in a timely manner.</w:t>
      </w:r>
    </w:p>
    <w:p w14:paraId="380AF65E"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Regional capacity for partnership and project development.</w:t>
      </w:r>
      <w:r w:rsidRPr="0046236F">
        <w:rPr>
          <w:rFonts w:asciiTheme="minorHAnsi" w:hAnsiTheme="minorHAnsi" w:cstheme="minorHAnsi"/>
          <w:szCs w:val="24"/>
        </w:rPr>
        <w:t xml:space="preserve"> Taken together the evidence suggests that enhancing staffing and technical capabilities in regional and area offices could help advance partnership opportunities, support project development, and help in the coordination of externally funded initiatives in coordination with headquarters and sector bureaux.</w:t>
      </w:r>
    </w:p>
    <w:p w14:paraId="179A3484" w14:textId="77777777" w:rsidR="00617FC9" w:rsidRPr="0046236F" w:rsidRDefault="00617FC9" w:rsidP="00617FC9">
      <w:pPr>
        <w:jc w:val="both"/>
        <w:rPr>
          <w:rFonts w:asciiTheme="minorHAnsi" w:hAnsiTheme="minorHAnsi" w:cstheme="minorHAnsi"/>
          <w:szCs w:val="24"/>
          <w:highlight w:val="yellow"/>
        </w:rPr>
      </w:pPr>
      <w:r w:rsidRPr="0046236F">
        <w:rPr>
          <w:rFonts w:asciiTheme="minorHAnsi" w:hAnsiTheme="minorHAnsi" w:cstheme="minorHAnsi"/>
          <w:b/>
          <w:bCs/>
          <w:szCs w:val="24"/>
        </w:rPr>
        <w:t>Structured regional partnership frameworks</w:t>
      </w:r>
      <w:r w:rsidRPr="0046236F">
        <w:rPr>
          <w:rFonts w:asciiTheme="minorHAnsi" w:hAnsiTheme="minorHAnsi" w:cstheme="minorHAnsi"/>
          <w:szCs w:val="24"/>
        </w:rPr>
        <w:t>.</w:t>
      </w:r>
    </w:p>
    <w:p w14:paraId="11DD608E"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Evidence indicates that further strengthening collaboration with regional organizations, UN entities, and other partners through more clearly articulated cooperation frameworks — including defined roles, expected outputs, and follow up arrangements — could help support the translation of engagement into concrete projects.</w:t>
      </w:r>
    </w:p>
    <w:p w14:paraId="74CDEEB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Improve operational support for resource mobilization activities.</w:t>
      </w:r>
      <w:r w:rsidRPr="0046236F">
        <w:rPr>
          <w:rFonts w:asciiTheme="minorHAnsi" w:hAnsiTheme="minorHAnsi" w:cstheme="minorHAnsi"/>
          <w:szCs w:val="24"/>
        </w:rPr>
        <w:t xml:space="preserve"> The findings suggest that simplifying project administration and associated staffing arrangements — including flexible options for temporary support where appropriate — could help Regional Offices engage partners and implement projects more effectively.</w:t>
      </w:r>
    </w:p>
    <w:p w14:paraId="1B4AE49B"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Enhance transparency and reporting on staffing and partnership-supported activities.</w:t>
      </w:r>
      <w:r w:rsidRPr="0046236F">
        <w:rPr>
          <w:rFonts w:asciiTheme="minorHAnsi" w:hAnsiTheme="minorHAnsi" w:cstheme="minorHAnsi"/>
          <w:szCs w:val="24"/>
        </w:rPr>
        <w:t xml:space="preserve"> Clearer reporting on staffing levels, recruitment timelines, partnership activities and project outcomes could further support oversight and deepen understanding of regional operational needs.</w:t>
      </w:r>
    </w:p>
    <w:p w14:paraId="2330BBCB" w14:textId="77777777" w:rsidR="00617FC9" w:rsidRPr="0046236F" w:rsidRDefault="00617FC9" w:rsidP="00617FC9">
      <w:pPr>
        <w:pStyle w:val="SoWtitle"/>
        <w:rPr>
          <w:rFonts w:asciiTheme="minorHAnsi" w:eastAsia="Avenir Nxt2 W1G" w:hAnsiTheme="minorHAnsi" w:cstheme="minorHAnsi"/>
          <w:sz w:val="24"/>
          <w:szCs w:val="24"/>
        </w:rPr>
      </w:pPr>
      <w:bookmarkStart w:id="75" w:name="_Toc224213033"/>
      <w:bookmarkStart w:id="76" w:name="_Toc224236464"/>
      <w:r w:rsidRPr="0046236F">
        <w:rPr>
          <w:rFonts w:asciiTheme="minorHAnsi" w:hAnsiTheme="minorHAnsi" w:cstheme="minorHAnsi"/>
          <w:sz w:val="24"/>
          <w:szCs w:val="24"/>
        </w:rPr>
        <w:t>Scope of Work 3 — Review the effectiveness of the multiple funding mechanisms, including extrabudgetary funding (FIT, etc.), resource mobilization function and reporting and evaluation functions for projects execution in the regional presence</w:t>
      </w:r>
      <w:bookmarkEnd w:id="75"/>
      <w:bookmarkEnd w:id="76"/>
    </w:p>
    <w:p w14:paraId="1FA1180A"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Findings</w:t>
      </w:r>
    </w:p>
    <w:p w14:paraId="0224017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combined evidence indicates that regional presence plays an active role in implementing regional initiatives and project activities, supported by a range of funding sources including regular budget allocations and externally funded initiatives. Implementation data points to continued engagement in projects, events and regional initiatives across offices, reflecting the operational role of regional presence in delivering ITU activities and programmes (KPI 6; KPI 13_c). Feedback from regional offices also highlights that resource availability and project financing influence the pace and scale of implementation, suggesting that resource adequacy remains an important enabling factor for project delivery (KPI 5).</w:t>
      </w:r>
    </w:p>
    <w:p w14:paraId="3A57FC4E"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Evidence related to reporting and monitoring functions indicates that mechanisms are in place to track implementation progress and provide information to governing bodies and management. Reporting on regional activities contributes to institutional oversight and helps ensure that activities </w:t>
      </w:r>
      <w:r w:rsidRPr="0046236F">
        <w:rPr>
          <w:rFonts w:asciiTheme="minorHAnsi" w:hAnsiTheme="minorHAnsi" w:cstheme="minorHAnsi"/>
          <w:szCs w:val="24"/>
        </w:rPr>
        <w:lastRenderedPageBreak/>
        <w:t>implemented through regional presence are aligned with the broader objectives of the Union (KPI 25_c).</w:t>
      </w:r>
    </w:p>
    <w:p w14:paraId="5C77154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 The analysis also highlights opportunities to further strengthen the collection and presentation of performance data, including improving the consistency of reporting and addressing challenges encountered when compiling information on implementation progress (KPI 7). These observations suggest that reporting practices are operational but may benefit from further refinement to enhance clarity and comparability across regions.</w:t>
      </w:r>
    </w:p>
    <w:p w14:paraId="5F782693"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Survey responses broadly support the relevance of strengthening reporting transparency and improving resource availability for regional activities. Membership survey results show strong support for making better data on staffing, financial resources and activity implementation available to members, indicating interest in greater visibility on how regional activities are financed and delivered (MS Q5_a). Respondents also highlight the importance of allocating sufficient human resources to regional offices to support project implementation and programme delivery (MS Q5_h). Perceptions of the alignment of co-financed ITU activities with regional needs appear more moderate, suggesting that while such activities contribute to development priorities, their perceived relevance may vary across contexts (MS Q15).</w:t>
      </w:r>
    </w:p>
    <w:p w14:paraId="1F6CB0D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Internal assessments similarly reflect a balanced picture regarding the role of externally funded activities. Survey responses indicate moderately positive perceptions regarding whether co-financed and extrabudgetary funded activities fully meet national or regional priorities, highlighting that while these mechanisms contribute to project implementation, there may be scope to further strengthen alignment with country needs and priorities (IA Q17).</w:t>
      </w:r>
    </w:p>
    <w:p w14:paraId="27C80C7B"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Insights from open-ended survey responses and interviews reinforce the importance of effective partnerships and diversified funding mechanisms for supporting regional initiatives. Respondents frequently highlight the value of collaboration with development partners, regional organizations and other international actors in supporting programme implementation and expanding the reach of regional activities (Open-ended survey responses). Interview insights similarly emphasize the role of partnerships and externally supported projects in enabling regional offices to deliver initiatives and respond to regional priorities (RTO interviews).</w:t>
      </w:r>
    </w:p>
    <w:p w14:paraId="40939A42"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Overall, the combined evidence indicates that ITU regional presence benefits from multiple funding sources and reporting mechanisms that support the implementation and monitoring of activities across regions. Regional initiatives and projects continue to be implemented through a combination of internal and external resources, while reporting frameworks provide oversight on progress and outcomes. Survey feedback and qualitative insights also point to opportunities for further strengthening the transparency of reporting, improving alignment between externally funded activities and regional priorities, and ensuring that regional offices have sufficient resources to support project delivery and monitoring functions.</w:t>
      </w:r>
    </w:p>
    <w:p w14:paraId="7991AC11" w14:textId="77777777" w:rsidR="00617FC9" w:rsidRPr="0046236F" w:rsidRDefault="00617FC9" w:rsidP="00617FC9">
      <w:pPr>
        <w:pStyle w:val="Subtitle0"/>
        <w:rPr>
          <w:rFonts w:asciiTheme="minorHAnsi" w:eastAsia="Times New Roman" w:hAnsiTheme="minorHAnsi" w:cstheme="minorHAnsi"/>
          <w:bCs w:val="0"/>
          <w:kern w:val="0"/>
          <w:sz w:val="24"/>
          <w:szCs w:val="24"/>
          <w:lang w:eastAsia="en-US"/>
          <w14:ligatures w14:val="none"/>
        </w:rPr>
      </w:pPr>
      <w:r w:rsidRPr="0046236F">
        <w:rPr>
          <w:rFonts w:asciiTheme="minorHAnsi" w:eastAsia="Times New Roman" w:hAnsiTheme="minorHAnsi" w:cstheme="minorHAnsi"/>
          <w:bCs w:val="0"/>
          <w:kern w:val="0"/>
          <w:sz w:val="24"/>
          <w:szCs w:val="24"/>
          <w:lang w:eastAsia="en-US"/>
          <w14:ligatures w14:val="none"/>
        </w:rPr>
        <w:t>Patterns in the evidence</w:t>
      </w:r>
    </w:p>
    <w:p w14:paraId="6482FD10"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Transparency and accessibility of reporting on regional activities and funding.</w:t>
      </w:r>
      <w:r w:rsidRPr="0046236F">
        <w:rPr>
          <w:rFonts w:asciiTheme="minorHAnsi" w:hAnsiTheme="minorHAnsi" w:cstheme="minorHAnsi"/>
          <w:szCs w:val="24"/>
        </w:rPr>
        <w:t xml:space="preserve"> Evidence suggests that further improving the availability of information on project implementation, funding sources and activity outcomes could offer Membership clearer visibility into how regional initiatives and externally funded projects contribute to strategic objectives.</w:t>
      </w:r>
    </w:p>
    <w:p w14:paraId="1033367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Alignment between externally funded activities and regional development priorities.</w:t>
      </w:r>
      <w:r w:rsidRPr="0046236F">
        <w:rPr>
          <w:rFonts w:asciiTheme="minorHAnsi" w:hAnsiTheme="minorHAnsi" w:cstheme="minorHAnsi"/>
          <w:szCs w:val="24"/>
        </w:rPr>
        <w:t xml:space="preserve"> The findings suggest that continuing to strengthen existing mechanisms could help ensure that co</w:t>
      </w:r>
      <w:r w:rsidRPr="0046236F">
        <w:rPr>
          <w:rFonts w:asciiTheme="minorHAnsi" w:hAnsiTheme="minorHAnsi" w:cstheme="minorHAnsi"/>
          <w:szCs w:val="24"/>
        </w:rPr>
        <w:noBreakHyphen/>
        <w:t xml:space="preserve">financed and </w:t>
      </w:r>
      <w:r w:rsidRPr="0046236F">
        <w:rPr>
          <w:rFonts w:asciiTheme="minorHAnsi" w:hAnsiTheme="minorHAnsi" w:cstheme="minorHAnsi"/>
          <w:szCs w:val="24"/>
        </w:rPr>
        <w:lastRenderedPageBreak/>
        <w:t>extrabudgetary activities stay aligned with regional needs and priorities identified by Member States and regional stakeholders.</w:t>
      </w:r>
    </w:p>
    <w:p w14:paraId="17BC488C"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Regional offices project management, monitoring and implementation.</w:t>
      </w:r>
      <w:r w:rsidRPr="0046236F">
        <w:rPr>
          <w:rFonts w:asciiTheme="minorHAnsi" w:hAnsiTheme="minorHAnsi" w:cstheme="minorHAnsi"/>
          <w:szCs w:val="24"/>
        </w:rPr>
        <w:t xml:space="preserve"> Data analysis suggests that providing regional offices with more adequate levels of staffing and operational tools could help them manage projects more effectively, including monitoring progress and reporting results across funding streams.</w:t>
      </w:r>
    </w:p>
    <w:p w14:paraId="2D37DEE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Data collection and reporting practices across regional offices.</w:t>
      </w:r>
      <w:r w:rsidRPr="0046236F">
        <w:rPr>
          <w:rFonts w:asciiTheme="minorHAnsi" w:hAnsiTheme="minorHAnsi" w:cstheme="minorHAnsi"/>
          <w:szCs w:val="24"/>
        </w:rPr>
        <w:t xml:space="preserve"> Evidence indicates that encouraging more consistent approaches to gathering implementation data and reporting on regional initiatives could help support comparability across regions and contribute to more informed decision making.</w:t>
      </w:r>
    </w:p>
    <w:p w14:paraId="536E242C" w14:textId="77777777" w:rsidR="00617FC9" w:rsidRPr="0046236F" w:rsidRDefault="00617FC9" w:rsidP="00617FC9">
      <w:pPr>
        <w:pStyle w:val="SoWtitle"/>
        <w:rPr>
          <w:rFonts w:asciiTheme="minorHAnsi" w:hAnsiTheme="minorHAnsi" w:cstheme="minorHAnsi"/>
          <w:sz w:val="24"/>
          <w:szCs w:val="24"/>
        </w:rPr>
      </w:pPr>
      <w:bookmarkStart w:id="77" w:name="_Toc224213034"/>
      <w:bookmarkStart w:id="78" w:name="_Toc224236465"/>
      <w:r w:rsidRPr="0046236F">
        <w:rPr>
          <w:rFonts w:asciiTheme="minorHAnsi" w:hAnsiTheme="minorHAnsi" w:cstheme="minorHAnsi"/>
          <w:sz w:val="24"/>
          <w:szCs w:val="24"/>
        </w:rPr>
        <w:t>Scope of Work 4 — Assess the adequacy and effectiveness of internal approval processes</w:t>
      </w:r>
      <w:bookmarkEnd w:id="77"/>
      <w:bookmarkEnd w:id="78"/>
    </w:p>
    <w:p w14:paraId="436E7BEF"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Findings</w:t>
      </w:r>
    </w:p>
    <w:p w14:paraId="00955266" w14:textId="521F11A8"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combined evidence indicates that ITU has established formal internal planning, supervision and accountability arrangements, and that these provide an institutional basis for approval and control processes across the regional presence. Workplans are explicitly anchored in the Strategic Plan and Kigali Action Plan, with supervisory verification built into the performance cycle, which supports traceability from individual activities to institutional objectives (KPI 2). Documentary analysis on accountability arrangements reveals functioning governance structures, ongoing implementation of audit-related recommendations, and operational ethics mechanisms, suggesting that the organization has a structured framework on which further process improvements can build (KPI</w:t>
      </w:r>
      <w:r w:rsidR="00654DB7">
        <w:rPr>
          <w:rFonts w:asciiTheme="minorHAnsi" w:hAnsiTheme="minorHAnsi" w:cstheme="minorHAnsi"/>
          <w:szCs w:val="24"/>
        </w:rPr>
        <w:t> </w:t>
      </w:r>
      <w:r w:rsidRPr="0046236F">
        <w:rPr>
          <w:rFonts w:asciiTheme="minorHAnsi" w:hAnsiTheme="minorHAnsi" w:cstheme="minorHAnsi"/>
          <w:szCs w:val="24"/>
        </w:rPr>
        <w:t>27_c).</w:t>
      </w:r>
    </w:p>
    <w:p w14:paraId="7B86CCF9"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Perception-based evidence points to a more reserved assessment of how these arrangements are experienced in practice. Internal Assessment results show perceived gaps for the adequacy of internal approval processes and for the timeliness with which regional and area offices access detailed financial information on projects, while views on the broader accountability framework remain more moderate than strong (IA Q6; IA Q10; IA Q11_a; IA Q11_b). Confidence is weaker still regarding the adequacy of arrangements accompanying greater autonomy in decision making, indicating that the balance between decentralization and control is not yet seen as fully effective by staff across the system (IA Q11_c). By contrast, ethics, complaints and response mechanisms receive a more moderate assessment, suggesting that some parts of the wider control environment are functioning more credibly than approval pathways themselves (IA Q11_d).</w:t>
      </w:r>
    </w:p>
    <w:p w14:paraId="7D7255F4"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Operational evidence helps explain these perceptions. Analysis of Member State requests shows that initial acknowledgement is generally prompt, often within 24 to 48 hours, which indicates that front-end responsiveness is not the main constraint (KPI 3). However, completion times vary widely and often extend from weeks to months, and in more complex cases to one year or longer, especially where coordination, legal review, project design or funding mobilization are required (KPI 3). Recruitment evidence shows similarly extended timelines, with field-office recruitment cases often taking around nine to fourteen months and some 2025 actions still ongoing, pointing to process chains that remain lengthy for operational delivery as well as staffing (KPI 14_b). When viewed alongside KPI 13_c, which captures the substantial volume of projects, initiatives and events handled by regional offices, the evidence suggests that approval processes are operating under material workload and coordination pressure rather than in a low-demand environment.</w:t>
      </w:r>
    </w:p>
    <w:p w14:paraId="265873CB"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Additional qualitative evidence reinforces this picture. KPI 19 identifies recurring implementation challenges linked to recruitment processes, administrative procedures, limited financial visibility at </w:t>
      </w:r>
      <w:r w:rsidRPr="0046236F">
        <w:rPr>
          <w:rFonts w:asciiTheme="minorHAnsi" w:hAnsiTheme="minorHAnsi" w:cstheme="minorHAnsi"/>
          <w:szCs w:val="24"/>
        </w:rPr>
        <w:lastRenderedPageBreak/>
        <w:t xml:space="preserve">regional level, and coordination challenges between headquarters and regional offices, while open-ended responses referenced in that analysis point in the same direction (KPI 19). Interview insights do not focus directly on approval workflows, but they underline the importance of clearer communication channels between bureaux, more agile management over the implementation cycle, and continuous dialogue to allow timely adjustment of activities, all of which are relevant contextual conditions for effective approval processes in practice (RTO interviews). </w:t>
      </w:r>
    </w:p>
    <w:p w14:paraId="2A5EF9DB"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Taken together, the evidence suggests that internal approval processes are supported by established institutional structures, but their operational effectiveness could be further enhanced through greater agility, better financial visibility, and clearer articulation of responsibilities and safeguards in decentralized decision making (KPI 19; RTO interviews).</w:t>
      </w:r>
    </w:p>
    <w:p w14:paraId="18A40880" w14:textId="77777777" w:rsidR="00617FC9" w:rsidRPr="0046236F" w:rsidRDefault="00617FC9" w:rsidP="00617FC9">
      <w:pPr>
        <w:pStyle w:val="Subtitle0"/>
        <w:rPr>
          <w:rFonts w:asciiTheme="minorHAnsi" w:eastAsia="Times New Roman" w:hAnsiTheme="minorHAnsi" w:cstheme="minorHAnsi"/>
          <w:bCs w:val="0"/>
          <w:kern w:val="0"/>
          <w:sz w:val="24"/>
          <w:szCs w:val="24"/>
          <w:lang w:eastAsia="en-US"/>
          <w14:ligatures w14:val="none"/>
        </w:rPr>
      </w:pPr>
      <w:r w:rsidRPr="0046236F">
        <w:rPr>
          <w:rFonts w:asciiTheme="minorHAnsi" w:eastAsia="Times New Roman" w:hAnsiTheme="minorHAnsi" w:cstheme="minorHAnsi"/>
          <w:bCs w:val="0"/>
          <w:kern w:val="0"/>
          <w:sz w:val="24"/>
          <w:szCs w:val="24"/>
          <w:lang w:eastAsia="en-US"/>
          <w14:ligatures w14:val="none"/>
        </w:rPr>
        <w:t>Patterns in the evidence</w:t>
      </w:r>
    </w:p>
    <w:p w14:paraId="67E6C3FB"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Internal approval workflows for regional implementation.</w:t>
      </w:r>
      <w:r w:rsidRPr="0046236F">
        <w:rPr>
          <w:rFonts w:asciiTheme="minorHAnsi" w:hAnsiTheme="minorHAnsi" w:cstheme="minorHAnsi"/>
          <w:szCs w:val="24"/>
        </w:rPr>
        <w:t xml:space="preserve"> Patterns emerging from analysis of evidence indicate that reviewing approval chains affecting project execution, procurement related actions, and responses to Member State requests could help identify opportunities to simplify processes, sequence them more efficiently, or delegate steps more effectively, while maintaining appropriate control standards.</w:t>
      </w:r>
    </w:p>
    <w:p w14:paraId="1AF957D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 xml:space="preserve">Timely access to project-level financial information. </w:t>
      </w:r>
      <w:r w:rsidRPr="0046236F">
        <w:rPr>
          <w:rFonts w:asciiTheme="minorHAnsi" w:hAnsiTheme="minorHAnsi" w:cstheme="minorHAnsi"/>
          <w:bCs/>
          <w:szCs w:val="24"/>
        </w:rPr>
        <w:t>Findings suggest that</w:t>
      </w:r>
      <w:r w:rsidRPr="0046236F">
        <w:rPr>
          <w:rFonts w:asciiTheme="minorHAnsi" w:hAnsiTheme="minorHAnsi" w:cstheme="minorHAnsi"/>
          <w:szCs w:val="24"/>
        </w:rPr>
        <w:t xml:space="preserve"> improving the availability and usability of financial information for regional and area offices could help implementation teams manage activities with clearer visibility on commitments, expenditures and available resources.</w:t>
      </w:r>
    </w:p>
    <w:p w14:paraId="6AAB9CE8"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Operating model for autonomy with accountability.</w:t>
      </w:r>
      <w:r w:rsidRPr="0046236F">
        <w:rPr>
          <w:rFonts w:asciiTheme="minorHAnsi" w:hAnsiTheme="minorHAnsi" w:cstheme="minorHAnsi"/>
          <w:szCs w:val="24"/>
        </w:rPr>
        <w:t xml:space="preserve"> The findings indicate that that providing clearer guidance on the scope of decision-making authority at the regional level, the controls that accompany that authority, and the respective roles of headquarters and field offices in approval processes could help support more consistent understanding and application across the organization.</w:t>
      </w:r>
    </w:p>
    <w:p w14:paraId="54AF6D43"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Process improvement to staffing and recruitment reform.</w:t>
      </w:r>
      <w:r w:rsidRPr="0046236F">
        <w:rPr>
          <w:rFonts w:asciiTheme="minorHAnsi" w:hAnsiTheme="minorHAnsi" w:cstheme="minorHAnsi"/>
          <w:szCs w:val="24"/>
        </w:rPr>
        <w:t xml:space="preserve"> Linking process improvements with staffing and recruitment practices could help ensure that efforts to enhance approval efficiency also reflect recruitment timelines and vacancy management, given their impact on internal approvals and delivery capacity.</w:t>
      </w:r>
    </w:p>
    <w:p w14:paraId="68FF7C4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Introduce a more systematic feedback loop on implementation bottlenecks.</w:t>
      </w:r>
      <w:r w:rsidRPr="0046236F">
        <w:rPr>
          <w:rFonts w:asciiTheme="minorHAnsi" w:hAnsiTheme="minorHAnsi" w:cstheme="minorHAnsi"/>
          <w:szCs w:val="24"/>
        </w:rPr>
        <w:t xml:space="preserve"> Establishing regular methodology to capture recurring process constraints from regional offices could help inform periodic updates to approval procedures, tools, and coordination arrangements.</w:t>
      </w:r>
    </w:p>
    <w:p w14:paraId="2C4FA0F0" w14:textId="77777777" w:rsidR="00617FC9" w:rsidRPr="0046236F" w:rsidRDefault="00617FC9" w:rsidP="00617FC9">
      <w:pPr>
        <w:pStyle w:val="SoWtitle"/>
        <w:jc w:val="both"/>
        <w:rPr>
          <w:rFonts w:asciiTheme="minorHAnsi" w:hAnsiTheme="minorHAnsi" w:cstheme="minorHAnsi"/>
          <w:sz w:val="24"/>
          <w:szCs w:val="24"/>
        </w:rPr>
      </w:pPr>
      <w:bookmarkStart w:id="79" w:name="_Toc224213035"/>
      <w:bookmarkStart w:id="80" w:name="_Toc224236466"/>
      <w:r w:rsidRPr="0046236F">
        <w:rPr>
          <w:rFonts w:asciiTheme="minorHAnsi" w:hAnsiTheme="minorHAnsi" w:cstheme="minorHAnsi"/>
          <w:sz w:val="24"/>
          <w:szCs w:val="24"/>
        </w:rPr>
        <w:t>Scope of Work 5 — Assess the implementation of delegation of authority and the related internal service orders and policy documents in addition to assessing whether clear roles and responsibilities including of process owners and second-line type functions are in place</w:t>
      </w:r>
      <w:bookmarkEnd w:id="79"/>
      <w:bookmarkEnd w:id="80"/>
    </w:p>
    <w:p w14:paraId="05DDD54F"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Findings</w:t>
      </w:r>
    </w:p>
    <w:p w14:paraId="2A4CDB1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Evidence indicates that the institutional governance framework supporting regional presence has progressively incorporated oversight, accountability and monitoring mechanisms. Implementation of audit and oversight recommendations has advanced across several dimensions, and institutional arrangements such as results-based management, operational planning aligned with strategic priorities and strengthened monitoring processes provide a structured environment for managing decentralized operations (KPI 27). The existence of centralized ethics functions, complaints-handling </w:t>
      </w:r>
      <w:r w:rsidRPr="0046236F">
        <w:rPr>
          <w:rFonts w:asciiTheme="minorHAnsi" w:hAnsiTheme="minorHAnsi" w:cstheme="minorHAnsi"/>
          <w:szCs w:val="24"/>
        </w:rPr>
        <w:lastRenderedPageBreak/>
        <w:t>procedures and oversight mechanisms further supports the integrity of governance arrangements affecting regional presence (KPI 27).</w:t>
      </w:r>
    </w:p>
    <w:p w14:paraId="617CEAD3"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Perceptions regarding the practical functioning of delegation of authority are more nuanced. While governance mechanisms appear formally established, survey responses indicate that staff confidence in the adequacy of accountability arrangements accompanying decentralized decision making remains limited (KPI 27). Internal Assessment responses further suggest that access to timely project-level financial information remains uneven, which may affect the ability of regional offices to exercise delegated responsibilities effectively (IA Q6). Similarly, perceptions regarding whether regional and area offices enjoy sufficient delegated authority to respond to Member State needs are mixed, suggesting that the operational balance between autonomy and oversight continues to evolve (IA Q12).</w:t>
      </w:r>
    </w:p>
    <w:p w14:paraId="10497DB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Evidence also indicates that mechanisms exist to capture implementation challenges affecting regional presence. Staff engagement in the development of performance indicators and coordination mechanisms contributes to improved alignment between operational realities and planning processes (KPI 19). However, survey responses and qualitative feedback highlight recurring operational constraints, including recruitment delays, administrative procedures affecting project implementation, limitations in financial visibility at the regional level, and coordination challenges between headquarters and regional offices (KPI 19; Open-ended survey responses).</w:t>
      </w:r>
    </w:p>
    <w:p w14:paraId="6E689FE2"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Interview insights reinforce the importance of maintaining effective channels for identifying operational challenges and evolving regional priorities. Stakeholder feedback suggests that regional offices play a key role as operational interfaces with regional organizations and national authorities, helping to identify emerging needs and adjust initiatives accordingly (RTO interviews). Institutional stakeholders have emphasized the importance of strengthening the autonomy, flexibility and resource base of regional offices </w:t>
      </w:r>
      <w:proofErr w:type="gramStart"/>
      <w:r w:rsidRPr="0046236F">
        <w:rPr>
          <w:rFonts w:asciiTheme="minorHAnsi" w:hAnsiTheme="minorHAnsi" w:cstheme="minorHAnsi"/>
          <w:szCs w:val="24"/>
        </w:rPr>
        <w:t>in order to</w:t>
      </w:r>
      <w:proofErr w:type="gramEnd"/>
      <w:r w:rsidRPr="0046236F">
        <w:rPr>
          <w:rFonts w:asciiTheme="minorHAnsi" w:hAnsiTheme="minorHAnsi" w:cstheme="minorHAnsi"/>
          <w:szCs w:val="24"/>
        </w:rPr>
        <w:t xml:space="preserve"> ensure that they can respond effectively to regional priorities while maintaining appropriate accountability safeguards (Stakeholder feedback).</w:t>
      </w:r>
    </w:p>
    <w:p w14:paraId="3ECA891A"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Taken together, the evidence suggests that the institutional foundations for delegated authority and accountability are largely in place. Nevertheless, perceptions regarding the practical functioning of delegation arrangements and the ability of regional offices to exercise autonomy effectively remain mixed. Strengthening operational transparency, clarifying the balance between decentralization and oversight, and reinforcing mechanisms for identifying and addressing implementation challenges may further enhance the effectiveness of delegation arrangements within the regional presence.</w:t>
      </w:r>
    </w:p>
    <w:p w14:paraId="7AFA88C7" w14:textId="77777777" w:rsidR="00617FC9" w:rsidRPr="0046236F" w:rsidRDefault="00617FC9" w:rsidP="00617FC9">
      <w:pPr>
        <w:pStyle w:val="Subtitle0"/>
        <w:rPr>
          <w:rFonts w:asciiTheme="minorHAnsi" w:eastAsia="Times New Roman" w:hAnsiTheme="minorHAnsi" w:cstheme="minorHAnsi"/>
          <w:bCs w:val="0"/>
          <w:kern w:val="0"/>
          <w:sz w:val="24"/>
          <w:szCs w:val="24"/>
          <w:lang w:eastAsia="en-US"/>
          <w14:ligatures w14:val="none"/>
        </w:rPr>
      </w:pPr>
      <w:r w:rsidRPr="0046236F">
        <w:rPr>
          <w:rFonts w:asciiTheme="minorHAnsi" w:eastAsia="Times New Roman" w:hAnsiTheme="minorHAnsi" w:cstheme="minorHAnsi"/>
          <w:bCs w:val="0"/>
          <w:kern w:val="0"/>
          <w:sz w:val="24"/>
          <w:szCs w:val="24"/>
          <w:lang w:eastAsia="en-US"/>
          <w14:ligatures w14:val="none"/>
        </w:rPr>
        <w:t>Patterns in the evidence</w:t>
      </w:r>
    </w:p>
    <w:p w14:paraId="785E2E6E" w14:textId="13074133"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Operational balance between delegation of authority and accountability mechanisms.</w:t>
      </w:r>
      <w:r w:rsidRPr="0046236F">
        <w:rPr>
          <w:rFonts w:asciiTheme="minorHAnsi" w:hAnsiTheme="minorHAnsi" w:cstheme="minorHAnsi"/>
          <w:szCs w:val="24"/>
        </w:rPr>
        <w:t xml:space="preserve"> Evidence suggests that although governance frameworks are in place, feedback suggests that the balance between decentralization and oversight could benefit from some additional clarification. Further outlining responsibilities, decision making authority, and related accountability safeguards could help reinforce confidence in delegated authority arrangements.</w:t>
      </w:r>
    </w:p>
    <w:p w14:paraId="502820C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 xml:space="preserve">Financial transparency and access to operational information at the regional level. </w:t>
      </w:r>
      <w:r w:rsidRPr="0046236F">
        <w:rPr>
          <w:rFonts w:asciiTheme="minorHAnsi" w:hAnsiTheme="minorHAnsi" w:cstheme="minorHAnsi"/>
          <w:bCs/>
          <w:szCs w:val="24"/>
        </w:rPr>
        <w:t>Evidence indicates that p</w:t>
      </w:r>
      <w:r w:rsidRPr="0046236F">
        <w:rPr>
          <w:rFonts w:asciiTheme="minorHAnsi" w:hAnsiTheme="minorHAnsi" w:cstheme="minorHAnsi"/>
          <w:szCs w:val="24"/>
        </w:rPr>
        <w:t>roviding regional and area offices with more timely access to project level financial information and operational data could help support more effective management of delegated responsibilities and contribute to stronger results-based management practices.</w:t>
      </w:r>
    </w:p>
    <w:p w14:paraId="2E7E6502"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Mechanisms for identifying and communicating implementation challenges.</w:t>
      </w:r>
      <w:r w:rsidRPr="0046236F">
        <w:rPr>
          <w:rFonts w:asciiTheme="minorHAnsi" w:hAnsiTheme="minorHAnsi" w:cstheme="minorHAnsi"/>
          <w:szCs w:val="24"/>
        </w:rPr>
        <w:t xml:space="preserve"> Creating more systematic feedback loops between regional offices and headquarters could help improve the early </w:t>
      </w:r>
      <w:r w:rsidRPr="0046236F">
        <w:rPr>
          <w:rFonts w:asciiTheme="minorHAnsi" w:hAnsiTheme="minorHAnsi" w:cstheme="minorHAnsi"/>
          <w:szCs w:val="24"/>
        </w:rPr>
        <w:lastRenderedPageBreak/>
        <w:t>identification of operational challenges during implementation and support timely programme adjustments.</w:t>
      </w:r>
    </w:p>
    <w:p w14:paraId="41F5DB16"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 xml:space="preserve">Coordination between headquarters and regional offices in addressing operational constraints. </w:t>
      </w:r>
      <w:r w:rsidRPr="0046236F">
        <w:rPr>
          <w:rFonts w:asciiTheme="minorHAnsi" w:hAnsiTheme="minorHAnsi" w:cstheme="minorHAnsi"/>
          <w:szCs w:val="24"/>
        </w:rPr>
        <w:t>Findings suggest that strengthening coordination mechanisms across organizational units could help address recurring challenges related to administrative procedures, recruitment timelines, and project implementation, thereby supporting the overall operational effectiveness of regional presence.</w:t>
      </w:r>
    </w:p>
    <w:p w14:paraId="0FE2C146" w14:textId="77777777" w:rsidR="00617FC9" w:rsidRPr="0046236F" w:rsidRDefault="00617FC9" w:rsidP="00617FC9">
      <w:pPr>
        <w:pStyle w:val="SoWtitle"/>
        <w:jc w:val="both"/>
        <w:rPr>
          <w:rFonts w:asciiTheme="minorHAnsi" w:hAnsiTheme="minorHAnsi" w:cstheme="minorHAnsi"/>
          <w:sz w:val="24"/>
          <w:szCs w:val="24"/>
        </w:rPr>
      </w:pPr>
      <w:bookmarkStart w:id="81" w:name="_Toc224213036"/>
      <w:bookmarkStart w:id="82" w:name="_Toc224236467"/>
      <w:r w:rsidRPr="0046236F">
        <w:rPr>
          <w:rFonts w:asciiTheme="minorHAnsi" w:hAnsiTheme="minorHAnsi" w:cstheme="minorHAnsi"/>
          <w:sz w:val="24"/>
          <w:szCs w:val="24"/>
        </w:rPr>
        <w:t>Scope of Work 6 — Analyse how regional presence is integrated into the Human Resources strategic plan, with a focus on training and career development including identifying and addressing gaps in organizational culture and skills, as well as specifying the number and types of staff training conducted at each regional or area office</w:t>
      </w:r>
      <w:bookmarkEnd w:id="81"/>
      <w:bookmarkEnd w:id="82"/>
    </w:p>
    <w:p w14:paraId="091D4B96"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Findings</w:t>
      </w:r>
    </w:p>
    <w:p w14:paraId="43E972F6"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combined evidence indicates that regional presence is already integrated into the broader human resources and performance management architecture of ITU, particularly through the alignment of individual workplans with strategic and operational frameworks. KPI analysis shows that staff workplans are anchored in the Strategic Plan and Kigali Action Plan through standardized templates, supervisory verification and performance assessment criteria, which supports coherence and accountability across the regional presence (KPI 2). Survey results also show moderately positive perceptions regarding integration of regional presence into the Human Resources Strategic Plan and Recruitment Strategy, suggesting that this institutional integration is recognized, even if not yet perceived as fully mature in all respects (MS Q6_a).</w:t>
      </w:r>
    </w:p>
    <w:p w14:paraId="6DEC2D6B"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Training and capacity development emerge as one of the clearest strengths within this Scope of Work. Internal Assessment results show very strong support for additional training and capacity building for Regional Office staff, indicating broad confidence that investment in staff development would further enhance regional effectiveness (IA Q9_m). This is consistent with KPI analysis pointing to the role of the Human Resources Transformation Plan in strengthening regional delivery through simplified performance management, deployment of implementation support roles, and improved HR analytics and digital HR services (KPI 27_b). Taken together, these findings suggest that the institutional direction is in place and that additional training is viewed not as a corrective response to failure, but as a practical lever to deepen implementation and reinforce delivery capacity (KPI 27_b; IA Q9_m).</w:t>
      </w:r>
    </w:p>
    <w:p w14:paraId="18974AD9"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evidence also points to opportunities for strengthening the skills base available to Regional and Area Offices, particularly through access to broader technical expertise and mobility mechanisms. The analysis of KPI 24_b indicates that One-ITU representation is institutionally embedded, but that operational depth and continuity of technical support from across the three Sectors are not uniformly experienced. For SoW 6, this matters because career development and skills strengthening depend not only on formal HR integration, but also on practical access to specialized expertise that can enrich staff capabilities and support learning through implementation (KPI 24_b). Survey findings on staff mobility are encouraging, with clear support for the view that implementation of the mobility policy would have a positive impact on regional presence, suggesting that mobility is seen as a constructive mechanism for professional development and organizational strengthening (IA Q13).</w:t>
      </w:r>
    </w:p>
    <w:p w14:paraId="7F1F2CB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The evidence suggests that some elements of the HR framework could be made more operationally visible at regional office level. KPI 25_a shows that ITU has established a strong organization-wide </w:t>
      </w:r>
      <w:r w:rsidRPr="0046236F">
        <w:rPr>
          <w:rFonts w:asciiTheme="minorHAnsi" w:hAnsiTheme="minorHAnsi" w:cstheme="minorHAnsi"/>
          <w:szCs w:val="24"/>
        </w:rPr>
        <w:lastRenderedPageBreak/>
        <w:t xml:space="preserve">workforce reporting mechanism, notably through the Workforce Analytics Dashboard and related reporting tools. However, the same analysis notes that reporting is more complete for regular staff than for the full range of staffing modalities that may shape regional presence. </w:t>
      </w:r>
    </w:p>
    <w:p w14:paraId="6A043A8E"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In parallel, KPI 27_b indicates that progress has been made in embedding HR transformation and results-based management, while still leaving room for stronger region-specific visibility and more integrated links between resources, staffing and results (KPI 25_a; KPI 27_b). </w:t>
      </w:r>
    </w:p>
    <w:p w14:paraId="3F47490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This suggests that the strategic and accountability foundations are present, and that further refinement could help regional offices better translate HR frameworks into locally visible staffing and development pathways.</w:t>
      </w:r>
    </w:p>
    <w:p w14:paraId="2CC88906" w14:textId="77777777" w:rsidR="00617FC9" w:rsidRPr="0046236F" w:rsidRDefault="00617FC9" w:rsidP="00617FC9">
      <w:pPr>
        <w:pStyle w:val="Subtitle0"/>
        <w:rPr>
          <w:rFonts w:asciiTheme="minorHAnsi" w:eastAsia="Times New Roman" w:hAnsiTheme="minorHAnsi" w:cstheme="minorHAnsi"/>
          <w:bCs w:val="0"/>
          <w:kern w:val="0"/>
          <w:sz w:val="24"/>
          <w:szCs w:val="24"/>
          <w:lang w:eastAsia="en-US"/>
          <w14:ligatures w14:val="none"/>
        </w:rPr>
      </w:pPr>
      <w:r w:rsidRPr="0046236F">
        <w:rPr>
          <w:rFonts w:asciiTheme="minorHAnsi" w:eastAsia="Times New Roman" w:hAnsiTheme="minorHAnsi" w:cstheme="minorHAnsi"/>
          <w:bCs w:val="0"/>
          <w:kern w:val="0"/>
          <w:sz w:val="24"/>
          <w:szCs w:val="24"/>
          <w:lang w:eastAsia="en-US"/>
          <w14:ligatures w14:val="none"/>
        </w:rPr>
        <w:t>Patterns in the evidence</w:t>
      </w:r>
    </w:p>
    <w:p w14:paraId="243D86F8"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Operational translation of the Human Resources Strategic Plan at regional level.</w:t>
      </w:r>
      <w:r w:rsidRPr="0046236F">
        <w:rPr>
          <w:rFonts w:asciiTheme="minorHAnsi" w:hAnsiTheme="minorHAnsi" w:cstheme="minorHAnsi"/>
          <w:szCs w:val="24"/>
        </w:rPr>
        <w:t xml:space="preserve"> Evidence indicates that building on the existing alignment of workplans, making the regional implications of HR planning more visible in day-to-day management tools—such as clearer links between workplans, outputs, staffing profiles, and professional development needs—could help strengthen the practical application of the HR Strategic Plan at the regional level.</w:t>
      </w:r>
    </w:p>
    <w:p w14:paraId="676F9F20" w14:textId="426F0AAE"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Structured training and capacity-building pathways for Regional Office staff.</w:t>
      </w:r>
      <w:r w:rsidRPr="0046236F">
        <w:rPr>
          <w:rFonts w:asciiTheme="minorHAnsi" w:hAnsiTheme="minorHAnsi" w:cstheme="minorHAnsi"/>
          <w:szCs w:val="24"/>
        </w:rPr>
        <w:t xml:space="preserve"> There is evidence-based support for additional training, and a more systematic regional learning approach, with training plans that are better aligned with operational roles, emerging technical needs and cross-sector collaboration requirements.</w:t>
      </w:r>
    </w:p>
    <w:p w14:paraId="40386FF5"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Mobility as a development instrument for regional presence.</w:t>
      </w:r>
      <w:r w:rsidRPr="0046236F">
        <w:rPr>
          <w:rFonts w:asciiTheme="minorHAnsi" w:hAnsiTheme="minorHAnsi" w:cstheme="minorHAnsi"/>
          <w:szCs w:val="24"/>
        </w:rPr>
        <w:t xml:space="preserve"> The positive perception on staff mobility provides a basis for advancing mobility arrangements that support skills transfer, exposure to different operational contexts and stronger links between headquarters and the field.</w:t>
      </w:r>
    </w:p>
    <w:p w14:paraId="502BE1F8"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Visibility of regional staffing profiles and development-relevant workforce information.</w:t>
      </w:r>
      <w:r w:rsidRPr="0046236F">
        <w:rPr>
          <w:rFonts w:asciiTheme="minorHAnsi" w:hAnsiTheme="minorHAnsi" w:cstheme="minorHAnsi"/>
          <w:szCs w:val="24"/>
        </w:rPr>
        <w:t xml:space="preserve"> The findings suggest that existing workforce reporting mechanisms provide a solid foundation but could be complemented by clearer information on regional staffing—covering different categories of personnel and their roles—to better support planning for skills development and succession.</w:t>
      </w:r>
    </w:p>
    <w:p w14:paraId="3E88CA60"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Access to specialized cross-sector expertise as part of staff development.</w:t>
      </w:r>
      <w:r w:rsidRPr="0046236F">
        <w:rPr>
          <w:rFonts w:asciiTheme="minorHAnsi" w:hAnsiTheme="minorHAnsi" w:cstheme="minorHAnsi"/>
          <w:szCs w:val="24"/>
        </w:rPr>
        <w:t xml:space="preserve"> Evidence indicates that career development in regional offices could benefit from more structured and sustained access to ITU</w:t>
      </w:r>
      <w:r w:rsidRPr="0046236F">
        <w:rPr>
          <w:rFonts w:asciiTheme="minorHAnsi" w:hAnsiTheme="minorHAnsi" w:cstheme="minorHAnsi"/>
          <w:szCs w:val="24"/>
        </w:rPr>
        <w:noBreakHyphen/>
        <w:t>T and ITU</w:t>
      </w:r>
      <w:r w:rsidRPr="0046236F">
        <w:rPr>
          <w:rFonts w:asciiTheme="minorHAnsi" w:hAnsiTheme="minorHAnsi" w:cstheme="minorHAnsi"/>
          <w:szCs w:val="24"/>
        </w:rPr>
        <w:noBreakHyphen/>
        <w:t>R expertise, helping to link learning opportunities, technical support, and delivery needs more closely in practice.</w:t>
      </w:r>
    </w:p>
    <w:p w14:paraId="20C89234" w14:textId="77777777" w:rsidR="00617FC9" w:rsidRPr="0046236F" w:rsidRDefault="00617FC9" w:rsidP="00617FC9">
      <w:pPr>
        <w:pStyle w:val="SoWtitle"/>
        <w:jc w:val="both"/>
        <w:rPr>
          <w:rFonts w:asciiTheme="minorHAnsi" w:hAnsiTheme="minorHAnsi" w:cstheme="minorHAnsi"/>
          <w:sz w:val="24"/>
          <w:szCs w:val="24"/>
        </w:rPr>
      </w:pPr>
      <w:bookmarkStart w:id="83" w:name="_Toc224213037"/>
      <w:bookmarkStart w:id="84" w:name="_Toc224236468"/>
      <w:r w:rsidRPr="0046236F">
        <w:rPr>
          <w:rFonts w:asciiTheme="minorHAnsi" w:hAnsiTheme="minorHAnsi" w:cstheme="minorHAnsi"/>
          <w:sz w:val="24"/>
          <w:szCs w:val="24"/>
        </w:rPr>
        <w:t>Scope of Work 7 — Compare all the regional and area offices' capacity-building and development activities against the framework of ITU Academy training centres</w:t>
      </w:r>
      <w:bookmarkEnd w:id="83"/>
      <w:bookmarkEnd w:id="84"/>
    </w:p>
    <w:p w14:paraId="499D99C0"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Findings</w:t>
      </w:r>
    </w:p>
    <w:p w14:paraId="3E2031D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Capacity-development activities delivered through the ITU Academy ecosystem represent a significant component of the Union’s training offer. Between 2023 and 2025, 294 instructor-led training activities were recorded on the ITU Academy platform. Of these, 215 activities (73%) were delivered as global or multi-regional initiatives, while 79 activities were delivered at regional level across Regional and Area Offices. Regional activities included 26 courses in the Americas, 20 in Asia and the Pacific, 17 in Africa, 7 in the Arab States, 5 in Europe, and 4 in CIS countries.</w:t>
      </w:r>
    </w:p>
    <w:p w14:paraId="7423FB4F"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The ITU Academy Training Centre network plays a central role within this global training architecture. Of the 215 global training activities, 153 were organized by ITU Academy Training </w:t>
      </w:r>
      <w:r w:rsidRPr="0046236F">
        <w:rPr>
          <w:rFonts w:asciiTheme="minorHAnsi" w:hAnsiTheme="minorHAnsi" w:cstheme="minorHAnsi"/>
          <w:szCs w:val="24"/>
        </w:rPr>
        <w:lastRenderedPageBreak/>
        <w:t>Centres, accounting for approximately 66% of global courses delivered during the period. This highlights the importance of the ATC network as a core institutional partner in delivering large-scale capacity-development initiatives across the ITU membership.</w:t>
      </w:r>
    </w:p>
    <w:p w14:paraId="236D047B"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Participation patterns reflect a similar distribution. Across all courses recorded during the period, a total of 12,333 participants were accepted into instructor-led training activities. Of these, 9,491 participants took part in global courses, representing an average 74% share of total enrolments. Participation in courses delivered through ITU Academy Training Centres also represents a significant share of overall enrolments, with 67% of participants attending ATC-organized courses.</w:t>
      </w:r>
    </w:p>
    <w:p w14:paraId="2851A30C"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Participation across regions demonstrates broad engagement with the ITU capacity-development offer. Over the period reviewed, participation levels reached 4,767 learners from Africa, 2,665 from the Americas, 2,294 from Asia and the Pacific, 1,434 from the Arab States, 843 from Europe, and 330 from CIS countries. Across all regions, </w:t>
      </w:r>
      <w:proofErr w:type="gramStart"/>
      <w:r w:rsidRPr="0046236F">
        <w:rPr>
          <w:rFonts w:asciiTheme="minorHAnsi" w:hAnsiTheme="minorHAnsi" w:cstheme="minorHAnsi"/>
          <w:szCs w:val="24"/>
        </w:rPr>
        <w:t>the majority of</w:t>
      </w:r>
      <w:proofErr w:type="gramEnd"/>
      <w:r w:rsidRPr="0046236F">
        <w:rPr>
          <w:rFonts w:asciiTheme="minorHAnsi" w:hAnsiTheme="minorHAnsi" w:cstheme="minorHAnsi"/>
          <w:szCs w:val="24"/>
        </w:rPr>
        <w:t xml:space="preserve"> participants attended global training activities rather than regionally delivered courses. The share of learners participating in global courses ranged from 60% in CIS countries to 84% in Europe, with Africa and Asia-Pacific both reaching 83%.</w:t>
      </w:r>
    </w:p>
    <w:p w14:paraId="5EE8DE52"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These participation patterns suggest that globally accessible training courses constitute an important channel for knowledge exchange across the ITU membership. Global courses appear to provide opportunities for learners to engage with broader technical and regulatory perspectives while participating in learning environments that bring together participants from multiple regions. At the same time, regionally delivered training initiatives remain an important mechanism for addressing region-specific policy and regulatory priorities and supporting engagement with national stakeholders.</w:t>
      </w:r>
    </w:p>
    <w:p w14:paraId="26A5DD43"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available evidence also highlights differences in the way capacity-development activities have historically been recorded across institutional systems. While the ITU Academy platform provides a comprehensive record of training activities delivered through the ITU Academy Training Centre framework, some regional initiatives have previously been captured through other internal mechanisms. Efforts to harmonize reporting practices are therefore expected to strengthen the completeness and comparability of capacity-development data across the organization.</w:t>
      </w:r>
    </w:p>
    <w:p w14:paraId="4426154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Progress in this direction is already underway. Institutional guidance introduced through the </w:t>
      </w:r>
      <w:r w:rsidRPr="0046236F">
        <w:rPr>
          <w:rFonts w:asciiTheme="minorHAnsi" w:hAnsiTheme="minorHAnsi" w:cstheme="minorHAnsi"/>
          <w:i/>
          <w:szCs w:val="24"/>
        </w:rPr>
        <w:t>Capacity Development Manual</w:t>
      </w:r>
      <w:r w:rsidRPr="0046236F">
        <w:rPr>
          <w:rFonts w:asciiTheme="minorHAnsi" w:hAnsiTheme="minorHAnsi" w:cstheme="minorHAnsi"/>
          <w:szCs w:val="24"/>
        </w:rPr>
        <w:t xml:space="preserve"> has established the ITU Academy platform as the centralized system for recording training activities across the Union, including those coordinated by Regional and Area Offices. The gradual implementation of this approach is expected to strengthen institutional visibility of capacity-development initiatives and provide a more consistent basis for comparing regional and global training activities.</w:t>
      </w:r>
    </w:p>
    <w:p w14:paraId="040B18A4"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Taken together, the evidence indicates that the ITU Academy Training Centre framework currently provides a strong global training platform, both in terms of the number of courses delivered and the scale of participation. Regional and Area Offices continue to play an important complementary role by delivering training activities tailored to regional contexts and priorities. As reporting practices become increasingly harmonized, the resulting dataset will support a clearer understanding of how these delivery channels jointly contribute to strengthening capacity development across the ITU membership.</w:t>
      </w:r>
    </w:p>
    <w:p w14:paraId="38BD08DF" w14:textId="77777777" w:rsidR="00617FC9" w:rsidRPr="0046236F" w:rsidRDefault="00617FC9" w:rsidP="00617FC9">
      <w:pPr>
        <w:pStyle w:val="Subtitle0"/>
        <w:rPr>
          <w:rFonts w:asciiTheme="minorHAnsi" w:eastAsia="Times New Roman" w:hAnsiTheme="minorHAnsi" w:cstheme="minorHAnsi"/>
          <w:bCs w:val="0"/>
          <w:kern w:val="0"/>
          <w:sz w:val="24"/>
          <w:szCs w:val="24"/>
          <w:lang w:eastAsia="en-US"/>
          <w14:ligatures w14:val="none"/>
        </w:rPr>
      </w:pPr>
      <w:r w:rsidRPr="0046236F">
        <w:rPr>
          <w:rFonts w:asciiTheme="minorHAnsi" w:eastAsia="Times New Roman" w:hAnsiTheme="minorHAnsi" w:cstheme="minorHAnsi"/>
          <w:bCs w:val="0"/>
          <w:kern w:val="0"/>
          <w:sz w:val="24"/>
          <w:szCs w:val="24"/>
          <w:lang w:eastAsia="en-US"/>
          <w14:ligatures w14:val="none"/>
        </w:rPr>
        <w:lastRenderedPageBreak/>
        <w:t>Patterns in the evidence</w:t>
      </w:r>
    </w:p>
    <w:p w14:paraId="470A1CD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 xml:space="preserve">Balance between global and regional training delivery. </w:t>
      </w:r>
      <w:r w:rsidRPr="0046236F">
        <w:rPr>
          <w:rFonts w:asciiTheme="minorHAnsi" w:hAnsiTheme="minorHAnsi" w:cstheme="minorHAnsi"/>
          <w:bCs/>
          <w:szCs w:val="24"/>
        </w:rPr>
        <w:t>Evidence suggests that</w:t>
      </w:r>
      <w:r w:rsidRPr="0046236F">
        <w:rPr>
          <w:rFonts w:asciiTheme="minorHAnsi" w:hAnsiTheme="minorHAnsi" w:cstheme="minorHAnsi"/>
          <w:b/>
          <w:szCs w:val="24"/>
        </w:rPr>
        <w:t xml:space="preserve"> </w:t>
      </w:r>
      <w:r w:rsidRPr="0046236F">
        <w:rPr>
          <w:rFonts w:asciiTheme="minorHAnsi" w:hAnsiTheme="minorHAnsi" w:cstheme="minorHAnsi"/>
          <w:szCs w:val="24"/>
        </w:rPr>
        <w:t>periodically reviewing the balance between global and regional offerings can help ensure that region</w:t>
      </w:r>
      <w:r w:rsidRPr="0046236F">
        <w:rPr>
          <w:rFonts w:asciiTheme="minorHAnsi" w:hAnsiTheme="minorHAnsi" w:cstheme="minorHAnsi"/>
          <w:szCs w:val="24"/>
        </w:rPr>
        <w:noBreakHyphen/>
        <w:t>specific priorities are reflected, while preserving the benefits of globally accessible courses.</w:t>
      </w:r>
    </w:p>
    <w:p w14:paraId="6A00548A" w14:textId="77777777" w:rsidR="00617FC9" w:rsidRPr="0046236F" w:rsidRDefault="00617FC9" w:rsidP="00617FC9">
      <w:pPr>
        <w:jc w:val="both"/>
        <w:rPr>
          <w:rFonts w:asciiTheme="minorHAnsi" w:hAnsiTheme="minorHAnsi" w:cstheme="minorHAnsi"/>
          <w:b/>
          <w:szCs w:val="24"/>
        </w:rPr>
      </w:pPr>
      <w:r w:rsidRPr="0046236F">
        <w:rPr>
          <w:rFonts w:asciiTheme="minorHAnsi" w:hAnsiTheme="minorHAnsi" w:cstheme="minorHAnsi"/>
          <w:b/>
          <w:szCs w:val="24"/>
        </w:rPr>
        <w:t xml:space="preserve">Collaboration with the ITU Academy Training Centre network. </w:t>
      </w:r>
      <w:r w:rsidRPr="0046236F">
        <w:rPr>
          <w:rFonts w:asciiTheme="minorHAnsi" w:hAnsiTheme="minorHAnsi" w:cstheme="minorHAnsi"/>
          <w:bCs/>
          <w:szCs w:val="24"/>
        </w:rPr>
        <w:t>Taken together the evidence points to the central role of the ITU Academy Training Centres in delivering</w:t>
      </w:r>
      <w:r w:rsidRPr="0046236F">
        <w:rPr>
          <w:rFonts w:asciiTheme="minorHAnsi" w:hAnsiTheme="minorHAnsi" w:cstheme="minorHAnsi"/>
          <w:szCs w:val="24"/>
        </w:rPr>
        <w:t xml:space="preserve"> a large share of global courses and suggests that further leveraging the ATC network could help expand access to specialized content and support broader participation across regions.</w:t>
      </w:r>
    </w:p>
    <w:p w14:paraId="29B83170" w14:textId="77777777" w:rsidR="00617FC9" w:rsidRPr="0046236F" w:rsidRDefault="00617FC9" w:rsidP="00617FC9">
      <w:pPr>
        <w:jc w:val="both"/>
        <w:rPr>
          <w:rFonts w:asciiTheme="minorHAnsi" w:hAnsiTheme="minorHAnsi" w:cstheme="minorHAnsi"/>
          <w:b/>
          <w:szCs w:val="24"/>
        </w:rPr>
      </w:pPr>
      <w:r w:rsidRPr="0046236F">
        <w:rPr>
          <w:rFonts w:asciiTheme="minorHAnsi" w:hAnsiTheme="minorHAnsi" w:cstheme="minorHAnsi"/>
          <w:b/>
          <w:szCs w:val="24"/>
        </w:rPr>
        <w:t xml:space="preserve">Consistency of data capturing for capacity development activities. </w:t>
      </w:r>
      <w:r w:rsidRPr="0046236F">
        <w:rPr>
          <w:rFonts w:asciiTheme="minorHAnsi" w:hAnsiTheme="minorHAnsi" w:cstheme="minorHAnsi"/>
          <w:bCs/>
          <w:szCs w:val="24"/>
        </w:rPr>
        <w:t>Findings indicate that</w:t>
      </w:r>
      <w:r w:rsidRPr="0046236F">
        <w:rPr>
          <w:rFonts w:asciiTheme="minorHAnsi" w:hAnsiTheme="minorHAnsi" w:cstheme="minorHAnsi"/>
          <w:b/>
          <w:szCs w:val="24"/>
        </w:rPr>
        <w:t xml:space="preserve"> </w:t>
      </w:r>
      <w:r w:rsidRPr="0046236F">
        <w:rPr>
          <w:rFonts w:asciiTheme="minorHAnsi" w:hAnsiTheme="minorHAnsi" w:cstheme="minorHAnsi"/>
          <w:szCs w:val="24"/>
        </w:rPr>
        <w:t xml:space="preserve">continuing efforts to harmonize the way training activities are recorded could help provide a </w:t>
      </w:r>
      <w:bookmarkStart w:id="85" w:name="_Int_y1cu4RbD"/>
      <w:proofErr w:type="gramStart"/>
      <w:r w:rsidRPr="0046236F">
        <w:rPr>
          <w:rFonts w:asciiTheme="minorHAnsi" w:hAnsiTheme="minorHAnsi" w:cstheme="minorHAnsi"/>
          <w:szCs w:val="24"/>
        </w:rPr>
        <w:t>more complete and comparable</w:t>
      </w:r>
      <w:bookmarkEnd w:id="85"/>
      <w:proofErr w:type="gramEnd"/>
      <w:r w:rsidRPr="0046236F">
        <w:rPr>
          <w:rFonts w:asciiTheme="minorHAnsi" w:hAnsiTheme="minorHAnsi" w:cstheme="minorHAnsi"/>
          <w:szCs w:val="24"/>
        </w:rPr>
        <w:t xml:space="preserve"> picture of capacity development initiatives delivered at global and regional levels.</w:t>
      </w:r>
    </w:p>
    <w:p w14:paraId="1A4D6078" w14:textId="77777777" w:rsidR="00617FC9" w:rsidRPr="0046236F" w:rsidRDefault="00617FC9" w:rsidP="00617FC9">
      <w:pPr>
        <w:jc w:val="both"/>
        <w:rPr>
          <w:rFonts w:asciiTheme="minorHAnsi" w:hAnsiTheme="minorHAnsi" w:cstheme="minorHAnsi"/>
          <w:b/>
          <w:szCs w:val="24"/>
        </w:rPr>
      </w:pPr>
      <w:r w:rsidRPr="0046236F">
        <w:rPr>
          <w:rFonts w:asciiTheme="minorHAnsi" w:hAnsiTheme="minorHAnsi" w:cstheme="minorHAnsi"/>
          <w:b/>
          <w:szCs w:val="24"/>
        </w:rPr>
        <w:t>Visibility of capacity</w:t>
      </w:r>
      <w:r w:rsidRPr="0046236F">
        <w:rPr>
          <w:rFonts w:asciiTheme="minorHAnsi" w:hAnsiTheme="minorHAnsi" w:cstheme="minorHAnsi"/>
          <w:b/>
          <w:bCs/>
          <w:szCs w:val="24"/>
        </w:rPr>
        <w:t xml:space="preserve"> </w:t>
      </w:r>
      <w:r w:rsidRPr="0046236F">
        <w:rPr>
          <w:rFonts w:asciiTheme="minorHAnsi" w:hAnsiTheme="minorHAnsi" w:cstheme="minorHAnsi"/>
          <w:b/>
          <w:szCs w:val="24"/>
        </w:rPr>
        <w:t xml:space="preserve">development participation trends. </w:t>
      </w:r>
      <w:r w:rsidRPr="0046236F">
        <w:rPr>
          <w:rFonts w:asciiTheme="minorHAnsi" w:hAnsiTheme="minorHAnsi" w:cstheme="minorHAnsi"/>
          <w:szCs w:val="24"/>
        </w:rPr>
        <w:t>Developing clearer summaries of regional and global participation patterns could help inform planning of future training offers by highlighting where demand is strongest and how learners engage with different types of capacity development initiatives.</w:t>
      </w:r>
    </w:p>
    <w:p w14:paraId="257A99B6" w14:textId="77777777" w:rsidR="00617FC9" w:rsidRPr="0046236F" w:rsidRDefault="00617FC9" w:rsidP="00617FC9">
      <w:pPr>
        <w:pStyle w:val="SoWtitle"/>
        <w:jc w:val="both"/>
        <w:rPr>
          <w:rFonts w:asciiTheme="minorHAnsi" w:hAnsiTheme="minorHAnsi" w:cstheme="minorHAnsi"/>
          <w:sz w:val="24"/>
          <w:szCs w:val="24"/>
        </w:rPr>
      </w:pPr>
      <w:bookmarkStart w:id="86" w:name="_Toc224213038"/>
      <w:bookmarkStart w:id="87" w:name="_Toc224236469"/>
      <w:r w:rsidRPr="0046236F">
        <w:rPr>
          <w:rFonts w:asciiTheme="minorHAnsi" w:hAnsiTheme="minorHAnsi" w:cstheme="minorHAnsi"/>
          <w:sz w:val="24"/>
          <w:szCs w:val="24"/>
        </w:rPr>
        <w:t xml:space="preserve">Scope of Work 8 — Identify barriers, challenges faced by staff to participate at events, including associated costs, or expected outcomes </w:t>
      </w:r>
      <w:proofErr w:type="gramStart"/>
      <w:r w:rsidRPr="0046236F">
        <w:rPr>
          <w:rFonts w:asciiTheme="minorHAnsi" w:hAnsiTheme="minorHAnsi" w:cstheme="minorHAnsi"/>
          <w:sz w:val="24"/>
          <w:szCs w:val="24"/>
        </w:rPr>
        <w:t>as a way to</w:t>
      </w:r>
      <w:proofErr w:type="gramEnd"/>
      <w:r w:rsidRPr="0046236F">
        <w:rPr>
          <w:rFonts w:asciiTheme="minorHAnsi" w:hAnsiTheme="minorHAnsi" w:cstheme="minorHAnsi"/>
          <w:sz w:val="24"/>
          <w:szCs w:val="24"/>
        </w:rPr>
        <w:t xml:space="preserve"> improve participation in ITU events as appropriate, and additionally provide recommendations on how to improve Regional and Area Office participation</w:t>
      </w:r>
      <w:bookmarkEnd w:id="86"/>
      <w:bookmarkEnd w:id="87"/>
    </w:p>
    <w:p w14:paraId="6B67A4D8"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Findings</w:t>
      </w:r>
    </w:p>
    <w:p w14:paraId="022BE87C"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Evidence suggests that participation of Regional and Area Office staff in regional and global events is widely regarded as important for coordination, stakeholder engagement and institutional visibility, but that this participation is affected by a set of practical barriers. The strongest available evidence points to logistical and financial constraints, including complex travel routes, visa delays, limited flight availability, accommodation costs that may exceed applicable allowances, short lead times and coordination issues between headquarters and regional offices when missions are planned (KPI 10). These factors indicate that the challenge is not the perceived value of participation itself, but the operational conditions under which such participation takes place.</w:t>
      </w:r>
    </w:p>
    <w:p w14:paraId="698293D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Survey evidence mapped directly to this Scope of Work shows strong support for strengthening staff participation in events through more structured measures. Membership responses indicate clear support for an action plan to enhance Regional and Area Office staff participation in events, and similarly strong support for staff engagement with regional stakeholders at global events </w:t>
      </w:r>
      <w:proofErr w:type="gramStart"/>
      <w:r w:rsidRPr="0046236F">
        <w:rPr>
          <w:rFonts w:asciiTheme="minorHAnsi" w:hAnsiTheme="minorHAnsi" w:cstheme="minorHAnsi"/>
          <w:szCs w:val="24"/>
        </w:rPr>
        <w:t>as a way to</w:t>
      </w:r>
      <w:proofErr w:type="gramEnd"/>
      <w:r w:rsidRPr="0046236F">
        <w:rPr>
          <w:rFonts w:asciiTheme="minorHAnsi" w:hAnsiTheme="minorHAnsi" w:cstheme="minorHAnsi"/>
          <w:szCs w:val="24"/>
        </w:rPr>
        <w:t xml:space="preserve"> improve coordination and communication (MS Q5_l; MS Q7_a). The conclusion emerging from KPI 12 is consistent with this pattern: respondents see more systematic planning, prioritisation and follow up of staff participation as likely to increase the value derived from event engagement (KPI 12).</w:t>
      </w:r>
    </w:p>
    <w:p w14:paraId="516DB0AA"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The broader event-related evidence also indicates that Regional and Area Offices are already supporting a substantial and diverse portfolio of regional events. The available KPI evidence shows that events in the regions account for a sizeable share of ITU’s event activity and that support provided by Regional and Area Offices extends well beyond venue logistics to include administrative, technical and coordination functions (KPI 15). This is relevant to SoW 8 because it suggests that staff participation is not occurring in a marginal activity area; rather, it is linked to a large and </w:t>
      </w:r>
      <w:r w:rsidRPr="0046236F">
        <w:rPr>
          <w:rFonts w:asciiTheme="minorHAnsi" w:hAnsiTheme="minorHAnsi" w:cstheme="minorHAnsi"/>
          <w:szCs w:val="24"/>
        </w:rPr>
        <w:lastRenderedPageBreak/>
        <w:t>operationally significant event ecosystem in which participation decisions have meaningful effects on regional presence and stakeholder engagement (KPI 15).</w:t>
      </w:r>
    </w:p>
    <w:p w14:paraId="781F3E46"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available evidence also suggests that participation constraints are linked to broader workload and resourcing patterns. The KPI 13 analysis points to substantial variation in workload across regions in terms of countries served and projects implemented, with cross-regional coordination demands also significant (KPI 13). This supports the interpretation that staff participation in events competes with wider delivery demands and that barriers cannot be understood only as travel or cost issues in isolation. Open-ended evidence cited in KPI 10 and KPI 12 further reinforces this, highlighting concerns around limited staffing capacity, late involvement of regional offices in event planning, insufficient visibility of Regional and Area Office contributions, and the need for clearer communication channels and more structured engagement formats (KPI 10; KPI 12).</w:t>
      </w:r>
    </w:p>
    <w:p w14:paraId="61A4FF6F"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Taken together, the evidence indicates that event participation by Regional and Area Office staff is viewed as valuable and worth strengthening, but current arrangements are affected by operational frictions that reduce consistency and potential impact. The dominant pattern is therefore not weak demand for participation, but strong support for participation combined with identifiable logistical, financial, workload and coordination constraints that limit how effectively that participation can be organized and leveraged (KPI 10; KPI 12; MS Q5_l; MS Q7_a).</w:t>
      </w:r>
    </w:p>
    <w:p w14:paraId="11E836D8" w14:textId="77777777" w:rsidR="00617FC9" w:rsidRPr="0046236F" w:rsidRDefault="00617FC9" w:rsidP="00617FC9">
      <w:pPr>
        <w:pStyle w:val="Subtitle0"/>
        <w:rPr>
          <w:rFonts w:asciiTheme="minorHAnsi" w:eastAsia="Times New Roman" w:hAnsiTheme="minorHAnsi" w:cstheme="minorHAnsi"/>
          <w:bCs w:val="0"/>
          <w:kern w:val="0"/>
          <w:sz w:val="24"/>
          <w:szCs w:val="24"/>
          <w:lang w:eastAsia="en-US"/>
          <w14:ligatures w14:val="none"/>
        </w:rPr>
      </w:pPr>
      <w:r w:rsidRPr="0046236F">
        <w:rPr>
          <w:rFonts w:asciiTheme="minorHAnsi" w:eastAsia="Times New Roman" w:hAnsiTheme="minorHAnsi" w:cstheme="minorHAnsi"/>
          <w:bCs w:val="0"/>
          <w:kern w:val="0"/>
          <w:sz w:val="24"/>
          <w:szCs w:val="24"/>
          <w:lang w:eastAsia="en-US"/>
          <w14:ligatures w14:val="none"/>
        </w:rPr>
        <w:t>Patterns in the evidence</w:t>
      </w:r>
    </w:p>
    <w:p w14:paraId="148CB71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A</w:t>
      </w:r>
      <w:r w:rsidRPr="0046236F">
        <w:rPr>
          <w:rFonts w:asciiTheme="minorHAnsi" w:hAnsiTheme="minorHAnsi" w:cstheme="minorHAnsi"/>
          <w:b/>
          <w:szCs w:val="24"/>
        </w:rPr>
        <w:t>ction plan for Regional and Area Office staff participation in events.</w:t>
      </w:r>
      <w:r w:rsidRPr="0046236F">
        <w:rPr>
          <w:rFonts w:asciiTheme="minorHAnsi" w:hAnsiTheme="minorHAnsi" w:cstheme="minorHAnsi"/>
          <w:szCs w:val="24"/>
        </w:rPr>
        <w:t xml:space="preserve"> Evidence suggests that exploring a more systematic approach to selecting, preparing for, and following up on staff participation in events could help align engagement with strategic priorities and support clearer institutional value from these activities.</w:t>
      </w:r>
    </w:p>
    <w:p w14:paraId="7557BC4C"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Travel and mission-planning constraints.</w:t>
      </w:r>
      <w:r w:rsidRPr="0046236F">
        <w:rPr>
          <w:rFonts w:asciiTheme="minorHAnsi" w:hAnsiTheme="minorHAnsi" w:cstheme="minorHAnsi"/>
          <w:szCs w:val="24"/>
        </w:rPr>
        <w:t xml:space="preserve"> Data analysis suggests that exploring ways to plan missions earlier, strengthen coordination, and take visa, routing, and accommodation constraints into account more systematically could help reduce avoidable barriers to staff participation.</w:t>
      </w:r>
    </w:p>
    <w:p w14:paraId="41DFA77F" w14:textId="59509320"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Integration of Regional and Area Offices into event planning processes.</w:t>
      </w:r>
      <w:r w:rsidRPr="0046236F">
        <w:rPr>
          <w:rFonts w:asciiTheme="minorHAnsi" w:hAnsiTheme="minorHAnsi" w:cstheme="minorHAnsi"/>
          <w:szCs w:val="24"/>
        </w:rPr>
        <w:t xml:space="preserve"> Earlier involvement of Regional and Area Offices in the design and planning of regional and global events could help improve coordination, clarify staff roles, and make participation more purposeful and operationally relevant.</w:t>
      </w:r>
    </w:p>
    <w:p w14:paraId="3C297E9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Linkage of participation planning to workload and resource conditions across regions.</w:t>
      </w:r>
      <w:r w:rsidRPr="0046236F">
        <w:rPr>
          <w:rFonts w:asciiTheme="minorHAnsi" w:hAnsiTheme="minorHAnsi" w:cstheme="minorHAnsi"/>
          <w:szCs w:val="24"/>
        </w:rPr>
        <w:t xml:space="preserve"> Evidence suggests that aligning participation expectations with staffing levels, project portfolios, and wider operational demands could help ensure that event engagement remains feasible and sustainable across different regional contexts.</w:t>
      </w:r>
    </w:p>
    <w:p w14:paraId="1EEA3D53"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Follow</w:t>
      </w:r>
      <w:r w:rsidRPr="0046236F">
        <w:rPr>
          <w:rFonts w:asciiTheme="minorHAnsi" w:hAnsiTheme="minorHAnsi" w:cstheme="minorHAnsi"/>
          <w:b/>
          <w:bCs/>
          <w:szCs w:val="24"/>
        </w:rPr>
        <w:t xml:space="preserve"> </w:t>
      </w:r>
      <w:r w:rsidRPr="0046236F">
        <w:rPr>
          <w:rFonts w:asciiTheme="minorHAnsi" w:hAnsiTheme="minorHAnsi" w:cstheme="minorHAnsi"/>
          <w:b/>
          <w:szCs w:val="24"/>
        </w:rPr>
        <w:t>up and visibility mechanisms after event participation.</w:t>
      </w:r>
      <w:r w:rsidRPr="0046236F">
        <w:rPr>
          <w:rFonts w:asciiTheme="minorHAnsi" w:hAnsiTheme="minorHAnsi" w:cstheme="minorHAnsi"/>
          <w:szCs w:val="24"/>
        </w:rPr>
        <w:t xml:space="preserve"> Evidence supports developing clearer reporting, communication, and follow up arrangements that could help ensure that staff participation contributes to stronger stakeholder engagement, improved coordination outcomes, and increased visibility of Regional and Area Office contributions.</w:t>
      </w:r>
    </w:p>
    <w:p w14:paraId="1B3F6428" w14:textId="77777777" w:rsidR="00617FC9" w:rsidRPr="0046236F" w:rsidRDefault="00617FC9" w:rsidP="00617FC9">
      <w:pPr>
        <w:pStyle w:val="SoWtitle"/>
        <w:jc w:val="both"/>
        <w:rPr>
          <w:rFonts w:asciiTheme="minorHAnsi" w:hAnsiTheme="minorHAnsi" w:cstheme="minorHAnsi"/>
          <w:sz w:val="24"/>
          <w:szCs w:val="24"/>
        </w:rPr>
      </w:pPr>
      <w:bookmarkStart w:id="88" w:name="_Toc224213039"/>
      <w:bookmarkStart w:id="89" w:name="_Toc224236470"/>
      <w:r w:rsidRPr="0046236F">
        <w:rPr>
          <w:rFonts w:asciiTheme="minorHAnsi" w:hAnsiTheme="minorHAnsi" w:cstheme="minorHAnsi"/>
          <w:sz w:val="24"/>
          <w:szCs w:val="24"/>
        </w:rPr>
        <w:lastRenderedPageBreak/>
        <w:t>Scope of Work 9 — Assess whether the reporting to the ITU Council and Bureaux on regional presence provides adequate information regarding its activities to meet ITU's strategic plan, Kigali Action Plan, regional initiatives, annual four-year rolling operational plans of the General Secretariat and the three Sectors, and addressing Member States' requests for assistance considering the KPIs detailed in Annex 1</w:t>
      </w:r>
      <w:bookmarkEnd w:id="88"/>
      <w:bookmarkEnd w:id="89"/>
    </w:p>
    <w:p w14:paraId="69F2258D"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Findings</w:t>
      </w:r>
    </w:p>
    <w:p w14:paraId="099775F5"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combined evidence indicates that reporting on regional presence provides a functioning and credible basis for communication with Council and the Advisory Bodies, with the strongest positive perceptions associated with TDAG and Council. Survey results point to moderate but positive views on whether reporting provides adequate information on activities and projects across the relevant governance channels, while the Internal Assessment shows somewhat stronger internal confidence for TDAG and Council reporting than for TSAG and RAG (MS Q21_a–Q21_d; IA Q16_a–Q16_d). This overall pattern suggests that the reporting architecture is established and valued, while still offering room to improve consistency and usefulness across all reporting audiences.</w:t>
      </w:r>
    </w:p>
    <w:p w14:paraId="1294E26B"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KPI evidence also points to several strengths in the substance of reporting. KPI 25_c indicates that ITU has structured reporting channels that document implementation of activities across regional presence, while KPI 8 shows that KPI-based reporting is seen as a useful mechanism for aligning regional activities with the Strategic Plan and the Kigali Action Plan. Interview insights reinforce this finding by emphasizing the value of structured coordination, measurable indicators and transparent monitoring to translate global priorities into meaningful regional outcomes (KPI 8; KPI 25_c; RTO interviews). Staff engagement in KPI development further strengthens this picture, as KPI 9 suggests that participation in indicator design helps connect reporting frameworks to operational realities and improves institutional alignment.</w:t>
      </w:r>
    </w:p>
    <w:p w14:paraId="74BECF00"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evidence also points to opportunities to further strengthen the analytical quality of reporting. KPI 26 indicates that current arrangements are broadly adequate for presenting challenges, recommendations and oversight-related matters but could do more to distinguish clearly between activities delivered, implementation bottlenecks, lessons learned and corrective actions (KPI 26). Survey findings on oversight are consistent with this interpretation: support for more oversight by Advisory Bodies and Council is moderate rather than polarized, which suggests that stronger oversight is generally seen as potentially constructive when linked to clearer and more useful reporting (MS Q5_b).</w:t>
      </w:r>
    </w:p>
    <w:p w14:paraId="571832A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Operational reporting constraints also remain visible. KPI 7 identifies timely access to detailed financial information as an important reporting bottleneck, and KPI 3 shows that while request acknowledgement is consistently rapid, completion times vary widely depending on complexity, funding availability and coordination requirements. This implies that reporting on responsiveness and delivery benefits from contextual explanation rather than simple headline timing measures alone (KPI 3; KPI 7). In practice, stronger reporting could therefore benefit from a clearer presentation of implementation timelines, complexity factors and resource dependencies, so that governance bodies can more easily distinguish between normal variation in delivery and issues requiring attention.</w:t>
      </w:r>
    </w:p>
    <w:p w14:paraId="565D047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Open-ended responses add a consistent message on what users would find most valuable in strengthened reporting. Recurring themes include calls for regular reporting on project milestones, key performance indicators, regional outcomes, clearer follow up on initiatives, and more accessible information through dashboards or centralized hubs (Open-ended survey responses). These expectations are broadly aligned with interview feedback emphasizing transparency, measurable </w:t>
      </w:r>
      <w:r w:rsidRPr="0046236F">
        <w:rPr>
          <w:rFonts w:asciiTheme="minorHAnsi" w:hAnsiTheme="minorHAnsi" w:cstheme="minorHAnsi"/>
          <w:szCs w:val="24"/>
        </w:rPr>
        <w:lastRenderedPageBreak/>
        <w:t>indicators and closer linkage between reporting and implementation follow up (RTO interviews). The additional stakeholder feedback in the mapping document also points to the value of ensuring that activities of area offices are clearly reflected in the workplans of the corresponding regional offices, which further underlines the importance of coherence and visibility in reporting (Stakeholder feedback).</w:t>
      </w:r>
    </w:p>
    <w:p w14:paraId="7E6CAA31" w14:textId="77777777" w:rsidR="00617FC9" w:rsidRPr="0046236F" w:rsidRDefault="00617FC9" w:rsidP="0046236F">
      <w:pPr>
        <w:pStyle w:val="Subtitle0"/>
        <w:jc w:val="both"/>
        <w:rPr>
          <w:rFonts w:asciiTheme="minorHAnsi" w:hAnsiTheme="minorHAnsi" w:cstheme="minorHAnsi"/>
          <w:sz w:val="24"/>
          <w:szCs w:val="24"/>
        </w:rPr>
      </w:pPr>
      <w:r w:rsidRPr="0046236F">
        <w:rPr>
          <w:rFonts w:asciiTheme="minorHAnsi" w:hAnsiTheme="minorHAnsi" w:cstheme="minorHAnsi"/>
          <w:sz w:val="24"/>
          <w:szCs w:val="24"/>
        </w:rPr>
        <w:t>Patterns in the evidence</w:t>
      </w:r>
    </w:p>
    <w:p w14:paraId="4AE9B7C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Analytical structure of reporting to governance bodies.</w:t>
      </w:r>
      <w:r w:rsidRPr="0046236F">
        <w:rPr>
          <w:rFonts w:asciiTheme="minorHAnsi" w:hAnsiTheme="minorHAnsi" w:cstheme="minorHAnsi"/>
          <w:szCs w:val="24"/>
        </w:rPr>
        <w:t xml:space="preserve"> Evidence indicates that reporting could more clearly differentiate between activities delivered, implementation challenges, lessons learned, recommendations and follow up actions, so that Council and Advisory Bodies receive a more decision-useful picture of progress.</w:t>
      </w:r>
    </w:p>
    <w:p w14:paraId="033D073F"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Visibility of implementation progress through structured milestone reporting.</w:t>
      </w:r>
      <w:r w:rsidRPr="0046236F">
        <w:rPr>
          <w:rFonts w:asciiTheme="minorHAnsi" w:hAnsiTheme="minorHAnsi" w:cstheme="minorHAnsi"/>
          <w:szCs w:val="24"/>
        </w:rPr>
        <w:t xml:space="preserve"> Introducing more systematic presentation of milestones, regional outcomes and KPI-linked progress updates could help make implementation reporting easier to interpret and more closely aligned with stakeholder expectations.</w:t>
      </w:r>
    </w:p>
    <w:p w14:paraId="574BB235"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Contextualization of responsiveness and delivery timelines.</w:t>
      </w:r>
      <w:r w:rsidRPr="0046236F">
        <w:rPr>
          <w:rFonts w:asciiTheme="minorHAnsi" w:hAnsiTheme="minorHAnsi" w:cstheme="minorHAnsi"/>
          <w:szCs w:val="24"/>
        </w:rPr>
        <w:t xml:space="preserve"> Evidence indicates that reporting on Member State requests could benefit from more explicit context on how factors such as complexity, funding availability, and coordination requirements influence completion time, helping governance bodies interpret implementation pace more accurately.</w:t>
      </w:r>
    </w:p>
    <w:p w14:paraId="0E008F8C"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Accessibility of reporting information through dashboard-style tools or consolidated reporting views.</w:t>
      </w:r>
      <w:r w:rsidRPr="0046236F">
        <w:rPr>
          <w:rFonts w:asciiTheme="minorHAnsi" w:hAnsiTheme="minorHAnsi" w:cstheme="minorHAnsi"/>
          <w:szCs w:val="24"/>
        </w:rPr>
        <w:t xml:space="preserve"> Findings suggest that exploring more user</w:t>
      </w:r>
      <w:r w:rsidRPr="0046236F">
        <w:rPr>
          <w:rFonts w:asciiTheme="minorHAnsi" w:hAnsiTheme="minorHAnsi" w:cstheme="minorHAnsi"/>
          <w:szCs w:val="24"/>
        </w:rPr>
        <w:noBreakHyphen/>
        <w:t>friendly reporting formats could help improve transparency, make it easier to aggregate information across regions, and help support governance bodies in tracking implementation trends and bottlenecks over time.</w:t>
      </w:r>
    </w:p>
    <w:p w14:paraId="468FB4BE"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Integration of area office activity into regional reporting narratives.</w:t>
      </w:r>
      <w:r w:rsidRPr="0046236F">
        <w:rPr>
          <w:rFonts w:asciiTheme="minorHAnsi" w:hAnsiTheme="minorHAnsi" w:cstheme="minorHAnsi"/>
          <w:szCs w:val="24"/>
        </w:rPr>
        <w:t xml:space="preserve"> Reporting could be strengthened by more consistently showing how Area Office activities align with the workplans, results, and implementation logic of their respective Regional Office, helping to improve coherence and visibility across reporting.</w:t>
      </w:r>
    </w:p>
    <w:p w14:paraId="1215B06C" w14:textId="77777777" w:rsidR="00617FC9" w:rsidRPr="0046236F" w:rsidRDefault="00617FC9" w:rsidP="00617FC9">
      <w:pPr>
        <w:pStyle w:val="SoWtitle"/>
        <w:jc w:val="both"/>
        <w:rPr>
          <w:rFonts w:asciiTheme="minorHAnsi" w:eastAsia="Avenir Nxt2 W1G" w:hAnsiTheme="minorHAnsi" w:cstheme="minorHAnsi"/>
          <w:sz w:val="24"/>
          <w:szCs w:val="24"/>
        </w:rPr>
      </w:pPr>
      <w:bookmarkStart w:id="90" w:name="_Toc224213040"/>
      <w:bookmarkStart w:id="91" w:name="_Toc224236471"/>
      <w:r w:rsidRPr="0046236F">
        <w:rPr>
          <w:rFonts w:asciiTheme="minorHAnsi" w:hAnsiTheme="minorHAnsi" w:cstheme="minorHAnsi"/>
          <w:sz w:val="24"/>
          <w:szCs w:val="24"/>
        </w:rPr>
        <w:t xml:space="preserve">Scope of Work 10 — Evaluate the mechanisms, using set objectives, including communication mechanisms, and impact of coordination, planning, and implementation between the </w:t>
      </w:r>
      <w:r w:rsidRPr="0046236F">
        <w:rPr>
          <w:rFonts w:asciiTheme="minorHAnsi" w:eastAsia="Avenir Nxt2 W1G" w:hAnsiTheme="minorHAnsi" w:cstheme="minorHAnsi"/>
          <w:sz w:val="24"/>
          <w:szCs w:val="24"/>
        </w:rPr>
        <w:t>Regional Offices and Area Offices and General Secretariat, the three Bureaux, and regional organisations for ITU regional events, meetings, and conferences and identify improvements and actions that would enhance synergies in the coordination and communication of activities, projects and initiatives between regional offices/area offices and ITU headquarters</w:t>
      </w:r>
      <w:bookmarkEnd w:id="90"/>
      <w:bookmarkEnd w:id="91"/>
    </w:p>
    <w:p w14:paraId="651DD914"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Findings</w:t>
      </w:r>
    </w:p>
    <w:p w14:paraId="451DB6CC"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combined evidence indicates that coordination arrangements between regional presence, headquarters and the three Bureaux are established and functioning, with particularly strong support for practical improvements that would deepen synergies. Membership views are notably positive on mechanisms that enhance participation in regional and global ITU activities, and there is also strong internal support for improved communication between Regional Offices, the Bureaux and the General Secretariat (MS Q7_b; IA Q9_k). This points to a solid foundation for coordination, while also showing that stakeholders see clear value in making these arrangements more visible, more systematic and more operationally connected.</w:t>
      </w:r>
    </w:p>
    <w:p w14:paraId="1FFA847B"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lastRenderedPageBreak/>
        <w:t>KPI evidence reinforces that the One-ITU model is institutionally embedded, but that implementation is not perceived as equally strong in all dimensions. The analysis of KPI 24 shows that focal-point arrangements and coordination mechanisms are in place, and that participation across the three Sectors is already occurring. Perceptions of active participation and access to cross-Sector technical expertise remain moderate, and there is strong support for greater access to dedicated ITU-T and ITU-R expertise as well as stronger physical presence from all Bureaux in the regions (KPI 24; IA Q5_a; IA Q5_b; IA Q9_a; MS Q5_c). This suggests that coordination structures exist, but their operational depth and continuity could be further strengthened.</w:t>
      </w:r>
    </w:p>
    <w:p w14:paraId="68B92A63"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Survey results also show that the experience of coordination is more mixed when viewed from inside the organization. Perceptions are moderate regarding the effectiveness of cooperation among the three Bureaux and the clarity of strategic guidance received from headquarters, and staff views on active participation of Regional and Area Offices in all three Sectors are similarly moderate (IA Q1; IA Q2; IA Q4). In addition, responses on duplication among the Bureaux are divided rather than conclusive, suggesting that coordination is working in many cases but is not always experienced as fully streamlined or consistently aligned across functions (IA Q19).</w:t>
      </w:r>
    </w:p>
    <w:p w14:paraId="229C11A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Interview insights are consistent with this interpretation. RTO feedback emphasizes the importance of stronger integration of the three ITU Bureaux in regional work, clearer communication channels, better identification of subject-matter experts, and closer structured cooperation with regional organizations. Interviews also underline the value of regional offices acting as listening posts able to translate regional priorities into the broader ITU agenda, which is closely aligned with the objectives of this Scope of Work (RTO interviews). Additional stakeholder feedback similarly stresses that activities of regional and area offices should reflect the coordinated objectives of all three Sectors and enhance member participation in ITU work.</w:t>
      </w:r>
    </w:p>
    <w:p w14:paraId="585DE68B"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Open-ended responses add a practical communication dimension to the analysis. Comments highlight the importance of direct communication, messaging platforms, social media, websites and more targeted communications approaches, while other responses emphasize joint planning, stronger alignment between global and regional priorities, and platforms that amplify regional voices in global policy dialogue (Open-ended survey responses). Together, these qualitative inputs suggest that stakeholders value not only formal coordination structures, but also more agile and audience-appropriate communication channels that make coordination visible and actionable in day-to-day regional work.</w:t>
      </w:r>
    </w:p>
    <w:p w14:paraId="25624926" w14:textId="77777777" w:rsidR="00617FC9" w:rsidRPr="0046236F" w:rsidRDefault="00617FC9" w:rsidP="00617FC9">
      <w:pPr>
        <w:pStyle w:val="Subtitle0"/>
        <w:rPr>
          <w:rFonts w:asciiTheme="minorHAnsi" w:eastAsia="Times New Roman" w:hAnsiTheme="minorHAnsi" w:cstheme="minorHAnsi"/>
          <w:bCs w:val="0"/>
          <w:kern w:val="0"/>
          <w:sz w:val="24"/>
          <w:szCs w:val="24"/>
          <w:lang w:eastAsia="en-US"/>
          <w14:ligatures w14:val="none"/>
        </w:rPr>
      </w:pPr>
      <w:r w:rsidRPr="0046236F">
        <w:rPr>
          <w:rFonts w:asciiTheme="minorHAnsi" w:eastAsia="Times New Roman" w:hAnsiTheme="minorHAnsi" w:cstheme="minorHAnsi"/>
          <w:bCs w:val="0"/>
          <w:kern w:val="0"/>
          <w:sz w:val="24"/>
          <w:szCs w:val="24"/>
          <w:lang w:eastAsia="en-US"/>
          <w14:ligatures w14:val="none"/>
        </w:rPr>
        <w:t>Patterns in the evidence</w:t>
      </w:r>
    </w:p>
    <w:p w14:paraId="469D0AC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 xml:space="preserve">Structured cross-bureau coordination at regional level. </w:t>
      </w:r>
      <w:r w:rsidRPr="0046236F">
        <w:rPr>
          <w:rFonts w:asciiTheme="minorHAnsi" w:hAnsiTheme="minorHAnsi" w:cstheme="minorHAnsi"/>
          <w:bCs/>
          <w:szCs w:val="24"/>
        </w:rPr>
        <w:t>Evidence suggests that</w:t>
      </w:r>
      <w:r w:rsidRPr="0046236F">
        <w:rPr>
          <w:rFonts w:asciiTheme="minorHAnsi" w:hAnsiTheme="minorHAnsi" w:cstheme="minorHAnsi"/>
          <w:b/>
          <w:szCs w:val="24"/>
        </w:rPr>
        <w:t xml:space="preserve"> </w:t>
      </w:r>
      <w:r w:rsidRPr="0046236F">
        <w:rPr>
          <w:rFonts w:asciiTheme="minorHAnsi" w:hAnsiTheme="minorHAnsi" w:cstheme="minorHAnsi"/>
          <w:szCs w:val="24"/>
        </w:rPr>
        <w:t>building on existing One</w:t>
      </w:r>
      <w:r w:rsidRPr="0046236F">
        <w:rPr>
          <w:rFonts w:asciiTheme="minorHAnsi" w:hAnsiTheme="minorHAnsi" w:cstheme="minorHAnsi"/>
          <w:szCs w:val="24"/>
        </w:rPr>
        <w:noBreakHyphen/>
        <w:t>ITU arrangements, establishing more regular and visible coordination mechanisms between Regional Offices, the General Secretariat, and the three Bureaux could help support clearer planning interfaces for regional events, initiatives, and member engagement.</w:t>
      </w:r>
    </w:p>
    <w:p w14:paraId="11B425B4"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Access to dedicated cross-Sector expertise.</w:t>
      </w:r>
      <w:r w:rsidRPr="0046236F">
        <w:rPr>
          <w:rFonts w:asciiTheme="minorHAnsi" w:hAnsiTheme="minorHAnsi" w:cstheme="minorHAnsi"/>
          <w:szCs w:val="24"/>
        </w:rPr>
        <w:t xml:space="preserve"> Evidence indicates that expanding practical access to technical expertise from all three Sectors—through more predictable focal</w:t>
      </w:r>
      <w:r w:rsidRPr="0046236F">
        <w:rPr>
          <w:rFonts w:asciiTheme="minorHAnsi" w:hAnsiTheme="minorHAnsi" w:cstheme="minorHAnsi"/>
          <w:szCs w:val="24"/>
        </w:rPr>
        <w:noBreakHyphen/>
        <w:t>point engagement, clearer expert</w:t>
      </w:r>
      <w:r w:rsidRPr="0046236F">
        <w:rPr>
          <w:rFonts w:asciiTheme="minorHAnsi" w:hAnsiTheme="minorHAnsi" w:cstheme="minorHAnsi"/>
          <w:szCs w:val="24"/>
        </w:rPr>
        <w:noBreakHyphen/>
        <w:t>identification processes, and sustained support from ITU</w:t>
      </w:r>
      <w:r w:rsidRPr="0046236F">
        <w:rPr>
          <w:rFonts w:asciiTheme="minorHAnsi" w:hAnsiTheme="minorHAnsi" w:cstheme="minorHAnsi"/>
          <w:szCs w:val="24"/>
        </w:rPr>
        <w:noBreakHyphen/>
        <w:t>T and ITU</w:t>
      </w:r>
      <w:r w:rsidRPr="0046236F">
        <w:rPr>
          <w:rFonts w:asciiTheme="minorHAnsi" w:hAnsiTheme="minorHAnsi" w:cstheme="minorHAnsi"/>
          <w:szCs w:val="24"/>
        </w:rPr>
        <w:noBreakHyphen/>
        <w:t>R where regional demand is high—could help strengthen the technical assistance available to Regional and Area Offices.</w:t>
      </w:r>
    </w:p>
    <w:p w14:paraId="47172BF4"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Communication channels between headquarters and regional presence.</w:t>
      </w:r>
      <w:r w:rsidRPr="0046236F">
        <w:rPr>
          <w:rFonts w:asciiTheme="minorHAnsi" w:hAnsiTheme="minorHAnsi" w:cstheme="minorHAnsi"/>
          <w:szCs w:val="24"/>
        </w:rPr>
        <w:t xml:space="preserve"> The findings indicate that communication could be strengthened through clearer guidance flows, more regular operational exchanges, and better use of simple, direct communication formats that support timely coordination.</w:t>
      </w:r>
    </w:p>
    <w:p w14:paraId="5EFE070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lastRenderedPageBreak/>
        <w:t>Collaboration with regional organizations through joint planning.</w:t>
      </w:r>
      <w:r w:rsidRPr="0046236F">
        <w:rPr>
          <w:rFonts w:asciiTheme="minorHAnsi" w:hAnsiTheme="minorHAnsi" w:cstheme="minorHAnsi"/>
          <w:szCs w:val="24"/>
        </w:rPr>
        <w:t xml:space="preserve"> Evidence suggests that further opportunities for more structured dialogue and joint planning with regional organizations could help better connect regional priorities with ITU initiatives and Sector activities, while supporting continued engagement in regional and global ITU processes.</w:t>
      </w:r>
    </w:p>
    <w:p w14:paraId="525FA99F" w14:textId="77777777" w:rsidR="00617FC9" w:rsidRPr="0046236F" w:rsidRDefault="00617FC9" w:rsidP="00617FC9">
      <w:pPr>
        <w:pStyle w:val="SoWtitle"/>
        <w:jc w:val="both"/>
        <w:rPr>
          <w:rFonts w:asciiTheme="minorHAnsi" w:hAnsiTheme="minorHAnsi" w:cstheme="minorHAnsi"/>
          <w:sz w:val="24"/>
          <w:szCs w:val="24"/>
        </w:rPr>
      </w:pPr>
      <w:bookmarkStart w:id="92" w:name="_Toc224213041"/>
      <w:bookmarkStart w:id="93" w:name="_Toc224236472"/>
      <w:r w:rsidRPr="0046236F">
        <w:rPr>
          <w:rFonts w:asciiTheme="minorHAnsi" w:hAnsiTheme="minorHAnsi" w:cstheme="minorHAnsi"/>
          <w:sz w:val="24"/>
          <w:szCs w:val="24"/>
        </w:rPr>
        <w:t>Scope of Work 11 — Assess membership engagement mechanisms and their effectiveness as well as engagement with other international, regional and sub-regional organisations and UN organisations</w:t>
      </w:r>
      <w:bookmarkEnd w:id="92"/>
      <w:bookmarkEnd w:id="93"/>
    </w:p>
    <w:p w14:paraId="3AFB270F"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Findings</w:t>
      </w:r>
    </w:p>
    <w:p w14:paraId="50162C4F"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szCs w:val="24"/>
        </w:rPr>
        <w:t>The evidence indicates that ITU’s engagement mechanisms are functioning effectively and that Regional and Area Offices play a central role in facilitating interaction between the organization, Member States and regional partners. Regional initiatives, events and project activities demonstrate sustained engagement across regions, while satisfaction and consultation data indicate that these interactions translate into regular dialogue with the membership. Perceptions of ITU effectiveness through Regional and Area Offices are positive, and Member States report frequent consultation with regional offices. Interview feedback similarly highlights the role of regional offices as trusted interlocutors linking ITU activities with regional priorities and institutional frameworks (KPI 1; KPI 4; KPI 6; MS Q10; RTO interviews).</w:t>
      </w:r>
    </w:p>
    <w:p w14:paraId="7DAEC5EF"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szCs w:val="24"/>
        </w:rPr>
        <w:t>Engagement appears particularly strong in areas related to information dissemination, technological platforms and participation support. Membership responses show positive perceptions regarding dissemination of information and data, technological tools enabling interaction with ITU, and awareness-raising and capacity-building activities. Perceptions remain positive but somewhat more moderate regarding communication and advocacy activities, policy dialogue platforms and support for partnerships and resource mobilisation (KPI 4; KPI 13_e; MS Q12_b; MS Q12_c; MS Q12_d; MS Q12_e; MS Q12_f; MS Q12_h). These findings are consistent with evidence showing that regional offices rely extensively on digital tools and hybrid engagement formats to maintain interaction with Member States and stakeholders (KPI 13_e; KPI 15).</w:t>
      </w:r>
    </w:p>
    <w:p w14:paraId="34EC6FF7"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szCs w:val="24"/>
        </w:rPr>
        <w:t>Participation in ITU regional and global activities is also geographically broad and institutionally diverse. Between 2022 and 2025, ITU organized 1,067 events and 1,501 meetings across 109 host countries, demonstrating a wide geographic reach. Participation included 173 Member States, as well as 293 Sector Members, 174 Academia or Associate entities and 29 UN entities, indicating engagement across the full spectrum of ITU stakeholders (KPI 16). Staff responses similarly underline the importance of regional presence in facilitating participation in ITU processes (IA Q8). Fellowship mechanisms further support participation by enabling delegates from developing countries to attend ITU meetings and events. Evidence indicates that fellowship allocation processes are structured and broadly perceived as transparent and inclusive, with recent improvements aimed at strengthening accessibility and clarity of the application process (KPI 22; KPI 23).</w:t>
      </w:r>
    </w:p>
    <w:p w14:paraId="6D90203C"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szCs w:val="24"/>
        </w:rPr>
        <w:t xml:space="preserve">The evidence also points to areas where engagement could be further strengthened. Requests from Member States are typically acknowledged within 24–48 hours, but completion times vary depending on complexity and coordination requirements, meaning the experience of engagement may differ across types of requests (KPI 3). Perceptions are also more moderate regarding the adequacy of regional presence in relation to office location (MS Q6_f) and partnerships supporting national priorities. Staff responses suggest that extrabudgetary activities and partnerships do not </w:t>
      </w:r>
      <w:r w:rsidRPr="0046236F">
        <w:rPr>
          <w:rFonts w:asciiTheme="minorHAnsi" w:hAnsiTheme="minorHAnsi" w:cstheme="minorHAnsi"/>
          <w:szCs w:val="24"/>
        </w:rPr>
        <w:lastRenderedPageBreak/>
        <w:t>always fully address country needs, pointing to opportunities to strengthen resource mobilisation and programme implementation mechanisms (IA Q17).</w:t>
      </w:r>
    </w:p>
    <w:p w14:paraId="4D317EE7"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szCs w:val="24"/>
        </w:rPr>
        <w:t xml:space="preserve">RTO interviews provide additional context. Regional stakeholders emphasize the importance of Regional and Area Offices as coordination hubs linking ITU with regional organizations and helping translate regional priorities into ITU initiatives. Interview responses also highlight opportunities to strengthen collaboration mechanisms, particularly </w:t>
      </w:r>
      <w:proofErr w:type="gramStart"/>
      <w:r w:rsidRPr="0046236F">
        <w:rPr>
          <w:rFonts w:asciiTheme="minorHAnsi" w:hAnsiTheme="minorHAnsi" w:cstheme="minorHAnsi"/>
          <w:szCs w:val="24"/>
        </w:rPr>
        <w:t>with regard to</w:t>
      </w:r>
      <w:proofErr w:type="gramEnd"/>
      <w:r w:rsidRPr="0046236F">
        <w:rPr>
          <w:rFonts w:asciiTheme="minorHAnsi" w:hAnsiTheme="minorHAnsi" w:cstheme="minorHAnsi"/>
          <w:szCs w:val="24"/>
        </w:rPr>
        <w:t xml:space="preserve"> joint initiatives and resource mobilisation supporting regional programmes (RTO interviews).</w:t>
      </w:r>
    </w:p>
    <w:p w14:paraId="7EDE4D57"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szCs w:val="24"/>
        </w:rPr>
        <w:t>Interviewees underlined the importance of inclusive engagement with Member States that do not belong to a regional telecommunication organization. These countries generally remain engaged through ITU’s own regional mechanisms and direct interaction with Regional and Area Offices. Open-ended responses similarly emphasize the importance of proactive outreach, accessible digital participation tools and inclusive communication practices to ensure effective engagement regardless of regional institutional affiliation (RTO interviews; Open-ended survey responses).</w:t>
      </w:r>
    </w:p>
    <w:p w14:paraId="3149F240"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szCs w:val="24"/>
        </w:rPr>
        <w:t>Qualitative feedback further highlights opportunities to enhance engagement practices. Respondents frequently emphasize the importance of combining digital channels, webinars, regional forums and periodic in-person meetings to maintain dialogue with Member States. They also point to the need for stronger follow up to consultations, more regionally tailored communication and closer collaboration with regional organizations in identifying priorities and designing initiatives. Taken together, the evidence indicates that engagement mechanisms are well established and widely used. Their effectiveness could be further strengthened through improved coordination with regional partners, continued development of digital engagement tools and more systematic partnership approaches (Open-ended survey responses; RTO interviews).</w:t>
      </w:r>
    </w:p>
    <w:p w14:paraId="7CDF4D99"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szCs w:val="24"/>
        </w:rPr>
        <w:t>Overall, the evidence suggests that Regional and Area Offices provide an important platform for interaction between ITU, its membership and regional stakeholders. Participation patterns and satisfaction indicators point to a positive assessment of these mechanisms, particularly in relation to communication, event-based interaction and participation support. The findings also indicate opportunities to strengthen the consistency and depth of engagement by reinforcing collaboration with regional organizations, improving coordination with UN Country Teams and partners, and ensuring inclusive participation across all Member States (KPI 16; KPI 22; KPI 23; MS Q17; MS Q18; MS Q20; IA Q18).</w:t>
      </w:r>
    </w:p>
    <w:p w14:paraId="1DB0EA4F" w14:textId="77777777" w:rsidR="00617FC9" w:rsidRPr="0046236F" w:rsidRDefault="00617FC9" w:rsidP="00617FC9">
      <w:pPr>
        <w:pStyle w:val="Subtitle0"/>
        <w:rPr>
          <w:rFonts w:asciiTheme="minorHAnsi" w:eastAsia="Times New Roman" w:hAnsiTheme="minorHAnsi" w:cstheme="minorHAnsi"/>
          <w:bCs w:val="0"/>
          <w:kern w:val="0"/>
          <w:sz w:val="24"/>
          <w:szCs w:val="24"/>
          <w:lang w:eastAsia="en-US"/>
          <w14:ligatures w14:val="none"/>
        </w:rPr>
      </w:pPr>
      <w:r w:rsidRPr="0046236F">
        <w:rPr>
          <w:rFonts w:asciiTheme="minorHAnsi" w:eastAsia="Times New Roman" w:hAnsiTheme="minorHAnsi" w:cstheme="minorHAnsi"/>
          <w:bCs w:val="0"/>
          <w:kern w:val="0"/>
          <w:sz w:val="24"/>
          <w:szCs w:val="24"/>
          <w:lang w:eastAsia="en-US"/>
          <w14:ligatures w14:val="none"/>
        </w:rPr>
        <w:t>Patterns in the evidence</w:t>
      </w:r>
    </w:p>
    <w:p w14:paraId="271998C4"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b/>
          <w:szCs w:val="24"/>
        </w:rPr>
        <w:t xml:space="preserve">Structured collaboration with regional organizations to support joint initiatives and resource mobilisation. </w:t>
      </w:r>
      <w:r w:rsidRPr="0046236F">
        <w:rPr>
          <w:rFonts w:asciiTheme="minorHAnsi" w:hAnsiTheme="minorHAnsi" w:cstheme="minorHAnsi"/>
          <w:szCs w:val="24"/>
        </w:rPr>
        <w:t>While engagement with regional, sub</w:t>
      </w:r>
      <w:r w:rsidRPr="0046236F">
        <w:rPr>
          <w:rFonts w:asciiTheme="minorHAnsi" w:hAnsiTheme="minorHAnsi" w:cstheme="minorHAnsi"/>
          <w:szCs w:val="24"/>
        </w:rPr>
        <w:noBreakHyphen/>
        <w:t>regional, and UN system partners is found to be already active, evidence suggests that more systematic cooperation mechanisms — including structured consultation, joint planning, and clearer cooperation frameworks — could help align ITU initiatives with regional priorities and support more effective mobilisation of financial and technical resources across regional programmes.</w:t>
      </w:r>
    </w:p>
    <w:p w14:paraId="1C06564C"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b/>
          <w:szCs w:val="24"/>
        </w:rPr>
        <w:t xml:space="preserve">Consistency and responsiveness of support provided through regional engagement mechanisms. </w:t>
      </w:r>
      <w:r w:rsidRPr="0046236F">
        <w:rPr>
          <w:rFonts w:asciiTheme="minorHAnsi" w:hAnsiTheme="minorHAnsi" w:cstheme="minorHAnsi"/>
          <w:bCs/>
          <w:szCs w:val="24"/>
        </w:rPr>
        <w:t>Evidence indicates that</w:t>
      </w:r>
      <w:r w:rsidRPr="0046236F">
        <w:rPr>
          <w:rFonts w:asciiTheme="minorHAnsi" w:hAnsiTheme="minorHAnsi" w:cstheme="minorHAnsi"/>
          <w:b/>
          <w:szCs w:val="24"/>
        </w:rPr>
        <w:t xml:space="preserve"> </w:t>
      </w:r>
      <w:r w:rsidRPr="0046236F">
        <w:rPr>
          <w:rFonts w:asciiTheme="minorHAnsi" w:hAnsiTheme="minorHAnsi" w:cstheme="minorHAnsi"/>
          <w:szCs w:val="24"/>
        </w:rPr>
        <w:t>though requests are acknowledged rapidly, variations in completion times suggest opportunities to further strengthen internal coordination and operational processes supporting Member State requests.</w:t>
      </w:r>
    </w:p>
    <w:p w14:paraId="3A2952D7"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b/>
          <w:szCs w:val="24"/>
        </w:rPr>
        <w:t xml:space="preserve">Inclusive engagement with all Member States regardless of regional institutional affiliation. </w:t>
      </w:r>
      <w:r w:rsidRPr="0046236F">
        <w:rPr>
          <w:rFonts w:asciiTheme="minorHAnsi" w:hAnsiTheme="minorHAnsi" w:cstheme="minorHAnsi"/>
          <w:szCs w:val="24"/>
        </w:rPr>
        <w:t xml:space="preserve">Maintaining proactive outreach, accessible digital participation tools and inclusive communication </w:t>
      </w:r>
      <w:r w:rsidRPr="0046236F">
        <w:rPr>
          <w:rFonts w:asciiTheme="minorHAnsi" w:hAnsiTheme="minorHAnsi" w:cstheme="minorHAnsi"/>
          <w:szCs w:val="24"/>
        </w:rPr>
        <w:lastRenderedPageBreak/>
        <w:t>practices could help ensure that all Member States remain effectively connected to ITU activities and consultations.</w:t>
      </w:r>
    </w:p>
    <w:p w14:paraId="5E5BC28B"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b/>
          <w:szCs w:val="24"/>
        </w:rPr>
        <w:t>Transparency and usability of participation support mechanisms.</w:t>
      </w:r>
      <w:r w:rsidRPr="0046236F">
        <w:rPr>
          <w:rFonts w:asciiTheme="minorHAnsi" w:hAnsiTheme="minorHAnsi" w:cstheme="minorHAnsi"/>
          <w:szCs w:val="24"/>
        </w:rPr>
        <w:t xml:space="preserve"> Evidence indicates that ongoing reforms to fellowships and participation support could continue to evolve so that access conditions, allocation patterns, and application procedures are easier to understand and are viewed as fair and accessible by the membership.</w:t>
      </w:r>
    </w:p>
    <w:p w14:paraId="0143306E" w14:textId="77777777" w:rsidR="00617FC9" w:rsidRPr="0046236F" w:rsidRDefault="00617FC9" w:rsidP="00617FC9">
      <w:pPr>
        <w:pStyle w:val="SoWtitle"/>
        <w:jc w:val="both"/>
        <w:rPr>
          <w:rFonts w:asciiTheme="minorHAnsi" w:hAnsiTheme="minorHAnsi" w:cstheme="minorHAnsi"/>
          <w:sz w:val="24"/>
          <w:szCs w:val="24"/>
        </w:rPr>
      </w:pPr>
      <w:bookmarkStart w:id="94" w:name="_Toc224213042"/>
      <w:bookmarkStart w:id="95" w:name="_Toc224236473"/>
      <w:r w:rsidRPr="0046236F">
        <w:rPr>
          <w:rFonts w:asciiTheme="minorHAnsi" w:hAnsiTheme="minorHAnsi" w:cstheme="minorHAnsi"/>
          <w:sz w:val="24"/>
          <w:szCs w:val="24"/>
        </w:rPr>
        <w:t>Scope of Work 12 — Propose approaches for the Regional and Area Offices to strengthen the coordination of the work of countries who do not belong to a specific Regional Telecommunication Organisation (RTO), and the respective RTO in the regional preparatory processes for world assemblies and conferences of the Union</w:t>
      </w:r>
      <w:bookmarkEnd w:id="94"/>
      <w:bookmarkEnd w:id="95"/>
    </w:p>
    <w:p w14:paraId="09A5AEF3"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Findings</w:t>
      </w:r>
    </w:p>
    <w:p w14:paraId="3435629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available evidence suggests that coordination mechanisms between Regional and Area Offices, Regional Telecommunication Organizations (RTOs), and countries that are not members of an RTO are functional but are perceived as only moderately clear by the membership. Survey results indicate relatively limited agreement regarding the adequacy of coordination arrangements for such countries in regional preparatory processes for ITU assemblies and conferences, suggesting that existing mechanisms may not always facilitate effective engagement of countries outside established RTO frameworks (MS Q8).</w:t>
      </w:r>
    </w:p>
    <w:p w14:paraId="7F1416A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Insights from interviews with Regional Telecommunication Organizations indicate that this issue affects only a small subset of Member States and does not generally constitute a major operational challenge. In most regions the number of countries not affiliated with an RTO is limited, and coordination has typically developed through pragmatic and largely informal arrangements. Participation in regional preparatory discussions may therefore occur through ad hoc invitations or observer participation in meetings, which stakeholders report can function effectively where there is mutual willingness among the parties involved (RTO interviews).</w:t>
      </w:r>
    </w:p>
    <w:p w14:paraId="40B6EEE9"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At the same time, interview feedback highlights that Regional and Area Offices can play an important facilitation role in linking ITU processes with regional coordination platforms. Regional offices are often seen as useful interfaces that can help ensure that countries outside RTO frameworks remain informed about preparatory discussions and opportunities to engage in regional exchanges where relevant (RTO interviews).</w:t>
      </w:r>
    </w:p>
    <w:p w14:paraId="44F82CD9"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Overall, the evidence suggests that coordination arrangements for countries outside RTO structures are generally handled pragmatically and do not represent a major structural obstacle to participation in ITU preparatory processes. Nevertheless, stakeholder feedback indicates that greater clarity and consistency in communication and facilitation practices could further strengthen the inclusiveness and transparency of regional preparatory discussions (MS Q8; RTO interviews; Open-ended survey responses).</w:t>
      </w:r>
    </w:p>
    <w:p w14:paraId="7FDD5041" w14:textId="77777777" w:rsidR="00617FC9" w:rsidRPr="0046236F" w:rsidRDefault="00617FC9" w:rsidP="00617FC9">
      <w:pPr>
        <w:pStyle w:val="Subtitle0"/>
        <w:rPr>
          <w:rFonts w:asciiTheme="minorHAnsi" w:eastAsia="Times New Roman" w:hAnsiTheme="minorHAnsi" w:cstheme="minorHAnsi"/>
          <w:bCs w:val="0"/>
          <w:kern w:val="0"/>
          <w:sz w:val="24"/>
          <w:szCs w:val="24"/>
          <w:lang w:eastAsia="en-US"/>
          <w14:ligatures w14:val="none"/>
        </w:rPr>
      </w:pPr>
      <w:r w:rsidRPr="0046236F">
        <w:rPr>
          <w:rFonts w:asciiTheme="minorHAnsi" w:eastAsia="Times New Roman" w:hAnsiTheme="minorHAnsi" w:cstheme="minorHAnsi"/>
          <w:bCs w:val="0"/>
          <w:kern w:val="0"/>
          <w:sz w:val="24"/>
          <w:szCs w:val="24"/>
          <w:lang w:eastAsia="en-US"/>
          <w14:ligatures w14:val="none"/>
        </w:rPr>
        <w:t>Patterns in the evidence</w:t>
      </w:r>
    </w:p>
    <w:p w14:paraId="685CBC2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 xml:space="preserve">Facilitation role of Regional and Area Offices in regional preparatory coordination. </w:t>
      </w:r>
      <w:r w:rsidRPr="0046236F">
        <w:rPr>
          <w:rFonts w:asciiTheme="minorHAnsi" w:hAnsiTheme="minorHAnsi" w:cstheme="minorHAnsi"/>
          <w:bCs/>
          <w:szCs w:val="24"/>
        </w:rPr>
        <w:t>Evidence suggests that R</w:t>
      </w:r>
      <w:r w:rsidRPr="0046236F">
        <w:rPr>
          <w:rFonts w:asciiTheme="minorHAnsi" w:hAnsiTheme="minorHAnsi" w:cstheme="minorHAnsi"/>
          <w:szCs w:val="24"/>
        </w:rPr>
        <w:t>egional Offices could play a clearer facilitation role in ensuring that countries not belonging to Regional Telecommunication Organizations are more systematically informed about preparatory meetings, consultations, and documentation related to ITU assemblies and conferences.</w:t>
      </w:r>
    </w:p>
    <w:p w14:paraId="48AA3B3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lastRenderedPageBreak/>
        <w:t xml:space="preserve">Communication with Member States outside RTO frameworks. </w:t>
      </w:r>
      <w:r w:rsidRPr="0046236F">
        <w:rPr>
          <w:rFonts w:asciiTheme="minorHAnsi" w:hAnsiTheme="minorHAnsi" w:cstheme="minorHAnsi"/>
          <w:szCs w:val="24"/>
        </w:rPr>
        <w:t>Regional and Area Offices could maintain more regular outreach to countries not affiliated with RTOs to ensure they remain aware of opportunities to participate in regional preparatory discussions and related coordination activities.</w:t>
      </w:r>
    </w:p>
    <w:p w14:paraId="45ADB4A5"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b/>
          <w:szCs w:val="24"/>
        </w:rPr>
        <w:t xml:space="preserve">Inclusive participation in regional preparatory exchanges. </w:t>
      </w:r>
      <w:r w:rsidRPr="0046236F">
        <w:rPr>
          <w:rFonts w:asciiTheme="minorHAnsi" w:hAnsiTheme="minorHAnsi" w:cstheme="minorHAnsi"/>
          <w:bCs/>
          <w:szCs w:val="24"/>
        </w:rPr>
        <w:t>Evidence suggests that</w:t>
      </w:r>
      <w:r w:rsidRPr="0046236F">
        <w:rPr>
          <w:rFonts w:asciiTheme="minorHAnsi" w:hAnsiTheme="minorHAnsi" w:cstheme="minorHAnsi"/>
          <w:b/>
          <w:szCs w:val="24"/>
        </w:rPr>
        <w:t xml:space="preserve"> </w:t>
      </w:r>
      <w:r w:rsidRPr="0046236F">
        <w:rPr>
          <w:rFonts w:asciiTheme="minorHAnsi" w:hAnsiTheme="minorHAnsi" w:cstheme="minorHAnsi"/>
          <w:szCs w:val="24"/>
        </w:rPr>
        <w:t>where appropriate, regional preparatory platforms could encourage the participation of countries outside RTO structures to ensure that consultations benefit from the perspectives of all Member States in the region.</w:t>
      </w:r>
    </w:p>
    <w:p w14:paraId="33F802B9" w14:textId="0CF529C2" w:rsidR="00617FC9" w:rsidRPr="0046236F" w:rsidRDefault="00617FC9" w:rsidP="00617FC9">
      <w:pPr>
        <w:pStyle w:val="Heading1"/>
        <w:rPr>
          <w:rFonts w:asciiTheme="minorHAnsi" w:hAnsiTheme="minorHAnsi" w:cstheme="minorHAnsi"/>
          <w:sz w:val="24"/>
          <w:szCs w:val="24"/>
        </w:rPr>
      </w:pPr>
      <w:bookmarkStart w:id="96" w:name="_Toc224213043"/>
      <w:bookmarkStart w:id="97" w:name="_Toc225163574"/>
      <w:bookmarkStart w:id="98" w:name="_Toc226580576"/>
      <w:r w:rsidRPr="0046236F">
        <w:rPr>
          <w:rFonts w:asciiTheme="minorHAnsi" w:hAnsiTheme="minorHAnsi" w:cstheme="minorHAnsi"/>
          <w:sz w:val="24"/>
          <w:szCs w:val="24"/>
        </w:rPr>
        <w:t>Annexes</w:t>
      </w:r>
      <w:bookmarkEnd w:id="96"/>
      <w:bookmarkEnd w:id="97"/>
      <w:bookmarkEnd w:id="98"/>
    </w:p>
    <w:p w14:paraId="4C8D3272" w14:textId="77777777" w:rsidR="00617FC9" w:rsidRPr="0046236F" w:rsidRDefault="00617FC9" w:rsidP="00617FC9">
      <w:pPr>
        <w:pStyle w:val="Heading2"/>
        <w:rPr>
          <w:rFonts w:asciiTheme="minorHAnsi" w:hAnsiTheme="minorHAnsi" w:cstheme="minorHAnsi"/>
          <w:szCs w:val="24"/>
        </w:rPr>
      </w:pPr>
      <w:bookmarkStart w:id="99" w:name="_Toc224213044"/>
      <w:bookmarkStart w:id="100" w:name="_Toc225163575"/>
      <w:bookmarkStart w:id="101" w:name="_Toc226580577"/>
      <w:r w:rsidRPr="0046236F">
        <w:rPr>
          <w:rFonts w:asciiTheme="minorHAnsi" w:hAnsiTheme="minorHAnsi" w:cstheme="minorHAnsi"/>
          <w:szCs w:val="24"/>
        </w:rPr>
        <w:t>Annex A. KPIs</w:t>
      </w:r>
      <w:bookmarkEnd w:id="99"/>
      <w:bookmarkEnd w:id="100"/>
      <w:bookmarkEnd w:id="101"/>
    </w:p>
    <w:p w14:paraId="5FD524F1" w14:textId="77777777" w:rsidR="00617FC9" w:rsidRPr="0046236F" w:rsidRDefault="00617FC9" w:rsidP="00617FC9">
      <w:pPr>
        <w:rPr>
          <w:rFonts w:asciiTheme="minorHAnsi" w:hAnsiTheme="minorHAnsi" w:cstheme="minorHAnsi"/>
          <w:szCs w:val="24"/>
        </w:rPr>
      </w:pPr>
      <w:r w:rsidRPr="0046236F">
        <w:rPr>
          <w:rFonts w:asciiTheme="minorHAnsi" w:hAnsiTheme="minorHAnsi" w:cstheme="minorHAnsi"/>
          <w:szCs w:val="24"/>
        </w:rPr>
        <w:t>This section provides the evidence-based findings per KPI that fed into the analysis at the Scope of Work level. Where the KPI includes desk research, data sources are included.</w:t>
      </w:r>
    </w:p>
    <w:p w14:paraId="0EF7101D" w14:textId="77777777" w:rsidR="00617FC9" w:rsidRPr="0046236F" w:rsidRDefault="00617FC9" w:rsidP="00617FC9">
      <w:pPr>
        <w:pStyle w:val="KPItitle"/>
        <w:jc w:val="both"/>
        <w:rPr>
          <w:rFonts w:asciiTheme="minorHAnsi" w:hAnsiTheme="minorHAnsi" w:cstheme="minorHAnsi"/>
          <w:sz w:val="24"/>
          <w:szCs w:val="24"/>
        </w:rPr>
      </w:pPr>
      <w:bookmarkStart w:id="102" w:name="_Toc224213045"/>
      <w:bookmarkStart w:id="103" w:name="_Toc224236476"/>
      <w:r w:rsidRPr="0046236F">
        <w:rPr>
          <w:rFonts w:asciiTheme="minorHAnsi" w:hAnsiTheme="minorHAnsi" w:cstheme="minorHAnsi"/>
          <w:sz w:val="24"/>
          <w:szCs w:val="24"/>
        </w:rPr>
        <w:t>KPI 1 — The percentage of strategic and action plan objectives being met</w:t>
      </w:r>
      <w:bookmarkEnd w:id="102"/>
      <w:bookmarkEnd w:id="103"/>
    </w:p>
    <w:p w14:paraId="3731E4DA"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Progress towards strategic and action plan objectives is monitored through sectoral operational plans, defined outcome and output indicators, and structured reporting to governing bodies. Performance is not expressed through a single consolidated completion rate but through implementation reporting aligned with the Strategic Plan 2024–2027 and the Kigali Action Plan framework.</w:t>
      </w:r>
    </w:p>
    <w:p w14:paraId="10256181"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 xml:space="preserve">Across the three sectors, implementation during the 2024–2025 period reflects sustained delivery of planned outputs. Radiocommunication and Standardization activities continued to produce regulatory instruments, recommendations, and technical outputs consistent with approved work programmes. Development sector implementation included operational plan activities, regional initiatives and project execution aligned with agreed priorities. </w:t>
      </w:r>
    </w:p>
    <w:p w14:paraId="051A5155"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In ITU-D, operational budget</w:t>
      </w:r>
      <w:r w:rsidRPr="0046236F">
        <w:rPr>
          <w:rFonts w:asciiTheme="minorHAnsi" w:hAnsiTheme="minorHAnsi" w:cstheme="minorHAnsi"/>
          <w:szCs w:val="24"/>
          <w:vertAlign w:val="superscript"/>
        </w:rPr>
        <w:t>1</w:t>
      </w:r>
      <w:r w:rsidRPr="0046236F">
        <w:rPr>
          <w:rFonts w:asciiTheme="minorHAnsi" w:hAnsiTheme="minorHAnsi" w:cstheme="minorHAnsi"/>
          <w:szCs w:val="24"/>
        </w:rPr>
        <w:t xml:space="preserve"> execution reached 84% in 2023, increased to 88% in 2024 and approached 89% in 2025. Project implementation</w:t>
      </w:r>
      <w:r w:rsidRPr="0046236F">
        <w:rPr>
          <w:rFonts w:asciiTheme="minorHAnsi" w:hAnsiTheme="minorHAnsi" w:cstheme="minorHAnsi"/>
          <w:szCs w:val="24"/>
          <w:vertAlign w:val="superscript"/>
        </w:rPr>
        <w:t>2</w:t>
      </w:r>
      <w:r w:rsidRPr="0046236F">
        <w:rPr>
          <w:rFonts w:asciiTheme="minorHAnsi" w:hAnsiTheme="minorHAnsi" w:cstheme="minorHAnsi"/>
          <w:szCs w:val="24"/>
        </w:rPr>
        <w:t xml:space="preserve"> between 2023 and 2025 covered more than 150 active projects with a cumulative value of CHF 173.8 million. Additional projects were signed during each reporting year. Under the Partner2Connect framework, USD 8.96 billion was reported in cumulative implementation expenditure as at end of 2025</w:t>
      </w:r>
      <w:r w:rsidRPr="0046236F">
        <w:rPr>
          <w:rFonts w:asciiTheme="minorHAnsi" w:hAnsiTheme="minorHAnsi" w:cstheme="minorHAnsi"/>
          <w:szCs w:val="24"/>
          <w:vertAlign w:val="superscript"/>
        </w:rPr>
        <w:t>3</w:t>
      </w:r>
      <w:r w:rsidRPr="0046236F">
        <w:rPr>
          <w:rFonts w:asciiTheme="minorHAnsi" w:hAnsiTheme="minorHAnsi" w:cstheme="minorHAnsi"/>
          <w:szCs w:val="24"/>
        </w:rPr>
        <w:t>. These figures reflect active implementation aligned with strategic and action plan commitments.</w:t>
      </w:r>
    </w:p>
    <w:p w14:paraId="3C6CFF30" w14:textId="70E512B9" w:rsidR="0046236F" w:rsidRDefault="0046236F">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cstheme="minorHAnsi"/>
          <w:b/>
          <w:lang w:val="en-US"/>
        </w:rPr>
      </w:pPr>
    </w:p>
    <w:p w14:paraId="4F498F3F" w14:textId="4C77E804" w:rsidR="00CC63DB" w:rsidRPr="00CC63DB" w:rsidRDefault="00617FC9" w:rsidP="00CC63DB">
      <w:pPr>
        <w:jc w:val="center"/>
        <w:rPr>
          <w:rFonts w:asciiTheme="minorHAnsi" w:hAnsiTheme="minorHAnsi" w:cstheme="minorHAnsi"/>
          <w:b/>
          <w:lang w:val="en-US"/>
        </w:rPr>
      </w:pPr>
      <w:r w:rsidRPr="00986D12">
        <w:rPr>
          <w:rFonts w:asciiTheme="minorHAnsi" w:hAnsiTheme="minorHAnsi" w:cstheme="minorHAnsi"/>
          <w:b/>
          <w:lang w:val="en-US"/>
        </w:rPr>
        <w:t>BDT Projects with implementation between 2023-2025</w:t>
      </w:r>
    </w:p>
    <w:tbl>
      <w:tblPr>
        <w:tblStyle w:val="GridTable5Dark-Accent1"/>
        <w:tblW w:w="0" w:type="auto"/>
        <w:jc w:val="center"/>
        <w:tblLook w:val="04A0" w:firstRow="1" w:lastRow="0" w:firstColumn="1" w:lastColumn="0" w:noHBand="0" w:noVBand="1"/>
      </w:tblPr>
      <w:tblGrid>
        <w:gridCol w:w="2685"/>
        <w:gridCol w:w="1980"/>
        <w:gridCol w:w="3825"/>
      </w:tblGrid>
      <w:tr w:rsidR="00617FC9" w:rsidRPr="007B2205" w14:paraId="4AE5969B" w14:textId="77777777" w:rsidTr="00CC63DB">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685" w:type="dxa"/>
          </w:tcPr>
          <w:p w14:paraId="4043AEBE" w14:textId="77777777" w:rsidR="00617FC9" w:rsidRPr="007B2205" w:rsidRDefault="00617FC9" w:rsidP="008D17AC">
            <w:pPr>
              <w:spacing w:before="40" w:after="40"/>
              <w:rPr>
                <w:sz w:val="20"/>
                <w:szCs w:val="20"/>
              </w:rPr>
            </w:pPr>
            <w:r w:rsidRPr="007B2205">
              <w:rPr>
                <w:sz w:val="20"/>
                <w:szCs w:val="20"/>
              </w:rPr>
              <w:t>Region</w:t>
            </w:r>
          </w:p>
        </w:tc>
        <w:tc>
          <w:tcPr>
            <w:tcW w:w="1980" w:type="dxa"/>
          </w:tcPr>
          <w:p w14:paraId="7F9386C3" w14:textId="77777777" w:rsidR="00617FC9" w:rsidRPr="007B2205" w:rsidRDefault="00617FC9" w:rsidP="008D17AC">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7B2205">
              <w:rPr>
                <w:sz w:val="20"/>
                <w:szCs w:val="20"/>
              </w:rPr>
              <w:t>Count of Project No</w:t>
            </w:r>
          </w:p>
        </w:tc>
        <w:tc>
          <w:tcPr>
            <w:tcW w:w="3825" w:type="dxa"/>
          </w:tcPr>
          <w:p w14:paraId="59A5DB94" w14:textId="77777777" w:rsidR="00617FC9" w:rsidRPr="007B2205" w:rsidRDefault="00617FC9" w:rsidP="008D17AC">
            <w:pPr>
              <w:spacing w:before="40" w:after="40"/>
              <w:cnfStyle w:val="100000000000" w:firstRow="1" w:lastRow="0" w:firstColumn="0" w:lastColumn="0" w:oddVBand="0" w:evenVBand="0" w:oddHBand="0" w:evenHBand="0" w:firstRowFirstColumn="0" w:firstRowLastColumn="0" w:lastRowFirstColumn="0" w:lastRowLastColumn="0"/>
              <w:rPr>
                <w:sz w:val="20"/>
                <w:szCs w:val="20"/>
              </w:rPr>
            </w:pPr>
            <w:r w:rsidRPr="007B2205">
              <w:rPr>
                <w:sz w:val="20"/>
                <w:szCs w:val="20"/>
              </w:rPr>
              <w:t>Total (CHF) million</w:t>
            </w:r>
          </w:p>
        </w:tc>
      </w:tr>
      <w:tr w:rsidR="00617FC9" w:rsidRPr="007B2205" w14:paraId="4E3CA03E" w14:textId="77777777" w:rsidTr="00CC63DB">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685" w:type="dxa"/>
          </w:tcPr>
          <w:p w14:paraId="64CF89FA" w14:textId="77777777" w:rsidR="00617FC9" w:rsidRPr="007B2205" w:rsidRDefault="00617FC9" w:rsidP="008D17AC">
            <w:pPr>
              <w:spacing w:before="40" w:after="40"/>
              <w:rPr>
                <w:sz w:val="20"/>
                <w:szCs w:val="20"/>
              </w:rPr>
            </w:pPr>
            <w:r w:rsidRPr="007B2205">
              <w:rPr>
                <w:sz w:val="20"/>
                <w:szCs w:val="20"/>
              </w:rPr>
              <w:t>Africa</w:t>
            </w:r>
          </w:p>
        </w:tc>
        <w:tc>
          <w:tcPr>
            <w:tcW w:w="1980" w:type="dxa"/>
          </w:tcPr>
          <w:p w14:paraId="08ED3B94" w14:textId="77777777" w:rsidR="00617FC9" w:rsidRPr="007B2205" w:rsidRDefault="00617FC9" w:rsidP="008D17A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7B2205">
              <w:rPr>
                <w:sz w:val="20"/>
                <w:szCs w:val="20"/>
              </w:rPr>
              <w:t>26</w:t>
            </w:r>
          </w:p>
        </w:tc>
        <w:tc>
          <w:tcPr>
            <w:tcW w:w="3825" w:type="dxa"/>
          </w:tcPr>
          <w:p w14:paraId="101344A1" w14:textId="77777777" w:rsidR="00617FC9" w:rsidRPr="007B2205" w:rsidRDefault="00617FC9" w:rsidP="008D17A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7B2205">
              <w:rPr>
                <w:sz w:val="20"/>
                <w:szCs w:val="20"/>
              </w:rPr>
              <w:t>31.0</w:t>
            </w:r>
          </w:p>
        </w:tc>
      </w:tr>
      <w:tr w:rsidR="00617FC9" w:rsidRPr="007B2205" w14:paraId="606443E7" w14:textId="77777777" w:rsidTr="00CC63DB">
        <w:trPr>
          <w:trHeight w:val="285"/>
          <w:jc w:val="center"/>
        </w:trPr>
        <w:tc>
          <w:tcPr>
            <w:cnfStyle w:val="001000000000" w:firstRow="0" w:lastRow="0" w:firstColumn="1" w:lastColumn="0" w:oddVBand="0" w:evenVBand="0" w:oddHBand="0" w:evenHBand="0" w:firstRowFirstColumn="0" w:firstRowLastColumn="0" w:lastRowFirstColumn="0" w:lastRowLastColumn="0"/>
            <w:tcW w:w="2685" w:type="dxa"/>
          </w:tcPr>
          <w:p w14:paraId="06DC3681" w14:textId="77777777" w:rsidR="00617FC9" w:rsidRPr="007B2205" w:rsidRDefault="00617FC9" w:rsidP="008D17AC">
            <w:pPr>
              <w:spacing w:before="40" w:after="40"/>
              <w:rPr>
                <w:sz w:val="20"/>
                <w:szCs w:val="20"/>
              </w:rPr>
            </w:pPr>
            <w:r w:rsidRPr="007B2205">
              <w:rPr>
                <w:sz w:val="20"/>
                <w:szCs w:val="20"/>
              </w:rPr>
              <w:t>The Americas</w:t>
            </w:r>
          </w:p>
        </w:tc>
        <w:tc>
          <w:tcPr>
            <w:tcW w:w="1980" w:type="dxa"/>
          </w:tcPr>
          <w:p w14:paraId="4923AD62" w14:textId="77777777" w:rsidR="00617FC9" w:rsidRPr="007B2205" w:rsidRDefault="00617FC9" w:rsidP="008D17AC">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7B2205">
              <w:rPr>
                <w:sz w:val="20"/>
                <w:szCs w:val="20"/>
              </w:rPr>
              <w:t>24</w:t>
            </w:r>
          </w:p>
        </w:tc>
        <w:tc>
          <w:tcPr>
            <w:tcW w:w="3825" w:type="dxa"/>
          </w:tcPr>
          <w:p w14:paraId="78BF5D1E" w14:textId="77777777" w:rsidR="00617FC9" w:rsidRPr="007B2205" w:rsidRDefault="00617FC9" w:rsidP="008D17AC">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7B2205">
              <w:rPr>
                <w:sz w:val="20"/>
                <w:szCs w:val="20"/>
              </w:rPr>
              <w:t>74.6</w:t>
            </w:r>
          </w:p>
        </w:tc>
      </w:tr>
      <w:tr w:rsidR="00617FC9" w:rsidRPr="007B2205" w14:paraId="3B92E0EE" w14:textId="77777777" w:rsidTr="00CC63DB">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685" w:type="dxa"/>
          </w:tcPr>
          <w:p w14:paraId="018DE670" w14:textId="77777777" w:rsidR="00617FC9" w:rsidRPr="007B2205" w:rsidRDefault="00617FC9" w:rsidP="008D17AC">
            <w:pPr>
              <w:spacing w:before="40" w:after="40"/>
              <w:rPr>
                <w:sz w:val="20"/>
                <w:szCs w:val="20"/>
              </w:rPr>
            </w:pPr>
            <w:r w:rsidRPr="007B2205">
              <w:rPr>
                <w:sz w:val="20"/>
                <w:szCs w:val="20"/>
              </w:rPr>
              <w:t>Arab States</w:t>
            </w:r>
          </w:p>
        </w:tc>
        <w:tc>
          <w:tcPr>
            <w:tcW w:w="1980" w:type="dxa"/>
          </w:tcPr>
          <w:p w14:paraId="3BCE1148" w14:textId="77777777" w:rsidR="00617FC9" w:rsidRPr="007B2205" w:rsidRDefault="00617FC9" w:rsidP="008D17A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7B2205">
              <w:rPr>
                <w:sz w:val="20"/>
                <w:szCs w:val="20"/>
              </w:rPr>
              <w:t>10</w:t>
            </w:r>
          </w:p>
        </w:tc>
        <w:tc>
          <w:tcPr>
            <w:tcW w:w="3825" w:type="dxa"/>
          </w:tcPr>
          <w:p w14:paraId="6B79D2A4" w14:textId="77777777" w:rsidR="00617FC9" w:rsidRPr="007B2205" w:rsidRDefault="00617FC9" w:rsidP="008D17A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7B2205">
              <w:rPr>
                <w:sz w:val="20"/>
                <w:szCs w:val="20"/>
              </w:rPr>
              <w:t>5.6</w:t>
            </w:r>
          </w:p>
        </w:tc>
      </w:tr>
      <w:tr w:rsidR="00617FC9" w:rsidRPr="007B2205" w14:paraId="51267CAE" w14:textId="77777777" w:rsidTr="00CC63DB">
        <w:trPr>
          <w:trHeight w:val="285"/>
          <w:jc w:val="center"/>
        </w:trPr>
        <w:tc>
          <w:tcPr>
            <w:cnfStyle w:val="001000000000" w:firstRow="0" w:lastRow="0" w:firstColumn="1" w:lastColumn="0" w:oddVBand="0" w:evenVBand="0" w:oddHBand="0" w:evenHBand="0" w:firstRowFirstColumn="0" w:firstRowLastColumn="0" w:lastRowFirstColumn="0" w:lastRowLastColumn="0"/>
            <w:tcW w:w="2685" w:type="dxa"/>
          </w:tcPr>
          <w:p w14:paraId="0CCBCDFA" w14:textId="77777777" w:rsidR="00617FC9" w:rsidRPr="007B2205" w:rsidRDefault="00617FC9" w:rsidP="008D17AC">
            <w:pPr>
              <w:spacing w:before="40" w:after="40"/>
              <w:rPr>
                <w:sz w:val="20"/>
                <w:szCs w:val="20"/>
              </w:rPr>
            </w:pPr>
            <w:r w:rsidRPr="007B2205">
              <w:rPr>
                <w:sz w:val="20"/>
                <w:szCs w:val="20"/>
              </w:rPr>
              <w:t>Asia-Pacific</w:t>
            </w:r>
          </w:p>
        </w:tc>
        <w:tc>
          <w:tcPr>
            <w:tcW w:w="1980" w:type="dxa"/>
          </w:tcPr>
          <w:p w14:paraId="01A99630" w14:textId="77777777" w:rsidR="00617FC9" w:rsidRPr="007B2205" w:rsidRDefault="00617FC9" w:rsidP="008D17AC">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7B2205">
              <w:rPr>
                <w:sz w:val="20"/>
                <w:szCs w:val="20"/>
              </w:rPr>
              <w:t>20</w:t>
            </w:r>
          </w:p>
        </w:tc>
        <w:tc>
          <w:tcPr>
            <w:tcW w:w="3825" w:type="dxa"/>
          </w:tcPr>
          <w:p w14:paraId="61F362E9" w14:textId="77777777" w:rsidR="00617FC9" w:rsidRPr="007B2205" w:rsidRDefault="00617FC9" w:rsidP="008D17AC">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7B2205">
              <w:rPr>
                <w:sz w:val="20"/>
                <w:szCs w:val="20"/>
              </w:rPr>
              <w:t>9.4</w:t>
            </w:r>
          </w:p>
        </w:tc>
      </w:tr>
      <w:tr w:rsidR="00617FC9" w:rsidRPr="007B2205" w14:paraId="65FA4EA9" w14:textId="77777777" w:rsidTr="00CC63DB">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685" w:type="dxa"/>
          </w:tcPr>
          <w:p w14:paraId="4C8A0410" w14:textId="77777777" w:rsidR="00617FC9" w:rsidRPr="007B2205" w:rsidRDefault="00617FC9" w:rsidP="008D17AC">
            <w:pPr>
              <w:spacing w:before="40" w:after="40"/>
              <w:rPr>
                <w:sz w:val="20"/>
                <w:szCs w:val="20"/>
              </w:rPr>
            </w:pPr>
            <w:r w:rsidRPr="007B2205">
              <w:rPr>
                <w:sz w:val="20"/>
                <w:szCs w:val="20"/>
              </w:rPr>
              <w:t>CIS countries</w:t>
            </w:r>
          </w:p>
        </w:tc>
        <w:tc>
          <w:tcPr>
            <w:tcW w:w="1980" w:type="dxa"/>
          </w:tcPr>
          <w:p w14:paraId="65CAC662" w14:textId="77777777" w:rsidR="00617FC9" w:rsidRPr="007B2205" w:rsidRDefault="00617FC9" w:rsidP="008D17A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7B2205">
              <w:rPr>
                <w:sz w:val="20"/>
                <w:szCs w:val="20"/>
              </w:rPr>
              <w:t>5</w:t>
            </w:r>
          </w:p>
        </w:tc>
        <w:tc>
          <w:tcPr>
            <w:tcW w:w="3825" w:type="dxa"/>
          </w:tcPr>
          <w:p w14:paraId="2F297F02" w14:textId="77777777" w:rsidR="00617FC9" w:rsidRPr="007B2205" w:rsidRDefault="00617FC9" w:rsidP="008D17A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7B2205">
              <w:rPr>
                <w:sz w:val="20"/>
                <w:szCs w:val="20"/>
              </w:rPr>
              <w:t>0.9</w:t>
            </w:r>
          </w:p>
        </w:tc>
      </w:tr>
      <w:tr w:rsidR="00617FC9" w:rsidRPr="007B2205" w14:paraId="6A9CEA2B" w14:textId="77777777" w:rsidTr="00CC63DB">
        <w:trPr>
          <w:trHeight w:val="285"/>
          <w:jc w:val="center"/>
        </w:trPr>
        <w:tc>
          <w:tcPr>
            <w:cnfStyle w:val="001000000000" w:firstRow="0" w:lastRow="0" w:firstColumn="1" w:lastColumn="0" w:oddVBand="0" w:evenVBand="0" w:oddHBand="0" w:evenHBand="0" w:firstRowFirstColumn="0" w:firstRowLastColumn="0" w:lastRowFirstColumn="0" w:lastRowLastColumn="0"/>
            <w:tcW w:w="2685" w:type="dxa"/>
          </w:tcPr>
          <w:p w14:paraId="4EA8888E" w14:textId="77777777" w:rsidR="00617FC9" w:rsidRPr="007B2205" w:rsidRDefault="00617FC9" w:rsidP="008D17AC">
            <w:pPr>
              <w:spacing w:before="40" w:after="40"/>
              <w:rPr>
                <w:sz w:val="20"/>
                <w:szCs w:val="20"/>
              </w:rPr>
            </w:pPr>
            <w:r w:rsidRPr="007B2205">
              <w:rPr>
                <w:sz w:val="20"/>
                <w:szCs w:val="20"/>
              </w:rPr>
              <w:t>Europe</w:t>
            </w:r>
          </w:p>
        </w:tc>
        <w:tc>
          <w:tcPr>
            <w:tcW w:w="1980" w:type="dxa"/>
          </w:tcPr>
          <w:p w14:paraId="328B7D4A" w14:textId="77777777" w:rsidR="00617FC9" w:rsidRPr="007B2205" w:rsidRDefault="00617FC9" w:rsidP="008D17AC">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7B2205">
              <w:rPr>
                <w:sz w:val="20"/>
                <w:szCs w:val="20"/>
              </w:rPr>
              <w:t>5</w:t>
            </w:r>
          </w:p>
        </w:tc>
        <w:tc>
          <w:tcPr>
            <w:tcW w:w="3825" w:type="dxa"/>
          </w:tcPr>
          <w:p w14:paraId="2C524139" w14:textId="77777777" w:rsidR="00617FC9" w:rsidRPr="007B2205" w:rsidRDefault="00617FC9" w:rsidP="008D17AC">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7B2205">
              <w:rPr>
                <w:sz w:val="20"/>
                <w:szCs w:val="20"/>
              </w:rPr>
              <w:t>4.4</w:t>
            </w:r>
          </w:p>
        </w:tc>
      </w:tr>
      <w:tr w:rsidR="00617FC9" w:rsidRPr="007B2205" w14:paraId="599B6ADE" w14:textId="77777777" w:rsidTr="00CC63DB">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685" w:type="dxa"/>
          </w:tcPr>
          <w:p w14:paraId="20D051E2" w14:textId="77777777" w:rsidR="00617FC9" w:rsidRPr="007B2205" w:rsidRDefault="00617FC9" w:rsidP="008D17AC">
            <w:pPr>
              <w:spacing w:before="40" w:after="40"/>
              <w:rPr>
                <w:sz w:val="20"/>
                <w:szCs w:val="20"/>
                <w:lang w:val="en-US"/>
              </w:rPr>
            </w:pPr>
            <w:r w:rsidRPr="2E3EC43C">
              <w:rPr>
                <w:sz w:val="20"/>
                <w:szCs w:val="20"/>
                <w:lang w:val="en-US"/>
              </w:rPr>
              <w:t xml:space="preserve">World or </w:t>
            </w:r>
            <w:proofErr w:type="gramStart"/>
            <w:r w:rsidRPr="2E3EC43C">
              <w:rPr>
                <w:sz w:val="20"/>
                <w:szCs w:val="20"/>
                <w:lang w:val="en-US"/>
              </w:rPr>
              <w:t>Multi-Regional</w:t>
            </w:r>
            <w:proofErr w:type="gramEnd"/>
          </w:p>
        </w:tc>
        <w:tc>
          <w:tcPr>
            <w:tcW w:w="1980" w:type="dxa"/>
          </w:tcPr>
          <w:p w14:paraId="72E211E8" w14:textId="77777777" w:rsidR="00617FC9" w:rsidRPr="007B2205" w:rsidRDefault="00617FC9" w:rsidP="008D17A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7B2205">
              <w:rPr>
                <w:sz w:val="20"/>
                <w:szCs w:val="20"/>
              </w:rPr>
              <w:t>60</w:t>
            </w:r>
          </w:p>
        </w:tc>
        <w:tc>
          <w:tcPr>
            <w:tcW w:w="3825" w:type="dxa"/>
          </w:tcPr>
          <w:p w14:paraId="65D5E412" w14:textId="77777777" w:rsidR="00617FC9" w:rsidRPr="007B2205" w:rsidRDefault="00617FC9" w:rsidP="008D17AC">
            <w:pPr>
              <w:spacing w:before="40" w:after="40"/>
              <w:cnfStyle w:val="000000100000" w:firstRow="0" w:lastRow="0" w:firstColumn="0" w:lastColumn="0" w:oddVBand="0" w:evenVBand="0" w:oddHBand="1" w:evenHBand="0" w:firstRowFirstColumn="0" w:firstRowLastColumn="0" w:lastRowFirstColumn="0" w:lastRowLastColumn="0"/>
              <w:rPr>
                <w:sz w:val="20"/>
                <w:szCs w:val="20"/>
              </w:rPr>
            </w:pPr>
            <w:r w:rsidRPr="007B2205">
              <w:rPr>
                <w:sz w:val="20"/>
                <w:szCs w:val="20"/>
              </w:rPr>
              <w:t>47.6</w:t>
            </w:r>
          </w:p>
        </w:tc>
      </w:tr>
      <w:tr w:rsidR="00617FC9" w:rsidRPr="007B2205" w14:paraId="408ACC8D" w14:textId="77777777" w:rsidTr="00CC63DB">
        <w:trPr>
          <w:trHeight w:val="285"/>
          <w:jc w:val="center"/>
        </w:trPr>
        <w:tc>
          <w:tcPr>
            <w:cnfStyle w:val="001000000000" w:firstRow="0" w:lastRow="0" w:firstColumn="1" w:lastColumn="0" w:oddVBand="0" w:evenVBand="0" w:oddHBand="0" w:evenHBand="0" w:firstRowFirstColumn="0" w:firstRowLastColumn="0" w:lastRowFirstColumn="0" w:lastRowLastColumn="0"/>
            <w:tcW w:w="2685" w:type="dxa"/>
          </w:tcPr>
          <w:p w14:paraId="3A5FA8CE" w14:textId="77777777" w:rsidR="00617FC9" w:rsidRPr="007B2205" w:rsidRDefault="00617FC9" w:rsidP="008D17AC">
            <w:pPr>
              <w:spacing w:before="40" w:after="40"/>
              <w:rPr>
                <w:sz w:val="20"/>
                <w:szCs w:val="20"/>
              </w:rPr>
            </w:pPr>
            <w:r w:rsidRPr="007B2205">
              <w:rPr>
                <w:sz w:val="20"/>
                <w:szCs w:val="20"/>
              </w:rPr>
              <w:t>Total</w:t>
            </w:r>
          </w:p>
        </w:tc>
        <w:tc>
          <w:tcPr>
            <w:tcW w:w="1980" w:type="dxa"/>
          </w:tcPr>
          <w:p w14:paraId="02DBBEBB" w14:textId="77777777" w:rsidR="00617FC9" w:rsidRPr="007B2205" w:rsidRDefault="00617FC9" w:rsidP="008D17AC">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7B2205">
              <w:rPr>
                <w:sz w:val="20"/>
                <w:szCs w:val="20"/>
              </w:rPr>
              <w:t>150</w:t>
            </w:r>
          </w:p>
        </w:tc>
        <w:tc>
          <w:tcPr>
            <w:tcW w:w="3825" w:type="dxa"/>
          </w:tcPr>
          <w:p w14:paraId="4330C1E2" w14:textId="77777777" w:rsidR="00617FC9" w:rsidRPr="007B2205" w:rsidRDefault="00617FC9" w:rsidP="008D17AC">
            <w:pPr>
              <w:spacing w:before="40" w:after="40"/>
              <w:cnfStyle w:val="000000000000" w:firstRow="0" w:lastRow="0" w:firstColumn="0" w:lastColumn="0" w:oddVBand="0" w:evenVBand="0" w:oddHBand="0" w:evenHBand="0" w:firstRowFirstColumn="0" w:firstRowLastColumn="0" w:lastRowFirstColumn="0" w:lastRowLastColumn="0"/>
              <w:rPr>
                <w:sz w:val="20"/>
                <w:szCs w:val="20"/>
              </w:rPr>
            </w:pPr>
            <w:r w:rsidRPr="007B2205">
              <w:rPr>
                <w:sz w:val="20"/>
                <w:szCs w:val="20"/>
              </w:rPr>
              <w:t>173.8</w:t>
            </w:r>
          </w:p>
        </w:tc>
      </w:tr>
    </w:tbl>
    <w:p w14:paraId="27D618B6" w14:textId="77777777" w:rsidR="00617FC9" w:rsidRPr="00986D12" w:rsidRDefault="00617FC9" w:rsidP="00617FC9">
      <w:pPr>
        <w:pStyle w:val="Notes"/>
        <w:rPr>
          <w:rFonts w:asciiTheme="minorHAnsi" w:eastAsia="Avenir Nxt2 W1G" w:hAnsiTheme="minorHAnsi" w:cstheme="minorHAnsi"/>
          <w:color w:val="000000" w:themeColor="text1"/>
        </w:rPr>
      </w:pPr>
      <w:r w:rsidRPr="00986D12">
        <w:rPr>
          <w:rFonts w:asciiTheme="minorHAnsi" w:eastAsia="Avenir Nxt2 W1G" w:hAnsiTheme="minorHAnsi" w:cstheme="minorHAnsi"/>
        </w:rPr>
        <w:t>Source: BDT Project Support Division</w:t>
      </w:r>
      <w:r w:rsidRPr="00986D12">
        <w:rPr>
          <w:rFonts w:asciiTheme="minorHAnsi" w:eastAsia="Avenir Nxt2 W1G" w:hAnsiTheme="minorHAnsi" w:cstheme="minorHAnsi"/>
          <w:color w:val="000000" w:themeColor="text1"/>
        </w:rPr>
        <w:t>.</w:t>
      </w:r>
    </w:p>
    <w:p w14:paraId="5B7ECFA3"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lastRenderedPageBreak/>
        <w:t>Outcome and output indicators adopted to monitor implementation provide structured measurement across priority domains including connectivity expansion, affordability, regulatory development, cybersecurity capacity and digital skills. Reporting confirms continued expansion of connectivity coverage, progress in affordability metrics, increased training activities and advancement of cybersecurity commitments in Member States.</w:t>
      </w:r>
    </w:p>
    <w:p w14:paraId="2AF09208"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Regional and Area Offices are integrated into operational delivery mechanisms. Regional initiatives under the Kigali Action Plan are implemented through a combination of operational activities and externally funded projects. Annual Regional Development Forums provide a mechanism for reviewing progress and aligning forward activities with regional priorities.</w:t>
      </w:r>
    </w:p>
    <w:p w14:paraId="6A1F135F" w14:textId="77777777" w:rsidR="00617FC9" w:rsidRPr="0046236F" w:rsidRDefault="00617FC9" w:rsidP="00617FC9">
      <w:pPr>
        <w:jc w:val="both"/>
        <w:rPr>
          <w:rFonts w:asciiTheme="minorHAnsi" w:hAnsiTheme="minorHAnsi" w:cstheme="minorHAnsi"/>
          <w:szCs w:val="24"/>
        </w:rPr>
      </w:pPr>
      <w:r w:rsidRPr="0046236F">
        <w:rPr>
          <w:rStyle w:val="eop"/>
          <w:rFonts w:asciiTheme="minorHAnsi" w:eastAsia="Avenir Nxt2 W1G" w:hAnsiTheme="minorHAnsi" w:cstheme="minorHAnsi"/>
          <w:color w:val="000000" w:themeColor="text1"/>
          <w:szCs w:val="24"/>
        </w:rPr>
        <w:t xml:space="preserve">Across all regions (Asia-Pacific, Africa, Europe, Americas, CIS, Arab States), interviews with the RTOs revealed: </w:t>
      </w:r>
    </w:p>
    <w:p w14:paraId="453714E1" w14:textId="77777777" w:rsidR="00617FC9" w:rsidRPr="0046236F" w:rsidRDefault="00617FC9" w:rsidP="00617FC9">
      <w:pPr>
        <w:pStyle w:val="Bulletlist"/>
        <w:jc w:val="both"/>
        <w:rPr>
          <w:rFonts w:asciiTheme="minorHAnsi" w:eastAsia="Avenir Nxt2 W1G" w:hAnsiTheme="minorHAnsi" w:cstheme="minorHAnsi"/>
          <w:color w:val="000000" w:themeColor="text1"/>
          <w:sz w:val="24"/>
          <w:szCs w:val="24"/>
        </w:rPr>
      </w:pPr>
      <w:r w:rsidRPr="0046236F">
        <w:rPr>
          <w:rStyle w:val="eop"/>
          <w:rFonts w:asciiTheme="minorHAnsi" w:eastAsia="Avenir Nxt2 W1G" w:hAnsiTheme="minorHAnsi" w:cstheme="minorHAnsi"/>
          <w:color w:val="000000" w:themeColor="text1"/>
          <w:sz w:val="24"/>
          <w:szCs w:val="24"/>
        </w:rPr>
        <w:t xml:space="preserve">Regional presence is recognized and valued. </w:t>
      </w:r>
    </w:p>
    <w:p w14:paraId="6D28CEC2" w14:textId="77777777" w:rsidR="00617FC9" w:rsidRPr="0046236F" w:rsidRDefault="00617FC9" w:rsidP="00617FC9">
      <w:pPr>
        <w:pStyle w:val="Bulletlist"/>
        <w:jc w:val="both"/>
        <w:rPr>
          <w:rFonts w:asciiTheme="minorHAnsi" w:eastAsia="Avenir Nxt2 W1G" w:hAnsiTheme="minorHAnsi" w:cstheme="minorHAnsi"/>
          <w:color w:val="000000" w:themeColor="text1"/>
          <w:sz w:val="24"/>
          <w:szCs w:val="24"/>
        </w:rPr>
      </w:pPr>
      <w:r w:rsidRPr="0046236F">
        <w:rPr>
          <w:rStyle w:val="eop"/>
          <w:rFonts w:asciiTheme="minorHAnsi" w:eastAsia="Avenir Nxt2 W1G" w:hAnsiTheme="minorHAnsi" w:cstheme="minorHAnsi"/>
          <w:color w:val="000000" w:themeColor="text1"/>
          <w:sz w:val="24"/>
          <w:szCs w:val="24"/>
        </w:rPr>
        <w:t xml:space="preserve">RTO–ITU cooperation is functioning effectively. </w:t>
      </w:r>
    </w:p>
    <w:p w14:paraId="5190CC35" w14:textId="77777777" w:rsidR="00617FC9" w:rsidRPr="0046236F" w:rsidRDefault="00617FC9" w:rsidP="00617FC9">
      <w:pPr>
        <w:pStyle w:val="Bulletlist"/>
        <w:jc w:val="both"/>
        <w:rPr>
          <w:rFonts w:asciiTheme="minorHAnsi" w:eastAsia="Avenir Nxt2 W1G" w:hAnsiTheme="minorHAnsi" w:cstheme="minorHAnsi"/>
          <w:color w:val="000000" w:themeColor="text1"/>
          <w:sz w:val="24"/>
          <w:szCs w:val="24"/>
        </w:rPr>
      </w:pPr>
      <w:r w:rsidRPr="0046236F">
        <w:rPr>
          <w:rStyle w:val="eop"/>
          <w:rFonts w:asciiTheme="minorHAnsi" w:eastAsia="Avenir Nxt2 W1G" w:hAnsiTheme="minorHAnsi" w:cstheme="minorHAnsi"/>
          <w:color w:val="000000" w:themeColor="text1"/>
          <w:sz w:val="24"/>
          <w:szCs w:val="24"/>
        </w:rPr>
        <w:t xml:space="preserve">Alignment with regional priorities is generally strong. </w:t>
      </w:r>
    </w:p>
    <w:p w14:paraId="3AF6DE1A" w14:textId="77777777" w:rsidR="00617FC9" w:rsidRPr="0046236F" w:rsidRDefault="00617FC9" w:rsidP="00617FC9">
      <w:pPr>
        <w:pStyle w:val="Bulletlist"/>
        <w:jc w:val="both"/>
        <w:rPr>
          <w:rFonts w:asciiTheme="minorHAnsi" w:eastAsia="Avenir Nxt2 W1G" w:hAnsiTheme="minorHAnsi" w:cstheme="minorHAnsi"/>
          <w:color w:val="000000" w:themeColor="text1"/>
          <w:sz w:val="24"/>
          <w:szCs w:val="24"/>
        </w:rPr>
      </w:pPr>
      <w:r w:rsidRPr="0046236F">
        <w:rPr>
          <w:rStyle w:val="eop"/>
          <w:rFonts w:asciiTheme="minorHAnsi" w:eastAsia="Avenir Nxt2 W1G" w:hAnsiTheme="minorHAnsi" w:cstheme="minorHAnsi"/>
          <w:color w:val="000000" w:themeColor="text1"/>
          <w:sz w:val="24"/>
          <w:szCs w:val="24"/>
        </w:rPr>
        <w:t xml:space="preserve">Capacity-building work is appreciated. </w:t>
      </w:r>
    </w:p>
    <w:p w14:paraId="2BB364E9" w14:textId="77777777" w:rsidR="00617FC9" w:rsidRPr="0046236F" w:rsidRDefault="00617FC9" w:rsidP="00617FC9">
      <w:pPr>
        <w:pStyle w:val="Bulletlist"/>
        <w:jc w:val="both"/>
        <w:rPr>
          <w:rFonts w:asciiTheme="minorHAnsi" w:eastAsia="Avenir Nxt2 W1G" w:hAnsiTheme="minorHAnsi" w:cstheme="minorHAnsi"/>
          <w:color w:val="000000" w:themeColor="text1"/>
          <w:sz w:val="24"/>
          <w:szCs w:val="24"/>
        </w:rPr>
      </w:pPr>
      <w:r w:rsidRPr="0046236F">
        <w:rPr>
          <w:rStyle w:val="eop"/>
          <w:rFonts w:asciiTheme="minorHAnsi" w:eastAsia="Avenir Nxt2 W1G" w:hAnsiTheme="minorHAnsi" w:cstheme="minorHAnsi"/>
          <w:color w:val="000000" w:themeColor="text1"/>
          <w:sz w:val="24"/>
          <w:szCs w:val="24"/>
        </w:rPr>
        <w:t>Regional offices are seen as credible convening platforms.</w:t>
      </w:r>
    </w:p>
    <w:p w14:paraId="1C3313D7"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6E8CE6BC"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szCs w:val="24"/>
        </w:rPr>
        <w:t>Institutional reporting combined with overall positive responses in terms of satisfaction levels from Membership in the Membership survey and interview responses, confirms sustained advancement across core strategic objectives and action plan priorities during the reporting period. Overall, structured reporting demonstrates that strategic and action plan objectives are being actively pursued through measurable outputs, defined indicators and operational execution across sectors and regions.</w:t>
      </w:r>
    </w:p>
    <w:p w14:paraId="2E7CAD03" w14:textId="77777777" w:rsidR="00617FC9" w:rsidRPr="008D17AC" w:rsidRDefault="00617FC9" w:rsidP="00617FC9">
      <w:pPr>
        <w:pStyle w:val="Subtitle0"/>
        <w:rPr>
          <w:rFonts w:asciiTheme="minorHAnsi" w:eastAsia="Avenir Nxt2 W1G" w:hAnsiTheme="minorHAnsi" w:cstheme="minorHAnsi"/>
          <w:color w:val="000000" w:themeColor="text1"/>
          <w:sz w:val="24"/>
          <w:szCs w:val="24"/>
        </w:rPr>
      </w:pPr>
      <w:r w:rsidRPr="008D17AC">
        <w:rPr>
          <w:rFonts w:asciiTheme="minorHAnsi" w:hAnsiTheme="minorHAnsi" w:cstheme="minorHAnsi"/>
          <w:sz w:val="24"/>
          <w:szCs w:val="24"/>
        </w:rPr>
        <w:t>Data Sources</w:t>
      </w:r>
    </w:p>
    <w:p w14:paraId="00062988" w14:textId="77777777" w:rsidR="00617FC9" w:rsidRPr="008D17AC" w:rsidRDefault="00617FC9" w:rsidP="008D17AC">
      <w:pPr>
        <w:pStyle w:val="ListParagraph"/>
        <w:numPr>
          <w:ilvl w:val="0"/>
          <w:numId w:val="84"/>
        </w:numPr>
        <w:spacing w:before="60" w:after="60"/>
        <w:rPr>
          <w:rFonts w:asciiTheme="minorHAnsi" w:hAnsiTheme="minorHAnsi" w:cstheme="minorHAnsi"/>
          <w:sz w:val="24"/>
          <w:szCs w:val="24"/>
        </w:rPr>
      </w:pPr>
      <w:r w:rsidRPr="008D17AC">
        <w:rPr>
          <w:rFonts w:asciiTheme="minorHAnsi" w:hAnsiTheme="minorHAnsi" w:cstheme="minorHAnsi"/>
          <w:sz w:val="24"/>
          <w:szCs w:val="24"/>
          <w:lang w:val="en-US"/>
        </w:rPr>
        <w:t xml:space="preserve">Annual Report on the implementation of the strategic plan and the activities of the Union 2024, Council Document </w:t>
      </w:r>
      <w:hyperlink r:id="rId44">
        <w:r w:rsidRPr="008D17AC">
          <w:rPr>
            <w:rStyle w:val="Hyperlink"/>
            <w:rFonts w:asciiTheme="minorHAnsi" w:eastAsia="Avenir Nxt2 W1G" w:hAnsiTheme="minorHAnsi" w:cstheme="minorHAnsi"/>
            <w:sz w:val="24"/>
            <w:szCs w:val="24"/>
            <w:lang w:val="en-US"/>
          </w:rPr>
          <w:t>C25/35</w:t>
        </w:r>
      </w:hyperlink>
      <w:r w:rsidRPr="008D17AC">
        <w:rPr>
          <w:rFonts w:asciiTheme="minorHAnsi" w:hAnsiTheme="minorHAnsi" w:cstheme="minorHAnsi"/>
          <w:sz w:val="24"/>
          <w:szCs w:val="24"/>
        </w:rPr>
        <w:t>.</w:t>
      </w:r>
    </w:p>
    <w:p w14:paraId="0773E6EE" w14:textId="77777777" w:rsidR="00617FC9" w:rsidRPr="008D17AC" w:rsidRDefault="00617FC9" w:rsidP="008D17AC">
      <w:pPr>
        <w:pStyle w:val="ListParagraph"/>
        <w:numPr>
          <w:ilvl w:val="0"/>
          <w:numId w:val="84"/>
        </w:numPr>
        <w:spacing w:before="60" w:after="60"/>
        <w:rPr>
          <w:rFonts w:asciiTheme="minorHAnsi" w:hAnsiTheme="minorHAnsi" w:cstheme="minorHAnsi"/>
          <w:sz w:val="24"/>
          <w:szCs w:val="24"/>
        </w:rPr>
      </w:pPr>
      <w:r w:rsidRPr="008D17AC">
        <w:rPr>
          <w:rFonts w:asciiTheme="minorHAnsi" w:hAnsiTheme="minorHAnsi" w:cstheme="minorHAnsi"/>
          <w:sz w:val="24"/>
          <w:szCs w:val="24"/>
          <w:lang w:val="en-US"/>
        </w:rPr>
        <w:t xml:space="preserve">Initial draft performance indicators for strategic plan 2028-2031, Council Working Group 2025 Document </w:t>
      </w:r>
      <w:hyperlink r:id="rId45">
        <w:r w:rsidRPr="008D17AC">
          <w:rPr>
            <w:rStyle w:val="Hyperlink"/>
            <w:rFonts w:asciiTheme="minorHAnsi" w:eastAsia="Avenir Nxt2 W1G" w:hAnsiTheme="minorHAnsi" w:cstheme="minorHAnsi"/>
            <w:sz w:val="24"/>
            <w:szCs w:val="24"/>
            <w:lang w:val="en-US"/>
          </w:rPr>
          <w:t>CWG-SFP-3/7</w:t>
        </w:r>
      </w:hyperlink>
      <w:r w:rsidRPr="008D17AC">
        <w:rPr>
          <w:rFonts w:asciiTheme="minorHAnsi" w:hAnsiTheme="minorHAnsi" w:cstheme="minorHAnsi"/>
          <w:sz w:val="24"/>
          <w:szCs w:val="24"/>
        </w:rPr>
        <w:t>.</w:t>
      </w:r>
    </w:p>
    <w:p w14:paraId="046EE580" w14:textId="77777777" w:rsidR="00617FC9" w:rsidRPr="008D17AC" w:rsidRDefault="00617FC9" w:rsidP="008D17AC">
      <w:pPr>
        <w:pStyle w:val="ListParagraph"/>
        <w:numPr>
          <w:ilvl w:val="0"/>
          <w:numId w:val="84"/>
        </w:numPr>
        <w:spacing w:before="60" w:after="60"/>
        <w:rPr>
          <w:rFonts w:asciiTheme="minorHAnsi" w:hAnsiTheme="minorHAnsi" w:cstheme="minorHAnsi"/>
          <w:sz w:val="24"/>
          <w:szCs w:val="24"/>
        </w:rPr>
      </w:pPr>
      <w:r w:rsidRPr="008D17AC">
        <w:rPr>
          <w:rFonts w:asciiTheme="minorHAnsi" w:hAnsiTheme="minorHAnsi" w:cstheme="minorHAnsi"/>
          <w:sz w:val="24"/>
          <w:szCs w:val="24"/>
          <w:lang w:val="en-US"/>
        </w:rPr>
        <w:t xml:space="preserve">ITU-R draft operational plan for 2026-2029 and 2024 performance report RAG 2025 Document </w:t>
      </w:r>
      <w:hyperlink r:id="rId46">
        <w:r w:rsidRPr="008D17AC">
          <w:rPr>
            <w:rStyle w:val="Hyperlink"/>
            <w:rFonts w:asciiTheme="minorHAnsi" w:eastAsia="Avenir Nxt2 W1G" w:hAnsiTheme="minorHAnsi" w:cstheme="minorHAnsi"/>
            <w:sz w:val="24"/>
            <w:szCs w:val="24"/>
            <w:lang w:val="en-US"/>
          </w:rPr>
          <w:t>RAG/37</w:t>
        </w:r>
      </w:hyperlink>
      <w:r w:rsidRPr="008D17AC">
        <w:rPr>
          <w:rFonts w:asciiTheme="minorHAnsi" w:hAnsiTheme="minorHAnsi" w:cstheme="minorHAnsi"/>
          <w:sz w:val="24"/>
          <w:szCs w:val="24"/>
        </w:rPr>
        <w:t>.</w:t>
      </w:r>
    </w:p>
    <w:p w14:paraId="2D6700A3" w14:textId="77777777" w:rsidR="00617FC9" w:rsidRPr="008D17AC" w:rsidRDefault="00617FC9" w:rsidP="008D17AC">
      <w:pPr>
        <w:pStyle w:val="ListParagraph"/>
        <w:numPr>
          <w:ilvl w:val="0"/>
          <w:numId w:val="84"/>
        </w:numPr>
        <w:spacing w:before="60" w:after="60"/>
        <w:rPr>
          <w:rFonts w:asciiTheme="minorHAnsi" w:hAnsiTheme="minorHAnsi" w:cstheme="minorHAnsi"/>
          <w:sz w:val="24"/>
          <w:szCs w:val="24"/>
        </w:rPr>
      </w:pPr>
      <w:r w:rsidRPr="008D17AC">
        <w:rPr>
          <w:rFonts w:asciiTheme="minorHAnsi" w:hAnsiTheme="minorHAnsi" w:cstheme="minorHAnsi"/>
          <w:sz w:val="24"/>
          <w:szCs w:val="24"/>
          <w:lang w:val="en-US"/>
        </w:rPr>
        <w:t xml:space="preserve">ITU-T draft operational plan for 2026-2029 and 2024 performance report TSAG 2025 Document </w:t>
      </w:r>
      <w:hyperlink r:id="rId47">
        <w:r w:rsidRPr="008D17AC">
          <w:rPr>
            <w:rStyle w:val="Hyperlink"/>
            <w:rFonts w:asciiTheme="minorHAnsi" w:eastAsia="Avenir Nxt2 W1G" w:hAnsiTheme="minorHAnsi" w:cstheme="minorHAnsi"/>
            <w:sz w:val="24"/>
            <w:szCs w:val="24"/>
            <w:lang w:val="en-US"/>
          </w:rPr>
          <w:t>TSAG-TD137</w:t>
        </w:r>
      </w:hyperlink>
      <w:r w:rsidRPr="008D17AC">
        <w:rPr>
          <w:rFonts w:asciiTheme="minorHAnsi" w:hAnsiTheme="minorHAnsi" w:cstheme="minorHAnsi"/>
          <w:sz w:val="24"/>
          <w:szCs w:val="24"/>
        </w:rPr>
        <w:t>.</w:t>
      </w:r>
    </w:p>
    <w:p w14:paraId="63904A25" w14:textId="77777777" w:rsidR="00617FC9" w:rsidRPr="008D17AC" w:rsidRDefault="00617FC9" w:rsidP="008D17AC">
      <w:pPr>
        <w:pStyle w:val="ListParagraph"/>
        <w:numPr>
          <w:ilvl w:val="0"/>
          <w:numId w:val="84"/>
        </w:numPr>
        <w:spacing w:before="60" w:after="60"/>
        <w:rPr>
          <w:rFonts w:asciiTheme="minorHAnsi" w:hAnsiTheme="minorHAnsi" w:cstheme="minorHAnsi"/>
          <w:sz w:val="24"/>
          <w:szCs w:val="24"/>
        </w:rPr>
      </w:pPr>
      <w:r w:rsidRPr="008D17AC">
        <w:rPr>
          <w:rFonts w:asciiTheme="minorHAnsi" w:hAnsiTheme="minorHAnsi" w:cstheme="minorHAnsi"/>
          <w:sz w:val="24"/>
          <w:szCs w:val="24"/>
          <w:lang w:val="en-US"/>
        </w:rPr>
        <w:t xml:space="preserve">ITU-D draft operational plan for 2026-2029 and 2024 performance report TDAG 2025 Document </w:t>
      </w:r>
      <w:hyperlink r:id="rId48">
        <w:r w:rsidRPr="008D17AC">
          <w:rPr>
            <w:rStyle w:val="Hyperlink"/>
            <w:rFonts w:asciiTheme="minorHAnsi" w:eastAsia="Avenir Nxt2 W1G" w:hAnsiTheme="minorHAnsi" w:cstheme="minorHAnsi"/>
            <w:sz w:val="24"/>
            <w:szCs w:val="24"/>
            <w:lang w:val="en-US"/>
          </w:rPr>
          <w:t>TDAG-25/40</w:t>
        </w:r>
      </w:hyperlink>
      <w:r w:rsidRPr="008D17AC">
        <w:rPr>
          <w:rFonts w:asciiTheme="minorHAnsi" w:hAnsiTheme="minorHAnsi" w:cstheme="minorHAnsi"/>
          <w:sz w:val="24"/>
          <w:szCs w:val="24"/>
        </w:rPr>
        <w:t>.</w:t>
      </w:r>
    </w:p>
    <w:p w14:paraId="31794868" w14:textId="77777777" w:rsidR="00617FC9" w:rsidRPr="008D17AC" w:rsidRDefault="00617FC9" w:rsidP="008D17AC">
      <w:pPr>
        <w:pStyle w:val="ListParagraph"/>
        <w:numPr>
          <w:ilvl w:val="0"/>
          <w:numId w:val="84"/>
        </w:numPr>
        <w:spacing w:before="60" w:after="60"/>
        <w:rPr>
          <w:rFonts w:asciiTheme="minorHAnsi" w:hAnsiTheme="minorHAnsi" w:cstheme="minorHAnsi"/>
          <w:sz w:val="24"/>
          <w:szCs w:val="24"/>
        </w:rPr>
      </w:pPr>
      <w:r w:rsidRPr="008D17AC">
        <w:rPr>
          <w:rFonts w:asciiTheme="minorHAnsi" w:hAnsiTheme="minorHAnsi" w:cstheme="minorHAnsi"/>
          <w:sz w:val="24"/>
          <w:szCs w:val="24"/>
          <w:lang w:val="en-US"/>
        </w:rPr>
        <w:t>BDT Operational plan dashboards as indicated in TDAG-24 and TDAG-25 Documents:</w:t>
      </w:r>
    </w:p>
    <w:p w14:paraId="14DB84E4" w14:textId="77777777" w:rsidR="00617FC9" w:rsidRPr="008D17AC" w:rsidRDefault="00617FC9" w:rsidP="008D17AC">
      <w:pPr>
        <w:pStyle w:val="ListParagraph"/>
        <w:numPr>
          <w:ilvl w:val="0"/>
          <w:numId w:val="85"/>
        </w:numPr>
        <w:spacing w:before="60" w:after="60"/>
        <w:contextualSpacing w:val="0"/>
        <w:rPr>
          <w:rFonts w:asciiTheme="minorHAnsi" w:eastAsia="Avenir Nxt2 W1G" w:hAnsiTheme="minorHAnsi" w:cstheme="minorHAnsi"/>
          <w:color w:val="000000" w:themeColor="text1"/>
          <w:sz w:val="24"/>
          <w:szCs w:val="24"/>
        </w:rPr>
      </w:pPr>
      <w:hyperlink r:id="rId49">
        <w:r w:rsidRPr="008D17AC">
          <w:rPr>
            <w:rStyle w:val="Hyperlink"/>
            <w:rFonts w:asciiTheme="minorHAnsi" w:eastAsia="Avenir Nxt2 W1G" w:hAnsiTheme="minorHAnsi" w:cstheme="minorHAnsi"/>
            <w:sz w:val="24"/>
            <w:szCs w:val="24"/>
            <w:lang w:val="en-US"/>
          </w:rPr>
          <w:t>https://www.itu.int/en/ITU-D/Conferences/TDAG/Pages/dashboards/2025/Regional-Initiatives.aspx</w:t>
        </w:r>
      </w:hyperlink>
      <w:r w:rsidRPr="008D17AC">
        <w:rPr>
          <w:rFonts w:asciiTheme="minorHAnsi" w:hAnsiTheme="minorHAnsi" w:cstheme="minorHAnsi"/>
          <w:sz w:val="24"/>
          <w:szCs w:val="24"/>
        </w:rPr>
        <w:t>.</w:t>
      </w:r>
    </w:p>
    <w:p w14:paraId="4485E0C4" w14:textId="77777777" w:rsidR="00617FC9" w:rsidRPr="008D17AC" w:rsidRDefault="00617FC9" w:rsidP="008D17AC">
      <w:pPr>
        <w:pStyle w:val="ListParagraph"/>
        <w:numPr>
          <w:ilvl w:val="0"/>
          <w:numId w:val="85"/>
        </w:numPr>
        <w:spacing w:before="60" w:after="60"/>
        <w:contextualSpacing w:val="0"/>
        <w:rPr>
          <w:rFonts w:asciiTheme="minorHAnsi" w:eastAsia="Avenir Nxt2 W1G" w:hAnsiTheme="minorHAnsi" w:cstheme="minorHAnsi"/>
          <w:color w:val="000000" w:themeColor="text1"/>
          <w:sz w:val="24"/>
          <w:szCs w:val="24"/>
        </w:rPr>
      </w:pPr>
      <w:hyperlink r:id="rId50">
        <w:r w:rsidRPr="008D17AC">
          <w:rPr>
            <w:rStyle w:val="Hyperlink"/>
            <w:rFonts w:asciiTheme="minorHAnsi" w:eastAsia="Avenir Nxt2 W1G" w:hAnsiTheme="minorHAnsi" w:cstheme="minorHAnsi"/>
            <w:sz w:val="24"/>
            <w:szCs w:val="24"/>
            <w:lang w:val="en-US"/>
          </w:rPr>
          <w:t>https://www.itu.int/en/ITU-D/Conferences/TDAG/Pages/dashboards/2025/Operational-Plan-Reporting-Dashboard.aspx</w:t>
        </w:r>
      </w:hyperlink>
      <w:r w:rsidRPr="008D17AC">
        <w:rPr>
          <w:rFonts w:asciiTheme="minorHAnsi" w:hAnsiTheme="minorHAnsi" w:cstheme="minorHAnsi"/>
          <w:sz w:val="24"/>
          <w:szCs w:val="24"/>
        </w:rPr>
        <w:t>.</w:t>
      </w:r>
    </w:p>
    <w:p w14:paraId="5F0C930C" w14:textId="77777777" w:rsidR="00617FC9" w:rsidRPr="008D17AC" w:rsidRDefault="00617FC9" w:rsidP="008D17AC">
      <w:pPr>
        <w:pStyle w:val="ListParagraph"/>
        <w:numPr>
          <w:ilvl w:val="0"/>
          <w:numId w:val="86"/>
        </w:numPr>
        <w:spacing w:before="60" w:after="60"/>
        <w:contextualSpacing w:val="0"/>
        <w:rPr>
          <w:rFonts w:asciiTheme="minorHAnsi" w:hAnsiTheme="minorHAnsi" w:cstheme="minorHAnsi"/>
          <w:sz w:val="24"/>
          <w:szCs w:val="24"/>
        </w:rPr>
      </w:pPr>
      <w:r w:rsidRPr="008D17AC">
        <w:rPr>
          <w:rFonts w:asciiTheme="minorHAnsi" w:hAnsiTheme="minorHAnsi" w:cstheme="minorHAnsi"/>
          <w:sz w:val="24"/>
          <w:szCs w:val="24"/>
          <w:lang w:val="en-US"/>
        </w:rPr>
        <w:t>Report on the implementation of the Kigali Action Plan (KAP), WTDC-25 Document </w:t>
      </w:r>
      <w:hyperlink r:id="rId51">
        <w:r w:rsidRPr="008D17AC">
          <w:rPr>
            <w:rStyle w:val="Hyperlink"/>
            <w:rFonts w:asciiTheme="minorHAnsi" w:eastAsia="Avenir Nxt2 W1G" w:hAnsiTheme="minorHAnsi" w:cstheme="minorHAnsi"/>
            <w:sz w:val="24"/>
            <w:szCs w:val="24"/>
            <w:lang w:val="en-US"/>
          </w:rPr>
          <w:t>WTDC-25/2</w:t>
        </w:r>
      </w:hyperlink>
      <w:r w:rsidRPr="008D17AC">
        <w:rPr>
          <w:rFonts w:asciiTheme="minorHAnsi" w:hAnsiTheme="minorHAnsi" w:cstheme="minorHAnsi"/>
          <w:sz w:val="24"/>
          <w:szCs w:val="24"/>
        </w:rPr>
        <w:t>.</w:t>
      </w:r>
    </w:p>
    <w:p w14:paraId="00721705" w14:textId="77777777" w:rsidR="00617FC9" w:rsidRPr="008D17AC" w:rsidRDefault="00617FC9" w:rsidP="008D17AC">
      <w:pPr>
        <w:pStyle w:val="ListParagraph"/>
        <w:numPr>
          <w:ilvl w:val="0"/>
          <w:numId w:val="86"/>
        </w:numPr>
        <w:spacing w:before="60" w:after="60"/>
        <w:contextualSpacing w:val="0"/>
        <w:rPr>
          <w:rFonts w:asciiTheme="minorHAnsi" w:hAnsiTheme="minorHAnsi" w:cstheme="minorHAnsi"/>
          <w:sz w:val="24"/>
          <w:szCs w:val="24"/>
        </w:rPr>
      </w:pPr>
      <w:r w:rsidRPr="008D17AC">
        <w:rPr>
          <w:rFonts w:asciiTheme="minorHAnsi" w:hAnsiTheme="minorHAnsi" w:cstheme="minorHAnsi"/>
          <w:sz w:val="24"/>
          <w:szCs w:val="24"/>
          <w:lang w:val="en-US"/>
        </w:rPr>
        <w:lastRenderedPageBreak/>
        <w:t>Reporting on the implementation of the Kigali Action Plan (KAP), TDAG-24 Document </w:t>
      </w:r>
      <w:hyperlink r:id="rId52">
        <w:r w:rsidRPr="008D17AC">
          <w:rPr>
            <w:rStyle w:val="Hyperlink"/>
            <w:rFonts w:asciiTheme="minorHAnsi" w:eastAsia="Avenir Nxt2 W1G" w:hAnsiTheme="minorHAnsi" w:cstheme="minorHAnsi"/>
            <w:sz w:val="24"/>
            <w:szCs w:val="24"/>
            <w:lang w:val="en-US"/>
          </w:rPr>
          <w:t>TDAG-24/2</w:t>
        </w:r>
      </w:hyperlink>
      <w:r w:rsidRPr="008D17AC">
        <w:rPr>
          <w:rFonts w:asciiTheme="minorHAnsi" w:hAnsiTheme="minorHAnsi" w:cstheme="minorHAnsi"/>
          <w:sz w:val="24"/>
          <w:szCs w:val="24"/>
        </w:rPr>
        <w:t>.</w:t>
      </w:r>
    </w:p>
    <w:p w14:paraId="33E9BE42" w14:textId="77777777" w:rsidR="00617FC9" w:rsidRPr="0046236F" w:rsidRDefault="00617FC9" w:rsidP="00617FC9">
      <w:pPr>
        <w:pStyle w:val="KPItitle"/>
        <w:rPr>
          <w:rFonts w:asciiTheme="minorHAnsi" w:hAnsiTheme="minorHAnsi" w:cstheme="minorHAnsi"/>
          <w:sz w:val="24"/>
          <w:szCs w:val="24"/>
        </w:rPr>
      </w:pPr>
      <w:bookmarkStart w:id="104" w:name="_Toc224213046"/>
      <w:bookmarkStart w:id="105" w:name="_Toc224236477"/>
      <w:r w:rsidRPr="008D17AC">
        <w:rPr>
          <w:rFonts w:asciiTheme="minorHAnsi" w:hAnsiTheme="minorHAnsi" w:cstheme="minorHAnsi"/>
          <w:sz w:val="24"/>
          <w:szCs w:val="24"/>
        </w:rPr>
        <w:t>KPI 2 — The percentage of staff work/performance plans explicitly aligned with the Strategic</w:t>
      </w:r>
      <w:r w:rsidRPr="0046236F">
        <w:rPr>
          <w:rFonts w:asciiTheme="minorHAnsi" w:hAnsiTheme="minorHAnsi" w:cstheme="minorHAnsi"/>
          <w:sz w:val="24"/>
          <w:szCs w:val="24"/>
        </w:rPr>
        <w:t xml:space="preserve"> Plan and Kigali Action Plan</w:t>
      </w:r>
      <w:bookmarkEnd w:id="104"/>
      <w:bookmarkEnd w:id="105"/>
    </w:p>
    <w:p w14:paraId="2934C099"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szCs w:val="24"/>
        </w:rPr>
        <w:t>Formal alignment between staff workplans and the ITU Strategic Plan and Kigali Action Plan is embedded in the performance management framework. Workplans are required to reference strategic objectives and relevant Kigali Action Plan outputs, ensuring traceability between individual deliverables and institutional priorities.</w:t>
      </w:r>
    </w:p>
    <w:p w14:paraId="67CD6BA8"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szCs w:val="24"/>
        </w:rPr>
        <w:t xml:space="preserve">Performance planning templates (yearly time surveys) include explicit fields requiring linkage to ITU outputs as defined in the draft four-year rolling operation plan of the Union. Individual commitments are therefore structured around defined outputs and expected results derived from the Strategic Plan and Kigali Action Plan. Alignment is embedded in the planning architecture rather than left to discretionary interpretation. </w:t>
      </w:r>
    </w:p>
    <w:p w14:paraId="4EA80BD2"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szCs w:val="24"/>
        </w:rPr>
        <w:t>Supervisory review mechanisms reinforce consistency across Regional and Area Offices. Alignment with strategic objectives is verified during the performance planning cycle and monitored during performance assessment. This establishes a direct connection between individual performance evaluation and institutional strategic commitments.</w:t>
      </w:r>
    </w:p>
    <w:p w14:paraId="1FDA5C25"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szCs w:val="24"/>
        </w:rPr>
        <w:t>Workplans are structured around outputs, thematic priorities and regional initiatives derived from the Strategic Plan and Kigali Action Plan. This ensures that staff contributions are positioned within agreed programme frameworks and contribute to measurable strategic outcomes.</w:t>
      </w:r>
    </w:p>
    <w:p w14:paraId="170DBDA7"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szCs w:val="24"/>
        </w:rPr>
        <w:t>The integration of strategic objectives into individual workplans strengthens institutional coherence across bureaux and regional presence. It supports accountability by linking staff performance assessment directly to the achievement of strategic outputs and regional priorities. Aggregated reporting is facilitated through the upward traceability of individual deliverables to programme-level results.</w:t>
      </w:r>
    </w:p>
    <w:p w14:paraId="05316AB7"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szCs w:val="24"/>
        </w:rPr>
        <w:t>Flexibility is maintained to reflect regional specificities and operational realities. While strategic alignment is mandatory, workplans allow adaptation to contextual demands and project portfolios at regional level. This balance supports both strategic consistency and operational responsiveness.</w:t>
      </w:r>
    </w:p>
    <w:p w14:paraId="53D7A70D" w14:textId="77777777" w:rsidR="00617FC9" w:rsidRPr="0046236F" w:rsidRDefault="00617FC9" w:rsidP="00617FC9">
      <w:pPr>
        <w:spacing w:before="200" w:after="200"/>
        <w:jc w:val="both"/>
        <w:rPr>
          <w:rFonts w:asciiTheme="minorHAnsi" w:hAnsiTheme="minorHAnsi" w:cstheme="minorHAnsi"/>
          <w:szCs w:val="24"/>
        </w:rPr>
      </w:pPr>
      <w:r w:rsidRPr="0046236F">
        <w:rPr>
          <w:rFonts w:asciiTheme="minorHAnsi" w:hAnsiTheme="minorHAnsi" w:cstheme="minorHAnsi"/>
          <w:szCs w:val="24"/>
        </w:rPr>
        <w:t>An analysis of regional staff contribution is provided in the tables below.</w:t>
      </w:r>
    </w:p>
    <w:p w14:paraId="13307CE2" w14:textId="77777777" w:rsidR="00617FC9" w:rsidRPr="0046236F" w:rsidRDefault="00617FC9" w:rsidP="00617FC9">
      <w:pPr>
        <w:pStyle w:val="Subtitle0"/>
        <w:jc w:val="center"/>
        <w:rPr>
          <w:rFonts w:asciiTheme="minorHAnsi" w:eastAsia="Avenir Nxt2 W1G" w:hAnsiTheme="minorHAnsi" w:cstheme="minorHAnsi"/>
          <w:sz w:val="24"/>
          <w:szCs w:val="24"/>
        </w:rPr>
      </w:pPr>
      <w:r w:rsidRPr="0046236F">
        <w:rPr>
          <w:rFonts w:asciiTheme="minorHAnsi" w:eastAsia="Avenir Nxt2 W1G" w:hAnsiTheme="minorHAnsi" w:cstheme="minorHAnsi"/>
          <w:sz w:val="24"/>
          <w:szCs w:val="24"/>
          <w:lang w:val="en-US"/>
        </w:rPr>
        <w:t>Regional Staff contribution to ITU outputs in 2025 (Percentage of time)</w:t>
      </w:r>
    </w:p>
    <w:tbl>
      <w:tblPr>
        <w:tblStyle w:val="GridTable4-Accent1"/>
        <w:tblW w:w="5000" w:type="pct"/>
        <w:tblLook w:val="04A0" w:firstRow="1" w:lastRow="0" w:firstColumn="1" w:lastColumn="0" w:noHBand="0" w:noVBand="1"/>
      </w:tblPr>
      <w:tblGrid>
        <w:gridCol w:w="1883"/>
        <w:gridCol w:w="1433"/>
        <w:gridCol w:w="2319"/>
        <w:gridCol w:w="1997"/>
        <w:gridCol w:w="1997"/>
      </w:tblGrid>
      <w:tr w:rsidR="00617FC9" w:rsidRPr="00986D12" w14:paraId="6D450046" w14:textId="77777777" w:rsidTr="006961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5" w:type="dxa"/>
          </w:tcPr>
          <w:p w14:paraId="4633B7CD" w14:textId="77777777" w:rsidR="00617FC9" w:rsidRPr="00986D12" w:rsidRDefault="00617FC9" w:rsidP="00696175">
            <w:pPr>
              <w:pStyle w:val="Tabletitle0"/>
              <w:keepNext/>
              <w:rPr>
                <w:rFonts w:asciiTheme="minorHAnsi" w:hAnsiTheme="minorHAnsi" w:cstheme="minorHAnsi"/>
                <w:b/>
              </w:rPr>
            </w:pPr>
            <w:r w:rsidRPr="00986D12">
              <w:rPr>
                <w:rFonts w:asciiTheme="minorHAnsi" w:hAnsiTheme="minorHAnsi" w:cstheme="minorHAnsi"/>
                <w:b/>
              </w:rPr>
              <w:t xml:space="preserve">Region </w:t>
            </w:r>
          </w:p>
        </w:tc>
        <w:tc>
          <w:tcPr>
            <w:tcW w:w="1335" w:type="dxa"/>
          </w:tcPr>
          <w:p w14:paraId="491F1B2C" w14:textId="77777777" w:rsidR="00617FC9" w:rsidRPr="00986D12" w:rsidRDefault="00617FC9" w:rsidP="00696175">
            <w:pPr>
              <w:pStyle w:val="Tabletitle0"/>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rPr>
            </w:pPr>
            <w:r w:rsidRPr="00986D12">
              <w:rPr>
                <w:rFonts w:asciiTheme="minorHAnsi" w:hAnsiTheme="minorHAnsi" w:cstheme="minorHAnsi"/>
                <w:b/>
              </w:rPr>
              <w:t>General secretariat</w:t>
            </w:r>
          </w:p>
        </w:tc>
        <w:tc>
          <w:tcPr>
            <w:tcW w:w="2160" w:type="dxa"/>
          </w:tcPr>
          <w:p w14:paraId="49624FCF" w14:textId="77777777" w:rsidR="00617FC9" w:rsidRPr="00986D12" w:rsidRDefault="00617FC9" w:rsidP="00696175">
            <w:pPr>
              <w:pStyle w:val="Tabletitle0"/>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rPr>
            </w:pPr>
            <w:r w:rsidRPr="00986D12">
              <w:rPr>
                <w:rFonts w:asciiTheme="minorHAnsi" w:hAnsiTheme="minorHAnsi" w:cstheme="minorHAnsi"/>
                <w:b/>
              </w:rPr>
              <w:t>BR</w:t>
            </w:r>
          </w:p>
        </w:tc>
        <w:tc>
          <w:tcPr>
            <w:tcW w:w="1860" w:type="dxa"/>
          </w:tcPr>
          <w:p w14:paraId="5B9C9675" w14:textId="77777777" w:rsidR="00617FC9" w:rsidRPr="00986D12" w:rsidRDefault="00617FC9" w:rsidP="00696175">
            <w:pPr>
              <w:pStyle w:val="Tabletitle0"/>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rPr>
            </w:pPr>
            <w:r w:rsidRPr="00986D12">
              <w:rPr>
                <w:rFonts w:asciiTheme="minorHAnsi" w:hAnsiTheme="minorHAnsi" w:cstheme="minorHAnsi"/>
                <w:b/>
              </w:rPr>
              <w:t>TSB</w:t>
            </w:r>
          </w:p>
        </w:tc>
        <w:tc>
          <w:tcPr>
            <w:tcW w:w="1860" w:type="dxa"/>
          </w:tcPr>
          <w:p w14:paraId="2144F3AD" w14:textId="77777777" w:rsidR="00617FC9" w:rsidRPr="00986D12" w:rsidRDefault="00617FC9" w:rsidP="00696175">
            <w:pPr>
              <w:pStyle w:val="Tabletitle0"/>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rPr>
            </w:pPr>
            <w:r w:rsidRPr="00986D12">
              <w:rPr>
                <w:rFonts w:asciiTheme="minorHAnsi" w:hAnsiTheme="minorHAnsi" w:cstheme="minorHAnsi"/>
                <w:b/>
              </w:rPr>
              <w:t>BDT</w:t>
            </w:r>
          </w:p>
        </w:tc>
      </w:tr>
      <w:tr w:rsidR="00617FC9" w:rsidRPr="00986D12" w14:paraId="463EDA27" w14:textId="77777777" w:rsidTr="00696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5" w:type="dxa"/>
          </w:tcPr>
          <w:p w14:paraId="0B2861C3" w14:textId="77777777" w:rsidR="00617FC9" w:rsidRPr="00986D12" w:rsidRDefault="00617FC9" w:rsidP="00696175">
            <w:pPr>
              <w:pStyle w:val="Texttable"/>
              <w:rPr>
                <w:rFonts w:asciiTheme="minorHAnsi" w:eastAsia="Avenir Nxt2 W1G" w:hAnsiTheme="minorHAnsi" w:cstheme="minorHAnsi"/>
              </w:rPr>
            </w:pPr>
            <w:r w:rsidRPr="00986D12">
              <w:rPr>
                <w:rFonts w:asciiTheme="minorHAnsi" w:eastAsia="Avenir Nxt2 W1G" w:hAnsiTheme="minorHAnsi" w:cstheme="minorHAnsi"/>
              </w:rPr>
              <w:t xml:space="preserve">AFR </w:t>
            </w:r>
          </w:p>
        </w:tc>
        <w:tc>
          <w:tcPr>
            <w:tcW w:w="1335" w:type="dxa"/>
          </w:tcPr>
          <w:p w14:paraId="273B31B6" w14:textId="77777777" w:rsidR="00617FC9" w:rsidRPr="00986D12" w:rsidRDefault="00617FC9" w:rsidP="00696175">
            <w:pPr>
              <w:pStyle w:val="Texttable"/>
              <w:jc w:val="center"/>
              <w:cnfStyle w:val="000000100000" w:firstRow="0" w:lastRow="0" w:firstColumn="0" w:lastColumn="0" w:oddVBand="0" w:evenVBand="0" w:oddHBand="1"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30%</w:t>
            </w:r>
          </w:p>
        </w:tc>
        <w:tc>
          <w:tcPr>
            <w:tcW w:w="2160" w:type="dxa"/>
          </w:tcPr>
          <w:p w14:paraId="24EECB9D" w14:textId="77777777" w:rsidR="00617FC9" w:rsidRPr="00986D12" w:rsidRDefault="00617FC9" w:rsidP="00696175">
            <w:pPr>
              <w:pStyle w:val="Texttable"/>
              <w:jc w:val="center"/>
              <w:cnfStyle w:val="000000100000" w:firstRow="0" w:lastRow="0" w:firstColumn="0" w:lastColumn="0" w:oddVBand="0" w:evenVBand="0" w:oddHBand="1"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7%</w:t>
            </w:r>
          </w:p>
        </w:tc>
        <w:tc>
          <w:tcPr>
            <w:tcW w:w="1860" w:type="dxa"/>
          </w:tcPr>
          <w:p w14:paraId="78061E39" w14:textId="77777777" w:rsidR="00617FC9" w:rsidRPr="00986D12" w:rsidRDefault="00617FC9" w:rsidP="00696175">
            <w:pPr>
              <w:pStyle w:val="Texttable"/>
              <w:jc w:val="center"/>
              <w:cnfStyle w:val="000000100000" w:firstRow="0" w:lastRow="0" w:firstColumn="0" w:lastColumn="0" w:oddVBand="0" w:evenVBand="0" w:oddHBand="1"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14%</w:t>
            </w:r>
          </w:p>
        </w:tc>
        <w:tc>
          <w:tcPr>
            <w:tcW w:w="1860" w:type="dxa"/>
          </w:tcPr>
          <w:p w14:paraId="1DC268E5" w14:textId="77777777" w:rsidR="00617FC9" w:rsidRPr="00986D12" w:rsidRDefault="00617FC9" w:rsidP="00696175">
            <w:pPr>
              <w:pStyle w:val="Texttable"/>
              <w:jc w:val="center"/>
              <w:cnfStyle w:val="000000100000" w:firstRow="0" w:lastRow="0" w:firstColumn="0" w:lastColumn="0" w:oddVBand="0" w:evenVBand="0" w:oddHBand="1"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lang w:val="en-US"/>
              </w:rPr>
              <w:t>48%</w:t>
            </w:r>
          </w:p>
        </w:tc>
      </w:tr>
      <w:tr w:rsidR="00617FC9" w:rsidRPr="00986D12" w14:paraId="2340CAD8" w14:textId="77777777" w:rsidTr="00696175">
        <w:tc>
          <w:tcPr>
            <w:cnfStyle w:val="001000000000" w:firstRow="0" w:lastRow="0" w:firstColumn="1" w:lastColumn="0" w:oddVBand="0" w:evenVBand="0" w:oddHBand="0" w:evenHBand="0" w:firstRowFirstColumn="0" w:firstRowLastColumn="0" w:lastRowFirstColumn="0" w:lastRowLastColumn="0"/>
            <w:tcW w:w="1755" w:type="dxa"/>
          </w:tcPr>
          <w:p w14:paraId="7443F683" w14:textId="77777777" w:rsidR="00617FC9" w:rsidRPr="00986D12" w:rsidRDefault="00617FC9" w:rsidP="00696175">
            <w:pPr>
              <w:pStyle w:val="Texttable"/>
              <w:rPr>
                <w:rFonts w:asciiTheme="minorHAnsi" w:eastAsia="Avenir Nxt2 W1G" w:hAnsiTheme="minorHAnsi" w:cstheme="minorHAnsi"/>
              </w:rPr>
            </w:pPr>
            <w:r w:rsidRPr="00986D12">
              <w:rPr>
                <w:rFonts w:asciiTheme="minorHAnsi" w:eastAsia="Avenir Nxt2 W1G" w:hAnsiTheme="minorHAnsi" w:cstheme="minorHAnsi"/>
                <w:color w:val="000000" w:themeColor="text1"/>
              </w:rPr>
              <w:t xml:space="preserve">AMS </w:t>
            </w:r>
          </w:p>
        </w:tc>
        <w:tc>
          <w:tcPr>
            <w:tcW w:w="1335" w:type="dxa"/>
          </w:tcPr>
          <w:p w14:paraId="6E54F274" w14:textId="77777777" w:rsidR="00617FC9" w:rsidRPr="00986D12" w:rsidRDefault="00617FC9" w:rsidP="00696175">
            <w:pPr>
              <w:pStyle w:val="Texttable"/>
              <w:jc w:val="center"/>
              <w:cnfStyle w:val="000000000000" w:firstRow="0" w:lastRow="0" w:firstColumn="0" w:lastColumn="0" w:oddVBand="0" w:evenVBand="0" w:oddHBand="0"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11%</w:t>
            </w:r>
          </w:p>
        </w:tc>
        <w:tc>
          <w:tcPr>
            <w:tcW w:w="2160" w:type="dxa"/>
          </w:tcPr>
          <w:p w14:paraId="4BE63783" w14:textId="77777777" w:rsidR="00617FC9" w:rsidRPr="00986D12" w:rsidRDefault="00617FC9" w:rsidP="00696175">
            <w:pPr>
              <w:pStyle w:val="Texttable"/>
              <w:jc w:val="center"/>
              <w:cnfStyle w:val="000000000000" w:firstRow="0" w:lastRow="0" w:firstColumn="0" w:lastColumn="0" w:oddVBand="0" w:evenVBand="0" w:oddHBand="0"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2%</w:t>
            </w:r>
          </w:p>
        </w:tc>
        <w:tc>
          <w:tcPr>
            <w:tcW w:w="1860" w:type="dxa"/>
          </w:tcPr>
          <w:p w14:paraId="59EC81AB" w14:textId="77777777" w:rsidR="00617FC9" w:rsidRPr="00986D12" w:rsidRDefault="00617FC9" w:rsidP="00696175">
            <w:pPr>
              <w:pStyle w:val="Texttable"/>
              <w:jc w:val="center"/>
              <w:cnfStyle w:val="000000000000" w:firstRow="0" w:lastRow="0" w:firstColumn="0" w:lastColumn="0" w:oddVBand="0" w:evenVBand="0" w:oddHBand="0"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7%</w:t>
            </w:r>
          </w:p>
        </w:tc>
        <w:tc>
          <w:tcPr>
            <w:tcW w:w="1860" w:type="dxa"/>
          </w:tcPr>
          <w:p w14:paraId="6137583B" w14:textId="77777777" w:rsidR="00617FC9" w:rsidRPr="00986D12" w:rsidRDefault="00617FC9" w:rsidP="00696175">
            <w:pPr>
              <w:pStyle w:val="Texttable"/>
              <w:jc w:val="center"/>
              <w:cnfStyle w:val="000000000000" w:firstRow="0" w:lastRow="0" w:firstColumn="0" w:lastColumn="0" w:oddVBand="0" w:evenVBand="0" w:oddHBand="0"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lang w:val="en-US"/>
              </w:rPr>
              <w:t>79%</w:t>
            </w:r>
          </w:p>
        </w:tc>
      </w:tr>
      <w:tr w:rsidR="00617FC9" w:rsidRPr="00986D12" w14:paraId="445AB547" w14:textId="77777777" w:rsidTr="00696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5" w:type="dxa"/>
          </w:tcPr>
          <w:p w14:paraId="07B27A2B" w14:textId="77777777" w:rsidR="00617FC9" w:rsidRPr="00986D12" w:rsidRDefault="00617FC9" w:rsidP="00696175">
            <w:pPr>
              <w:pStyle w:val="Texttable"/>
              <w:rPr>
                <w:rFonts w:asciiTheme="minorHAnsi" w:eastAsia="Avenir Nxt2 W1G" w:hAnsiTheme="minorHAnsi" w:cstheme="minorHAnsi"/>
              </w:rPr>
            </w:pPr>
            <w:r w:rsidRPr="00986D12">
              <w:rPr>
                <w:rFonts w:asciiTheme="minorHAnsi" w:eastAsia="Avenir Nxt2 W1G" w:hAnsiTheme="minorHAnsi" w:cstheme="minorHAnsi"/>
              </w:rPr>
              <w:t xml:space="preserve">ARB </w:t>
            </w:r>
          </w:p>
        </w:tc>
        <w:tc>
          <w:tcPr>
            <w:tcW w:w="1335" w:type="dxa"/>
          </w:tcPr>
          <w:p w14:paraId="650571DA" w14:textId="77777777" w:rsidR="00617FC9" w:rsidRPr="00986D12" w:rsidRDefault="00617FC9" w:rsidP="00696175">
            <w:pPr>
              <w:pStyle w:val="Texttable"/>
              <w:jc w:val="center"/>
              <w:cnfStyle w:val="000000100000" w:firstRow="0" w:lastRow="0" w:firstColumn="0" w:lastColumn="0" w:oddVBand="0" w:evenVBand="0" w:oddHBand="1"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11%</w:t>
            </w:r>
          </w:p>
        </w:tc>
        <w:tc>
          <w:tcPr>
            <w:tcW w:w="2160" w:type="dxa"/>
          </w:tcPr>
          <w:p w14:paraId="1CED94CF" w14:textId="77777777" w:rsidR="00617FC9" w:rsidRPr="00986D12" w:rsidRDefault="00617FC9" w:rsidP="00696175">
            <w:pPr>
              <w:pStyle w:val="Texttable"/>
              <w:jc w:val="center"/>
              <w:cnfStyle w:val="000000100000" w:firstRow="0" w:lastRow="0" w:firstColumn="0" w:lastColumn="0" w:oddVBand="0" w:evenVBand="0" w:oddHBand="1"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1%</w:t>
            </w:r>
          </w:p>
        </w:tc>
        <w:tc>
          <w:tcPr>
            <w:tcW w:w="1860" w:type="dxa"/>
          </w:tcPr>
          <w:p w14:paraId="61729028" w14:textId="77777777" w:rsidR="00617FC9" w:rsidRPr="00986D12" w:rsidRDefault="00617FC9" w:rsidP="00696175">
            <w:pPr>
              <w:pStyle w:val="Texttable"/>
              <w:jc w:val="center"/>
              <w:cnfStyle w:val="000000100000" w:firstRow="0" w:lastRow="0" w:firstColumn="0" w:lastColumn="0" w:oddVBand="0" w:evenVBand="0" w:oddHBand="1"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2%</w:t>
            </w:r>
          </w:p>
        </w:tc>
        <w:tc>
          <w:tcPr>
            <w:tcW w:w="1860" w:type="dxa"/>
          </w:tcPr>
          <w:p w14:paraId="031128E6" w14:textId="77777777" w:rsidR="00617FC9" w:rsidRPr="00986D12" w:rsidRDefault="00617FC9" w:rsidP="00696175">
            <w:pPr>
              <w:pStyle w:val="Texttable"/>
              <w:jc w:val="center"/>
              <w:cnfStyle w:val="000000100000" w:firstRow="0" w:lastRow="0" w:firstColumn="0" w:lastColumn="0" w:oddVBand="0" w:evenVBand="0" w:oddHBand="1"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lang w:val="en-US"/>
              </w:rPr>
              <w:t>86%</w:t>
            </w:r>
          </w:p>
        </w:tc>
      </w:tr>
      <w:tr w:rsidR="00617FC9" w:rsidRPr="00986D12" w14:paraId="4C9DCEF1" w14:textId="77777777" w:rsidTr="00696175">
        <w:tc>
          <w:tcPr>
            <w:cnfStyle w:val="001000000000" w:firstRow="0" w:lastRow="0" w:firstColumn="1" w:lastColumn="0" w:oddVBand="0" w:evenVBand="0" w:oddHBand="0" w:evenHBand="0" w:firstRowFirstColumn="0" w:firstRowLastColumn="0" w:lastRowFirstColumn="0" w:lastRowLastColumn="0"/>
            <w:tcW w:w="1755" w:type="dxa"/>
          </w:tcPr>
          <w:p w14:paraId="66E947B3" w14:textId="77777777" w:rsidR="00617FC9" w:rsidRPr="00986D12" w:rsidRDefault="00617FC9" w:rsidP="00696175">
            <w:pPr>
              <w:pStyle w:val="Texttable"/>
              <w:rPr>
                <w:rFonts w:asciiTheme="minorHAnsi" w:eastAsia="Avenir Nxt2 W1G" w:hAnsiTheme="minorHAnsi" w:cstheme="minorHAnsi"/>
                <w:color w:val="000000" w:themeColor="text1"/>
              </w:rPr>
            </w:pPr>
            <w:r w:rsidRPr="00986D12">
              <w:rPr>
                <w:rFonts w:asciiTheme="minorHAnsi" w:eastAsia="Avenir Nxt2 W1G" w:hAnsiTheme="minorHAnsi" w:cstheme="minorHAnsi"/>
                <w:color w:val="000000" w:themeColor="text1"/>
              </w:rPr>
              <w:t xml:space="preserve">ASP </w:t>
            </w:r>
          </w:p>
        </w:tc>
        <w:tc>
          <w:tcPr>
            <w:tcW w:w="1335" w:type="dxa"/>
          </w:tcPr>
          <w:p w14:paraId="1E7085E1" w14:textId="77777777" w:rsidR="00617FC9" w:rsidRPr="00986D12" w:rsidRDefault="00617FC9" w:rsidP="00696175">
            <w:pPr>
              <w:pStyle w:val="Texttable"/>
              <w:jc w:val="center"/>
              <w:cnfStyle w:val="000000000000" w:firstRow="0" w:lastRow="0" w:firstColumn="0" w:lastColumn="0" w:oddVBand="0" w:evenVBand="0" w:oddHBand="0"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7%</w:t>
            </w:r>
          </w:p>
        </w:tc>
        <w:tc>
          <w:tcPr>
            <w:tcW w:w="2160" w:type="dxa"/>
          </w:tcPr>
          <w:p w14:paraId="5DCCD923" w14:textId="77777777" w:rsidR="00617FC9" w:rsidRPr="00986D12" w:rsidRDefault="00617FC9" w:rsidP="00696175">
            <w:pPr>
              <w:pStyle w:val="Texttable"/>
              <w:jc w:val="center"/>
              <w:cnfStyle w:val="000000000000" w:firstRow="0" w:lastRow="0" w:firstColumn="0" w:lastColumn="0" w:oddVBand="0" w:evenVBand="0" w:oddHBand="0"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4%</w:t>
            </w:r>
          </w:p>
        </w:tc>
        <w:tc>
          <w:tcPr>
            <w:tcW w:w="1860" w:type="dxa"/>
          </w:tcPr>
          <w:p w14:paraId="16B2E9BC" w14:textId="77777777" w:rsidR="00617FC9" w:rsidRPr="00986D12" w:rsidRDefault="00617FC9" w:rsidP="00696175">
            <w:pPr>
              <w:pStyle w:val="Texttable"/>
              <w:jc w:val="center"/>
              <w:cnfStyle w:val="000000000000" w:firstRow="0" w:lastRow="0" w:firstColumn="0" w:lastColumn="0" w:oddVBand="0" w:evenVBand="0" w:oddHBand="0"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3%</w:t>
            </w:r>
          </w:p>
        </w:tc>
        <w:tc>
          <w:tcPr>
            <w:tcW w:w="1860" w:type="dxa"/>
          </w:tcPr>
          <w:p w14:paraId="68BD98DA" w14:textId="77777777" w:rsidR="00617FC9" w:rsidRPr="00986D12" w:rsidRDefault="00617FC9" w:rsidP="00696175">
            <w:pPr>
              <w:pStyle w:val="Texttable"/>
              <w:jc w:val="center"/>
              <w:cnfStyle w:val="000000000000" w:firstRow="0" w:lastRow="0" w:firstColumn="0" w:lastColumn="0" w:oddVBand="0" w:evenVBand="0" w:oddHBand="0"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lang w:val="en-US"/>
              </w:rPr>
              <w:t>86%</w:t>
            </w:r>
          </w:p>
        </w:tc>
      </w:tr>
      <w:tr w:rsidR="00617FC9" w:rsidRPr="00986D12" w14:paraId="1ADE330B" w14:textId="77777777" w:rsidTr="00696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5" w:type="dxa"/>
          </w:tcPr>
          <w:p w14:paraId="5D18D508" w14:textId="77777777" w:rsidR="00617FC9" w:rsidRPr="00986D12" w:rsidRDefault="00617FC9" w:rsidP="00696175">
            <w:pPr>
              <w:pStyle w:val="Texttable"/>
              <w:rPr>
                <w:rFonts w:asciiTheme="minorHAnsi" w:eastAsia="Avenir Nxt2 W1G" w:hAnsiTheme="minorHAnsi" w:cstheme="minorHAnsi"/>
                <w:color w:val="000000" w:themeColor="text1"/>
              </w:rPr>
            </w:pPr>
            <w:r w:rsidRPr="00986D12">
              <w:rPr>
                <w:rFonts w:asciiTheme="minorHAnsi" w:eastAsia="Avenir Nxt2 W1G" w:hAnsiTheme="minorHAnsi" w:cstheme="minorHAnsi"/>
              </w:rPr>
              <w:t xml:space="preserve">CIS </w:t>
            </w:r>
          </w:p>
        </w:tc>
        <w:tc>
          <w:tcPr>
            <w:tcW w:w="1335" w:type="dxa"/>
          </w:tcPr>
          <w:p w14:paraId="1CB179D0" w14:textId="77777777" w:rsidR="00617FC9" w:rsidRPr="00986D12" w:rsidRDefault="00617FC9" w:rsidP="00696175">
            <w:pPr>
              <w:pStyle w:val="Texttable"/>
              <w:jc w:val="center"/>
              <w:cnfStyle w:val="000000100000" w:firstRow="0" w:lastRow="0" w:firstColumn="0" w:lastColumn="0" w:oddVBand="0" w:evenVBand="0" w:oddHBand="1"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10%</w:t>
            </w:r>
          </w:p>
        </w:tc>
        <w:tc>
          <w:tcPr>
            <w:tcW w:w="2160" w:type="dxa"/>
          </w:tcPr>
          <w:p w14:paraId="5F9AD53C" w14:textId="77777777" w:rsidR="00617FC9" w:rsidRPr="00986D12" w:rsidRDefault="00617FC9" w:rsidP="00696175">
            <w:pPr>
              <w:pStyle w:val="Texttable"/>
              <w:jc w:val="center"/>
              <w:cnfStyle w:val="000000100000" w:firstRow="0" w:lastRow="0" w:firstColumn="0" w:lastColumn="0" w:oddVBand="0" w:evenVBand="0" w:oddHBand="1"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5%</w:t>
            </w:r>
          </w:p>
        </w:tc>
        <w:tc>
          <w:tcPr>
            <w:tcW w:w="1860" w:type="dxa"/>
          </w:tcPr>
          <w:p w14:paraId="51F3533C" w14:textId="77777777" w:rsidR="00617FC9" w:rsidRPr="00986D12" w:rsidRDefault="00617FC9" w:rsidP="00696175">
            <w:pPr>
              <w:pStyle w:val="Texttable"/>
              <w:jc w:val="center"/>
              <w:cnfStyle w:val="000000100000" w:firstRow="0" w:lastRow="0" w:firstColumn="0" w:lastColumn="0" w:oddVBand="0" w:evenVBand="0" w:oddHBand="1"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5%</w:t>
            </w:r>
          </w:p>
        </w:tc>
        <w:tc>
          <w:tcPr>
            <w:tcW w:w="1860" w:type="dxa"/>
          </w:tcPr>
          <w:p w14:paraId="7ECD08F9" w14:textId="77777777" w:rsidR="00617FC9" w:rsidRPr="00986D12" w:rsidRDefault="00617FC9" w:rsidP="00696175">
            <w:pPr>
              <w:pStyle w:val="Texttable"/>
              <w:jc w:val="center"/>
              <w:cnfStyle w:val="000000100000" w:firstRow="0" w:lastRow="0" w:firstColumn="0" w:lastColumn="0" w:oddVBand="0" w:evenVBand="0" w:oddHBand="1"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lang w:val="en-US"/>
              </w:rPr>
              <w:t>80%</w:t>
            </w:r>
          </w:p>
        </w:tc>
      </w:tr>
      <w:tr w:rsidR="00617FC9" w:rsidRPr="00986D12" w14:paraId="6648952A" w14:textId="77777777" w:rsidTr="00696175">
        <w:tc>
          <w:tcPr>
            <w:cnfStyle w:val="001000000000" w:firstRow="0" w:lastRow="0" w:firstColumn="1" w:lastColumn="0" w:oddVBand="0" w:evenVBand="0" w:oddHBand="0" w:evenHBand="0" w:firstRowFirstColumn="0" w:firstRowLastColumn="0" w:lastRowFirstColumn="0" w:lastRowLastColumn="0"/>
            <w:tcW w:w="1755" w:type="dxa"/>
          </w:tcPr>
          <w:p w14:paraId="5958E6C4" w14:textId="77777777" w:rsidR="00617FC9" w:rsidRPr="00986D12" w:rsidRDefault="00617FC9" w:rsidP="00696175">
            <w:pPr>
              <w:pStyle w:val="Texttable"/>
              <w:rPr>
                <w:rFonts w:asciiTheme="minorHAnsi" w:eastAsia="Avenir Nxt2 W1G" w:hAnsiTheme="minorHAnsi" w:cstheme="minorHAnsi"/>
              </w:rPr>
            </w:pPr>
            <w:r w:rsidRPr="00986D12">
              <w:rPr>
                <w:rFonts w:asciiTheme="minorHAnsi" w:eastAsia="Avenir Nxt2 W1G" w:hAnsiTheme="minorHAnsi" w:cstheme="minorHAnsi"/>
                <w:color w:val="000000" w:themeColor="text1"/>
              </w:rPr>
              <w:t xml:space="preserve">EUR </w:t>
            </w:r>
          </w:p>
        </w:tc>
        <w:tc>
          <w:tcPr>
            <w:tcW w:w="1335" w:type="dxa"/>
          </w:tcPr>
          <w:p w14:paraId="4299C8C4" w14:textId="77777777" w:rsidR="00617FC9" w:rsidRPr="00986D12" w:rsidRDefault="00617FC9" w:rsidP="00696175">
            <w:pPr>
              <w:pStyle w:val="Texttable"/>
              <w:jc w:val="center"/>
              <w:cnfStyle w:val="000000000000" w:firstRow="0" w:lastRow="0" w:firstColumn="0" w:lastColumn="0" w:oddVBand="0" w:evenVBand="0" w:oddHBand="0"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4%</w:t>
            </w:r>
          </w:p>
        </w:tc>
        <w:tc>
          <w:tcPr>
            <w:tcW w:w="2160" w:type="dxa"/>
          </w:tcPr>
          <w:p w14:paraId="20B7DFB2" w14:textId="77777777" w:rsidR="00617FC9" w:rsidRPr="00986D12" w:rsidRDefault="00617FC9" w:rsidP="00696175">
            <w:pPr>
              <w:pStyle w:val="Texttable"/>
              <w:jc w:val="center"/>
              <w:cnfStyle w:val="000000000000" w:firstRow="0" w:lastRow="0" w:firstColumn="0" w:lastColumn="0" w:oddVBand="0" w:evenVBand="0" w:oddHBand="0"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2%</w:t>
            </w:r>
          </w:p>
        </w:tc>
        <w:tc>
          <w:tcPr>
            <w:tcW w:w="1860" w:type="dxa"/>
          </w:tcPr>
          <w:p w14:paraId="490D76FF" w14:textId="77777777" w:rsidR="00617FC9" w:rsidRPr="00986D12" w:rsidRDefault="00617FC9" w:rsidP="00696175">
            <w:pPr>
              <w:pStyle w:val="Texttable"/>
              <w:jc w:val="center"/>
              <w:cnfStyle w:val="000000000000" w:firstRow="0" w:lastRow="0" w:firstColumn="0" w:lastColumn="0" w:oddVBand="0" w:evenVBand="0" w:oddHBand="0"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rPr>
              <w:t>3%</w:t>
            </w:r>
          </w:p>
        </w:tc>
        <w:tc>
          <w:tcPr>
            <w:tcW w:w="1860" w:type="dxa"/>
          </w:tcPr>
          <w:p w14:paraId="249AEB7B" w14:textId="77777777" w:rsidR="00617FC9" w:rsidRPr="00986D12" w:rsidRDefault="00617FC9" w:rsidP="00696175">
            <w:pPr>
              <w:pStyle w:val="Texttable"/>
              <w:jc w:val="center"/>
              <w:cnfStyle w:val="000000000000" w:firstRow="0" w:lastRow="0" w:firstColumn="0" w:lastColumn="0" w:oddVBand="0" w:evenVBand="0" w:oddHBand="0" w:evenHBand="0" w:firstRowFirstColumn="0" w:firstRowLastColumn="0" w:lastRowFirstColumn="0" w:lastRowLastColumn="0"/>
              <w:rPr>
                <w:rFonts w:asciiTheme="minorHAnsi" w:eastAsia="Avenir Nxt2 W1G" w:hAnsiTheme="minorHAnsi" w:cstheme="minorHAnsi"/>
              </w:rPr>
            </w:pPr>
            <w:r w:rsidRPr="00986D12">
              <w:rPr>
                <w:rFonts w:asciiTheme="minorHAnsi" w:eastAsia="Avenir Nxt2 W1G" w:hAnsiTheme="minorHAnsi" w:cstheme="minorHAnsi"/>
                <w:lang w:val="en-US"/>
              </w:rPr>
              <w:t>91%</w:t>
            </w:r>
          </w:p>
        </w:tc>
      </w:tr>
    </w:tbl>
    <w:p w14:paraId="098F510A" w14:textId="77777777" w:rsidR="00617FC9" w:rsidRPr="00986D12" w:rsidRDefault="00617FC9" w:rsidP="00617FC9">
      <w:pPr>
        <w:pStyle w:val="Notes"/>
        <w:rPr>
          <w:rFonts w:asciiTheme="minorHAnsi" w:hAnsiTheme="minorHAnsi" w:cstheme="minorHAnsi"/>
        </w:rPr>
      </w:pPr>
      <w:r w:rsidRPr="00986D12">
        <w:rPr>
          <w:rFonts w:asciiTheme="minorHAnsi" w:eastAsia="Avenir Nxt2 W1G" w:hAnsiTheme="minorHAnsi" w:cstheme="minorHAnsi"/>
          <w:color w:val="000000" w:themeColor="text1"/>
        </w:rPr>
        <w:t xml:space="preserve">Source: Regional staff data was extracted from </w:t>
      </w:r>
      <w:r w:rsidRPr="00986D12">
        <w:rPr>
          <w:rFonts w:asciiTheme="minorHAnsi" w:hAnsiTheme="minorHAnsi" w:cstheme="minorHAnsi"/>
          <w:lang w:val="en-US"/>
        </w:rPr>
        <w:t>BDT time survey 2025</w:t>
      </w:r>
    </w:p>
    <w:p w14:paraId="5A24ABDF" w14:textId="77777777" w:rsidR="00617FC9" w:rsidRPr="009845D4" w:rsidRDefault="00617FC9" w:rsidP="00617FC9">
      <w:pPr>
        <w:pStyle w:val="Subtitle0"/>
        <w:jc w:val="center"/>
        <w:rPr>
          <w:rFonts w:asciiTheme="minorHAnsi" w:eastAsia="Avenir Nxt2 W1G" w:hAnsiTheme="minorHAnsi" w:cstheme="minorHAnsi"/>
          <w:sz w:val="24"/>
          <w:szCs w:val="24"/>
          <w:lang w:val="en-US"/>
        </w:rPr>
      </w:pPr>
      <w:r w:rsidRPr="009845D4">
        <w:rPr>
          <w:rFonts w:asciiTheme="minorHAnsi" w:eastAsia="Avenir Nxt2 W1G" w:hAnsiTheme="minorHAnsi" w:cstheme="minorHAnsi"/>
          <w:sz w:val="24"/>
          <w:szCs w:val="24"/>
          <w:lang w:val="en-US"/>
        </w:rPr>
        <w:lastRenderedPageBreak/>
        <w:t>Regional Staff contribution</w:t>
      </w:r>
      <w:r w:rsidRPr="009845D4">
        <w:rPr>
          <w:rFonts w:asciiTheme="minorHAnsi" w:hAnsiTheme="minorHAnsi" w:cstheme="minorHAnsi"/>
          <w:sz w:val="24"/>
          <w:szCs w:val="24"/>
          <w:vertAlign w:val="superscript"/>
          <w:lang w:val="en-US"/>
        </w:rPr>
        <w:t>1</w:t>
      </w:r>
      <w:r w:rsidRPr="009845D4">
        <w:rPr>
          <w:rFonts w:asciiTheme="minorHAnsi" w:eastAsia="Avenir Nxt2 W1G" w:hAnsiTheme="minorHAnsi" w:cstheme="minorHAnsi"/>
          <w:sz w:val="24"/>
          <w:szCs w:val="24"/>
          <w:lang w:val="en-US"/>
        </w:rPr>
        <w:t xml:space="preserve"> to ITU thematic priorities for 2025 (Percentage of time)</w:t>
      </w:r>
    </w:p>
    <w:tbl>
      <w:tblPr>
        <w:tblStyle w:val="GridTable4-Accent1"/>
        <w:tblW w:w="5000" w:type="pct"/>
        <w:tblLook w:val="04A0" w:firstRow="1" w:lastRow="0" w:firstColumn="1" w:lastColumn="0" w:noHBand="0" w:noVBand="1"/>
      </w:tblPr>
      <w:tblGrid>
        <w:gridCol w:w="3695"/>
        <w:gridCol w:w="989"/>
        <w:gridCol w:w="989"/>
        <w:gridCol w:w="989"/>
        <w:gridCol w:w="989"/>
        <w:gridCol w:w="989"/>
        <w:gridCol w:w="989"/>
      </w:tblGrid>
      <w:tr w:rsidR="00617FC9" w:rsidRPr="007B2205" w14:paraId="435100BA" w14:textId="77777777" w:rsidTr="006961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hideMark/>
          </w:tcPr>
          <w:p w14:paraId="4BE26F8A" w14:textId="77777777" w:rsidR="00617FC9" w:rsidRPr="007B2205" w:rsidRDefault="00617FC9" w:rsidP="00696175">
            <w:pPr>
              <w:rPr>
                <w:rFonts w:eastAsia="Avenir Nxt2 W1G"/>
                <w:sz w:val="20"/>
                <w:szCs w:val="16"/>
              </w:rPr>
            </w:pPr>
            <w:r w:rsidRPr="007B2205">
              <w:rPr>
                <w:rFonts w:eastAsia="Avenir Nxt2 W1G"/>
                <w:sz w:val="20"/>
                <w:szCs w:val="16"/>
              </w:rPr>
              <w:t>Thematic Priority</w:t>
            </w:r>
            <w:r w:rsidRPr="007B2205">
              <w:rPr>
                <w:sz w:val="20"/>
                <w:szCs w:val="16"/>
              </w:rPr>
              <w:t> </w:t>
            </w:r>
            <w:r w:rsidRPr="007B2205">
              <w:rPr>
                <w:rFonts w:eastAsia="Avenir Nxt2 W1G"/>
                <w:sz w:val="20"/>
                <w:szCs w:val="16"/>
              </w:rPr>
              <w:t> </w:t>
            </w:r>
          </w:p>
        </w:tc>
        <w:tc>
          <w:tcPr>
            <w:tcW w:w="915" w:type="dxa"/>
            <w:hideMark/>
          </w:tcPr>
          <w:p w14:paraId="48DDDFB1" w14:textId="77777777" w:rsidR="00617FC9" w:rsidRPr="007B2205" w:rsidRDefault="00617FC9" w:rsidP="00696175">
            <w:pPr>
              <w:cnfStyle w:val="100000000000" w:firstRow="1"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AFR</w:t>
            </w:r>
          </w:p>
        </w:tc>
        <w:tc>
          <w:tcPr>
            <w:tcW w:w="915" w:type="dxa"/>
            <w:hideMark/>
          </w:tcPr>
          <w:p w14:paraId="02DB6BFC" w14:textId="77777777" w:rsidR="00617FC9" w:rsidRPr="007B2205" w:rsidRDefault="00617FC9" w:rsidP="00696175">
            <w:pPr>
              <w:cnfStyle w:val="100000000000" w:firstRow="1"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AMS</w:t>
            </w:r>
          </w:p>
        </w:tc>
        <w:tc>
          <w:tcPr>
            <w:tcW w:w="915" w:type="dxa"/>
            <w:hideMark/>
          </w:tcPr>
          <w:p w14:paraId="36CA5E7E" w14:textId="77777777" w:rsidR="00617FC9" w:rsidRPr="007B2205" w:rsidRDefault="00617FC9" w:rsidP="00696175">
            <w:pPr>
              <w:cnfStyle w:val="100000000000" w:firstRow="1"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ARB</w:t>
            </w:r>
          </w:p>
        </w:tc>
        <w:tc>
          <w:tcPr>
            <w:tcW w:w="915" w:type="dxa"/>
            <w:hideMark/>
          </w:tcPr>
          <w:p w14:paraId="0C97C73E" w14:textId="77777777" w:rsidR="00617FC9" w:rsidRPr="007B2205" w:rsidRDefault="00617FC9" w:rsidP="00696175">
            <w:pPr>
              <w:cnfStyle w:val="100000000000" w:firstRow="1"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ASP</w:t>
            </w:r>
          </w:p>
        </w:tc>
        <w:tc>
          <w:tcPr>
            <w:tcW w:w="915" w:type="dxa"/>
            <w:hideMark/>
          </w:tcPr>
          <w:p w14:paraId="35C35A3C" w14:textId="77777777" w:rsidR="00617FC9" w:rsidRPr="007B2205" w:rsidRDefault="00617FC9" w:rsidP="00696175">
            <w:pPr>
              <w:cnfStyle w:val="100000000000" w:firstRow="1"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CIS</w:t>
            </w:r>
          </w:p>
        </w:tc>
        <w:tc>
          <w:tcPr>
            <w:tcW w:w="915" w:type="dxa"/>
            <w:hideMark/>
          </w:tcPr>
          <w:p w14:paraId="226978EE" w14:textId="77777777" w:rsidR="00617FC9" w:rsidRPr="007B2205" w:rsidRDefault="00617FC9" w:rsidP="00696175">
            <w:pPr>
              <w:cnfStyle w:val="100000000000" w:firstRow="1"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EUR</w:t>
            </w:r>
          </w:p>
        </w:tc>
      </w:tr>
      <w:tr w:rsidR="00617FC9" w:rsidRPr="007B2205" w14:paraId="582C131E" w14:textId="77777777" w:rsidTr="00696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hideMark/>
          </w:tcPr>
          <w:p w14:paraId="1595B73D" w14:textId="77777777" w:rsidR="00617FC9" w:rsidRPr="007B2205" w:rsidRDefault="00617FC9" w:rsidP="00696175">
            <w:pPr>
              <w:rPr>
                <w:rFonts w:eastAsia="Avenir Nxt2 W1G"/>
                <w:sz w:val="20"/>
                <w:szCs w:val="16"/>
              </w:rPr>
            </w:pPr>
            <w:r w:rsidRPr="007B2205">
              <w:rPr>
                <w:rFonts w:eastAsia="Avenir Nxt2 W1G"/>
                <w:sz w:val="20"/>
                <w:szCs w:val="16"/>
              </w:rPr>
              <w:t>Spectrum for Space &amp; Terrestrial Services</w:t>
            </w:r>
            <w:r w:rsidRPr="007B2205">
              <w:rPr>
                <w:sz w:val="20"/>
                <w:szCs w:val="16"/>
              </w:rPr>
              <w:t> </w:t>
            </w:r>
            <w:r w:rsidRPr="007B2205">
              <w:rPr>
                <w:rFonts w:eastAsia="Avenir Nxt2 W1G"/>
                <w:sz w:val="20"/>
                <w:szCs w:val="16"/>
              </w:rPr>
              <w:t> </w:t>
            </w:r>
          </w:p>
        </w:tc>
        <w:tc>
          <w:tcPr>
            <w:tcW w:w="915" w:type="dxa"/>
            <w:hideMark/>
          </w:tcPr>
          <w:p w14:paraId="2BA36692"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6.0%</w:t>
            </w:r>
          </w:p>
        </w:tc>
        <w:tc>
          <w:tcPr>
            <w:tcW w:w="915" w:type="dxa"/>
            <w:hideMark/>
          </w:tcPr>
          <w:p w14:paraId="36A2A67D"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1.5%</w:t>
            </w:r>
          </w:p>
        </w:tc>
        <w:tc>
          <w:tcPr>
            <w:tcW w:w="915" w:type="dxa"/>
            <w:hideMark/>
          </w:tcPr>
          <w:p w14:paraId="18D9CCC6"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0.7%</w:t>
            </w:r>
          </w:p>
        </w:tc>
        <w:tc>
          <w:tcPr>
            <w:tcW w:w="915" w:type="dxa"/>
            <w:hideMark/>
          </w:tcPr>
          <w:p w14:paraId="769186B7"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3.4%</w:t>
            </w:r>
          </w:p>
        </w:tc>
        <w:tc>
          <w:tcPr>
            <w:tcW w:w="915" w:type="dxa"/>
            <w:hideMark/>
          </w:tcPr>
          <w:p w14:paraId="47EA22ED"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4.1%</w:t>
            </w:r>
          </w:p>
        </w:tc>
        <w:tc>
          <w:tcPr>
            <w:tcW w:w="915" w:type="dxa"/>
            <w:hideMark/>
          </w:tcPr>
          <w:p w14:paraId="7C4AAF17"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1.6%</w:t>
            </w:r>
          </w:p>
        </w:tc>
      </w:tr>
      <w:tr w:rsidR="00617FC9" w:rsidRPr="007B2205" w14:paraId="06713C23" w14:textId="77777777" w:rsidTr="00696175">
        <w:tc>
          <w:tcPr>
            <w:cnfStyle w:val="001000000000" w:firstRow="0" w:lastRow="0" w:firstColumn="1" w:lastColumn="0" w:oddVBand="0" w:evenVBand="0" w:oddHBand="0" w:evenHBand="0" w:firstRowFirstColumn="0" w:firstRowLastColumn="0" w:lastRowFirstColumn="0" w:lastRowLastColumn="0"/>
            <w:tcW w:w="3420" w:type="dxa"/>
            <w:hideMark/>
          </w:tcPr>
          <w:p w14:paraId="2DE65937" w14:textId="77777777" w:rsidR="00617FC9" w:rsidRPr="007B2205" w:rsidRDefault="00617FC9" w:rsidP="00696175">
            <w:pPr>
              <w:rPr>
                <w:rFonts w:eastAsia="Avenir Nxt2 W1G"/>
                <w:sz w:val="20"/>
                <w:szCs w:val="16"/>
              </w:rPr>
            </w:pPr>
            <w:r w:rsidRPr="007B2205">
              <w:rPr>
                <w:rFonts w:eastAsia="Avenir Nxt2 W1G"/>
                <w:sz w:val="20"/>
                <w:szCs w:val="16"/>
              </w:rPr>
              <w:t>International Telecommunication Numbering Resources</w:t>
            </w:r>
            <w:r w:rsidRPr="007B2205">
              <w:rPr>
                <w:sz w:val="20"/>
                <w:szCs w:val="16"/>
              </w:rPr>
              <w:t> </w:t>
            </w:r>
            <w:r w:rsidRPr="007B2205">
              <w:rPr>
                <w:rFonts w:eastAsia="Avenir Nxt2 W1G"/>
                <w:sz w:val="20"/>
                <w:szCs w:val="16"/>
              </w:rPr>
              <w:t> </w:t>
            </w:r>
          </w:p>
        </w:tc>
        <w:tc>
          <w:tcPr>
            <w:tcW w:w="915" w:type="dxa"/>
            <w:hideMark/>
          </w:tcPr>
          <w:p w14:paraId="78F95B5C" w14:textId="77777777" w:rsidR="00617FC9" w:rsidRPr="007B2205" w:rsidRDefault="00617FC9" w:rsidP="00696175">
            <w:pPr>
              <w:cnfStyle w:val="000000000000" w:firstRow="0"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0.7%</w:t>
            </w:r>
          </w:p>
        </w:tc>
        <w:tc>
          <w:tcPr>
            <w:tcW w:w="915" w:type="dxa"/>
            <w:hideMark/>
          </w:tcPr>
          <w:p w14:paraId="1132C419" w14:textId="77777777" w:rsidR="00617FC9" w:rsidRPr="007B2205" w:rsidRDefault="00617FC9" w:rsidP="00696175">
            <w:pPr>
              <w:cnfStyle w:val="000000000000" w:firstRow="0"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0.4%</w:t>
            </w:r>
          </w:p>
        </w:tc>
        <w:tc>
          <w:tcPr>
            <w:tcW w:w="915" w:type="dxa"/>
            <w:hideMark/>
          </w:tcPr>
          <w:p w14:paraId="6399A74E" w14:textId="77777777" w:rsidR="00617FC9" w:rsidRPr="007B2205" w:rsidRDefault="00617FC9" w:rsidP="00696175">
            <w:pPr>
              <w:cnfStyle w:val="000000000000" w:firstRow="0"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0.1%</w:t>
            </w:r>
          </w:p>
        </w:tc>
        <w:tc>
          <w:tcPr>
            <w:tcW w:w="915" w:type="dxa"/>
            <w:hideMark/>
          </w:tcPr>
          <w:p w14:paraId="18B44C55" w14:textId="77777777" w:rsidR="00617FC9" w:rsidRPr="007B2205" w:rsidRDefault="00617FC9" w:rsidP="00696175">
            <w:pPr>
              <w:cnfStyle w:val="000000000000" w:firstRow="0"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0.2%</w:t>
            </w:r>
          </w:p>
        </w:tc>
        <w:tc>
          <w:tcPr>
            <w:tcW w:w="915" w:type="dxa"/>
            <w:hideMark/>
          </w:tcPr>
          <w:p w14:paraId="57E1090F" w14:textId="77777777" w:rsidR="00617FC9" w:rsidRPr="007B2205" w:rsidRDefault="00617FC9" w:rsidP="00696175">
            <w:pPr>
              <w:cnfStyle w:val="000000000000" w:firstRow="0"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0.2%</w:t>
            </w:r>
          </w:p>
        </w:tc>
        <w:tc>
          <w:tcPr>
            <w:tcW w:w="915" w:type="dxa"/>
            <w:hideMark/>
          </w:tcPr>
          <w:p w14:paraId="6F25566B" w14:textId="77777777" w:rsidR="00617FC9" w:rsidRPr="007B2205" w:rsidRDefault="00617FC9" w:rsidP="00696175">
            <w:pPr>
              <w:cnfStyle w:val="000000000000" w:firstRow="0"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0.1%</w:t>
            </w:r>
          </w:p>
        </w:tc>
      </w:tr>
      <w:tr w:rsidR="00617FC9" w:rsidRPr="007B2205" w14:paraId="7E88BE4A" w14:textId="77777777" w:rsidTr="00696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hideMark/>
          </w:tcPr>
          <w:p w14:paraId="411CC888" w14:textId="77777777" w:rsidR="00617FC9" w:rsidRPr="007B2205" w:rsidRDefault="00617FC9" w:rsidP="00696175">
            <w:pPr>
              <w:rPr>
                <w:rFonts w:eastAsia="Avenir Nxt2 W1G"/>
                <w:sz w:val="20"/>
                <w:szCs w:val="16"/>
              </w:rPr>
            </w:pPr>
            <w:r w:rsidRPr="007B2205">
              <w:rPr>
                <w:rFonts w:eastAsia="Avenir Nxt2 W1G"/>
                <w:sz w:val="20"/>
                <w:szCs w:val="16"/>
              </w:rPr>
              <w:t>Inclusive &amp; Secure Telecommunications / ICT Infrastructure &amp; Services</w:t>
            </w:r>
            <w:r w:rsidRPr="007B2205">
              <w:rPr>
                <w:sz w:val="20"/>
                <w:szCs w:val="16"/>
              </w:rPr>
              <w:t> </w:t>
            </w:r>
            <w:r w:rsidRPr="007B2205">
              <w:rPr>
                <w:rFonts w:eastAsia="Avenir Nxt2 W1G"/>
                <w:sz w:val="20"/>
                <w:szCs w:val="16"/>
              </w:rPr>
              <w:t> </w:t>
            </w:r>
          </w:p>
        </w:tc>
        <w:tc>
          <w:tcPr>
            <w:tcW w:w="915" w:type="dxa"/>
            <w:hideMark/>
          </w:tcPr>
          <w:p w14:paraId="0845DDA1"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20.7%</w:t>
            </w:r>
          </w:p>
        </w:tc>
        <w:tc>
          <w:tcPr>
            <w:tcW w:w="915" w:type="dxa"/>
            <w:hideMark/>
          </w:tcPr>
          <w:p w14:paraId="7B542341"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27.8%</w:t>
            </w:r>
          </w:p>
        </w:tc>
        <w:tc>
          <w:tcPr>
            <w:tcW w:w="915" w:type="dxa"/>
            <w:hideMark/>
          </w:tcPr>
          <w:p w14:paraId="65D97689"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28.1%</w:t>
            </w:r>
          </w:p>
        </w:tc>
        <w:tc>
          <w:tcPr>
            <w:tcW w:w="915" w:type="dxa"/>
            <w:hideMark/>
          </w:tcPr>
          <w:p w14:paraId="62A564C5"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28.5%</w:t>
            </w:r>
          </w:p>
        </w:tc>
        <w:tc>
          <w:tcPr>
            <w:tcW w:w="915" w:type="dxa"/>
            <w:hideMark/>
          </w:tcPr>
          <w:p w14:paraId="7E17D532"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27.4%</w:t>
            </w:r>
          </w:p>
        </w:tc>
        <w:tc>
          <w:tcPr>
            <w:tcW w:w="915" w:type="dxa"/>
            <w:hideMark/>
          </w:tcPr>
          <w:p w14:paraId="735AD420"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29.9%</w:t>
            </w:r>
          </w:p>
        </w:tc>
      </w:tr>
      <w:tr w:rsidR="00617FC9" w:rsidRPr="007B2205" w14:paraId="5F619902" w14:textId="77777777" w:rsidTr="00696175">
        <w:tc>
          <w:tcPr>
            <w:cnfStyle w:val="001000000000" w:firstRow="0" w:lastRow="0" w:firstColumn="1" w:lastColumn="0" w:oddVBand="0" w:evenVBand="0" w:oddHBand="0" w:evenHBand="0" w:firstRowFirstColumn="0" w:firstRowLastColumn="0" w:lastRowFirstColumn="0" w:lastRowLastColumn="0"/>
            <w:tcW w:w="3420" w:type="dxa"/>
            <w:hideMark/>
          </w:tcPr>
          <w:p w14:paraId="5EF92806" w14:textId="77777777" w:rsidR="00617FC9" w:rsidRPr="007B2205" w:rsidRDefault="00617FC9" w:rsidP="00696175">
            <w:pPr>
              <w:rPr>
                <w:rFonts w:eastAsia="Avenir Nxt2 W1G"/>
                <w:sz w:val="20"/>
                <w:szCs w:val="16"/>
              </w:rPr>
            </w:pPr>
            <w:r w:rsidRPr="007B2205">
              <w:rPr>
                <w:rFonts w:eastAsia="Avenir Nxt2 W1G"/>
                <w:sz w:val="20"/>
                <w:szCs w:val="16"/>
              </w:rPr>
              <w:t>Digital Applications</w:t>
            </w:r>
            <w:r w:rsidRPr="007B2205">
              <w:rPr>
                <w:sz w:val="20"/>
                <w:szCs w:val="16"/>
              </w:rPr>
              <w:t> </w:t>
            </w:r>
            <w:r w:rsidRPr="007B2205">
              <w:rPr>
                <w:rFonts w:eastAsia="Avenir Nxt2 W1G"/>
                <w:sz w:val="20"/>
                <w:szCs w:val="16"/>
              </w:rPr>
              <w:t> </w:t>
            </w:r>
          </w:p>
        </w:tc>
        <w:tc>
          <w:tcPr>
            <w:tcW w:w="915" w:type="dxa"/>
            <w:hideMark/>
          </w:tcPr>
          <w:p w14:paraId="178153DC" w14:textId="77777777" w:rsidR="00617FC9" w:rsidRPr="007B2205" w:rsidRDefault="00617FC9" w:rsidP="00696175">
            <w:pPr>
              <w:cnfStyle w:val="000000000000" w:firstRow="0"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20.2%</w:t>
            </w:r>
          </w:p>
        </w:tc>
        <w:tc>
          <w:tcPr>
            <w:tcW w:w="915" w:type="dxa"/>
            <w:hideMark/>
          </w:tcPr>
          <w:p w14:paraId="577AE50E" w14:textId="77777777" w:rsidR="00617FC9" w:rsidRPr="007B2205" w:rsidRDefault="00617FC9" w:rsidP="00696175">
            <w:pPr>
              <w:cnfStyle w:val="000000000000" w:firstRow="0"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27.7%</w:t>
            </w:r>
          </w:p>
        </w:tc>
        <w:tc>
          <w:tcPr>
            <w:tcW w:w="915" w:type="dxa"/>
            <w:hideMark/>
          </w:tcPr>
          <w:p w14:paraId="20B22487" w14:textId="77777777" w:rsidR="00617FC9" w:rsidRPr="007B2205" w:rsidRDefault="00617FC9" w:rsidP="00696175">
            <w:pPr>
              <w:cnfStyle w:val="000000000000" w:firstRow="0"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28.0%</w:t>
            </w:r>
          </w:p>
        </w:tc>
        <w:tc>
          <w:tcPr>
            <w:tcW w:w="915" w:type="dxa"/>
            <w:hideMark/>
          </w:tcPr>
          <w:p w14:paraId="6D300BBC" w14:textId="77777777" w:rsidR="00617FC9" w:rsidRPr="007B2205" w:rsidRDefault="00617FC9" w:rsidP="00696175">
            <w:pPr>
              <w:cnfStyle w:val="000000000000" w:firstRow="0"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28.2%</w:t>
            </w:r>
          </w:p>
        </w:tc>
        <w:tc>
          <w:tcPr>
            <w:tcW w:w="915" w:type="dxa"/>
            <w:hideMark/>
          </w:tcPr>
          <w:p w14:paraId="673F0A14" w14:textId="77777777" w:rsidR="00617FC9" w:rsidRPr="007B2205" w:rsidRDefault="00617FC9" w:rsidP="00696175">
            <w:pPr>
              <w:cnfStyle w:val="000000000000" w:firstRow="0"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27.1%</w:t>
            </w:r>
          </w:p>
        </w:tc>
        <w:tc>
          <w:tcPr>
            <w:tcW w:w="915" w:type="dxa"/>
            <w:hideMark/>
          </w:tcPr>
          <w:p w14:paraId="787298EC" w14:textId="77777777" w:rsidR="00617FC9" w:rsidRPr="007B2205" w:rsidRDefault="00617FC9" w:rsidP="00696175">
            <w:pPr>
              <w:cnfStyle w:val="000000000000" w:firstRow="0" w:lastRow="0" w:firstColumn="0" w:lastColumn="0" w:oddVBand="0" w:evenVBand="0" w:oddHBand="0" w:evenHBand="0" w:firstRowFirstColumn="0" w:firstRowLastColumn="0" w:lastRowFirstColumn="0" w:lastRowLastColumn="0"/>
              <w:rPr>
                <w:rFonts w:eastAsia="Avenir Nxt2 W1G"/>
                <w:sz w:val="20"/>
                <w:szCs w:val="16"/>
              </w:rPr>
            </w:pPr>
            <w:r w:rsidRPr="007B2205">
              <w:rPr>
                <w:rFonts w:eastAsia="Avenir Nxt2 W1G"/>
                <w:sz w:val="20"/>
                <w:szCs w:val="16"/>
              </w:rPr>
              <w:t>29.7%</w:t>
            </w:r>
          </w:p>
        </w:tc>
      </w:tr>
      <w:tr w:rsidR="00617FC9" w:rsidRPr="007B2205" w14:paraId="5EDE3571" w14:textId="77777777" w:rsidTr="006961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hideMark/>
          </w:tcPr>
          <w:p w14:paraId="3E37C48F" w14:textId="77777777" w:rsidR="00617FC9" w:rsidRPr="007B2205" w:rsidRDefault="00617FC9" w:rsidP="00696175">
            <w:pPr>
              <w:rPr>
                <w:rFonts w:eastAsia="Avenir Nxt2 W1G"/>
                <w:sz w:val="20"/>
                <w:szCs w:val="16"/>
              </w:rPr>
            </w:pPr>
            <w:r w:rsidRPr="007B2205">
              <w:rPr>
                <w:rFonts w:eastAsia="Avenir Nxt2 W1G"/>
                <w:sz w:val="20"/>
                <w:szCs w:val="16"/>
              </w:rPr>
              <w:t>Enabling Environment</w:t>
            </w:r>
            <w:r w:rsidRPr="007B2205">
              <w:rPr>
                <w:sz w:val="20"/>
                <w:szCs w:val="16"/>
              </w:rPr>
              <w:t> </w:t>
            </w:r>
            <w:r w:rsidRPr="007B2205">
              <w:rPr>
                <w:rFonts w:eastAsia="Avenir Nxt2 W1G"/>
                <w:sz w:val="20"/>
                <w:szCs w:val="16"/>
              </w:rPr>
              <w:t> </w:t>
            </w:r>
          </w:p>
        </w:tc>
        <w:tc>
          <w:tcPr>
            <w:tcW w:w="915" w:type="dxa"/>
            <w:hideMark/>
          </w:tcPr>
          <w:p w14:paraId="7C7C6BD3"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22.2%</w:t>
            </w:r>
          </w:p>
        </w:tc>
        <w:tc>
          <w:tcPr>
            <w:tcW w:w="915" w:type="dxa"/>
            <w:hideMark/>
          </w:tcPr>
          <w:p w14:paraId="4C41819A"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31.2%</w:t>
            </w:r>
          </w:p>
        </w:tc>
        <w:tc>
          <w:tcPr>
            <w:tcW w:w="915" w:type="dxa"/>
            <w:hideMark/>
          </w:tcPr>
          <w:p w14:paraId="0815C5D8"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32.3%</w:t>
            </w:r>
          </w:p>
        </w:tc>
        <w:tc>
          <w:tcPr>
            <w:tcW w:w="915" w:type="dxa"/>
            <w:hideMark/>
          </w:tcPr>
          <w:p w14:paraId="46539B3A"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32.7%</w:t>
            </w:r>
          </w:p>
        </w:tc>
        <w:tc>
          <w:tcPr>
            <w:tcW w:w="915" w:type="dxa"/>
            <w:hideMark/>
          </w:tcPr>
          <w:p w14:paraId="1076DCE9"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31.3%</w:t>
            </w:r>
          </w:p>
        </w:tc>
        <w:tc>
          <w:tcPr>
            <w:tcW w:w="915" w:type="dxa"/>
            <w:hideMark/>
          </w:tcPr>
          <w:p w14:paraId="3B058C25" w14:textId="77777777" w:rsidR="00617FC9" w:rsidRPr="007B2205" w:rsidRDefault="00617FC9" w:rsidP="00696175">
            <w:pPr>
              <w:cnfStyle w:val="000000100000" w:firstRow="0" w:lastRow="0" w:firstColumn="0" w:lastColumn="0" w:oddVBand="0" w:evenVBand="0" w:oddHBand="1" w:evenHBand="0" w:firstRowFirstColumn="0" w:firstRowLastColumn="0" w:lastRowFirstColumn="0" w:lastRowLastColumn="0"/>
              <w:rPr>
                <w:rFonts w:eastAsia="Avenir Nxt2 W1G"/>
                <w:sz w:val="20"/>
                <w:szCs w:val="16"/>
              </w:rPr>
            </w:pPr>
            <w:r w:rsidRPr="007B2205">
              <w:rPr>
                <w:rFonts w:eastAsia="Avenir Nxt2 W1G"/>
                <w:sz w:val="20"/>
                <w:szCs w:val="16"/>
              </w:rPr>
              <w:t>34.3%</w:t>
            </w:r>
          </w:p>
        </w:tc>
      </w:tr>
    </w:tbl>
    <w:p w14:paraId="0DB50D44" w14:textId="77777777" w:rsidR="00617FC9" w:rsidRPr="00986D12" w:rsidRDefault="00617FC9" w:rsidP="00617FC9">
      <w:pPr>
        <w:pStyle w:val="Notes"/>
        <w:rPr>
          <w:rFonts w:asciiTheme="minorHAnsi" w:eastAsia="Avenir Nxt2 W1G" w:hAnsiTheme="minorHAnsi" w:cstheme="minorHAnsi"/>
        </w:rPr>
      </w:pPr>
      <w:r w:rsidRPr="00986D12">
        <w:rPr>
          <w:rFonts w:asciiTheme="minorHAnsi" w:eastAsia="Avenir Nxt2 W1G" w:hAnsiTheme="minorHAnsi" w:cstheme="minorHAnsi"/>
        </w:rPr>
        <w:t xml:space="preserve">Source: ITU-T, ITU-R ITU-D draft operational plans for 2026-2029 and 2024 performance report (Documents </w:t>
      </w:r>
      <w:hyperlink r:id="rId53" w:history="1">
        <w:r w:rsidRPr="00986D12">
          <w:rPr>
            <w:rStyle w:val="Hyperlink"/>
            <w:rFonts w:asciiTheme="minorHAnsi" w:eastAsia="Avenir Nxt2 W1G" w:hAnsiTheme="minorHAnsi" w:cstheme="minorHAnsi"/>
          </w:rPr>
          <w:t>TSAG-TD137</w:t>
        </w:r>
      </w:hyperlink>
      <w:r w:rsidRPr="00986D12">
        <w:rPr>
          <w:rFonts w:asciiTheme="minorHAnsi" w:eastAsia="Avenir Nxt2 W1G" w:hAnsiTheme="minorHAnsi" w:cstheme="minorHAnsi"/>
        </w:rPr>
        <w:t xml:space="preserve">, </w:t>
      </w:r>
      <w:hyperlink r:id="rId54" w:history="1">
        <w:r w:rsidRPr="00986D12">
          <w:rPr>
            <w:rStyle w:val="Hyperlink"/>
            <w:rFonts w:asciiTheme="minorHAnsi" w:eastAsia="Avenir Nxt2 W1G" w:hAnsiTheme="minorHAnsi" w:cstheme="minorHAnsi"/>
          </w:rPr>
          <w:t>RAG/37</w:t>
        </w:r>
      </w:hyperlink>
      <w:r w:rsidRPr="00986D12">
        <w:rPr>
          <w:rFonts w:asciiTheme="minorHAnsi" w:eastAsia="Avenir Nxt2 W1G" w:hAnsiTheme="minorHAnsi" w:cstheme="minorHAnsi"/>
        </w:rPr>
        <w:t xml:space="preserve">, </w:t>
      </w:r>
      <w:hyperlink r:id="rId55" w:tgtFrame="_blank" w:history="1">
        <w:r w:rsidRPr="00986D12">
          <w:rPr>
            <w:rStyle w:val="Hyperlink"/>
            <w:rFonts w:asciiTheme="minorHAnsi" w:eastAsia="Avenir Nxt2 W1G" w:hAnsiTheme="minorHAnsi" w:cstheme="minorHAnsi"/>
          </w:rPr>
          <w:t>TDAG-25/40</w:t>
        </w:r>
      </w:hyperlink>
      <w:r w:rsidRPr="00986D12">
        <w:rPr>
          <w:rFonts w:asciiTheme="minorHAnsi" w:eastAsia="Avenir Nxt2 W1G" w:hAnsiTheme="minorHAnsi" w:cstheme="minorHAnsi"/>
        </w:rPr>
        <w:t>) and regional staff data extracted from the BDT time survey 2025.</w:t>
      </w:r>
    </w:p>
    <w:p w14:paraId="75CA9BAD" w14:textId="45FCE3E3" w:rsidR="00617FC9" w:rsidRPr="0046236F" w:rsidRDefault="00617FC9" w:rsidP="00617FC9">
      <w:pPr>
        <w:pStyle w:val="Subtitle0"/>
        <w:rPr>
          <w:rFonts w:asciiTheme="minorHAnsi" w:hAnsiTheme="minorHAnsi" w:cstheme="minorHAnsi"/>
          <w:sz w:val="24"/>
          <w:szCs w:val="24"/>
        </w:rPr>
      </w:pPr>
      <w:r w:rsidRPr="0046236F">
        <w:rPr>
          <w:rFonts w:asciiTheme="minorHAnsi" w:eastAsia="Avenir Nxt2 W1G" w:hAnsiTheme="minorHAnsi" w:cstheme="minorHAnsi"/>
          <w:sz w:val="24"/>
          <w:szCs w:val="24"/>
        </w:rPr>
        <w:t>Conclusion</w:t>
      </w:r>
    </w:p>
    <w:p w14:paraId="78C341F7"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szCs w:val="24"/>
        </w:rPr>
        <w:t xml:space="preserve">Evidence indicates that </w:t>
      </w:r>
      <w:r w:rsidRPr="0046236F">
        <w:rPr>
          <w:rFonts w:asciiTheme="minorHAnsi" w:hAnsiTheme="minorHAnsi" w:cstheme="minorHAnsi"/>
          <w:szCs w:val="24"/>
        </w:rPr>
        <w:t>staff work/performance plans are anchored in the Strategic Plan and Kigali Action Plan through standardized templates, supervisory verification and performance assessment criteria. The alignment framework supports coherence, accountability and institutional consistency across the regional presence.</w:t>
      </w:r>
    </w:p>
    <w:p w14:paraId="75C6A653" w14:textId="77777777" w:rsidR="00617FC9" w:rsidRPr="0046236F" w:rsidRDefault="00617FC9" w:rsidP="005D7BA7">
      <w:pPr>
        <w:keepNext/>
        <w:jc w:val="both"/>
        <w:rPr>
          <w:rFonts w:asciiTheme="minorHAnsi" w:hAnsiTheme="minorHAnsi" w:cstheme="minorHAnsi"/>
          <w:szCs w:val="24"/>
        </w:rPr>
      </w:pPr>
      <w:r w:rsidRPr="0046236F">
        <w:rPr>
          <w:rFonts w:asciiTheme="minorHAnsi" w:hAnsiTheme="minorHAnsi" w:cstheme="minorHAnsi"/>
          <w:szCs w:val="24"/>
        </w:rPr>
        <w:t>To better capture the contribution of ITU staff time and effort towards planned Outputs, in alignment with Result Based Management, the following may be considered:</w:t>
      </w:r>
    </w:p>
    <w:p w14:paraId="60E7B942" w14:textId="77777777" w:rsidR="00617FC9" w:rsidRPr="0046236F" w:rsidRDefault="00617FC9" w:rsidP="00617FC9">
      <w:pPr>
        <w:pStyle w:val="Bulletlist"/>
        <w:jc w:val="both"/>
        <w:rPr>
          <w:rFonts w:asciiTheme="minorHAnsi" w:eastAsia="Times New Roman" w:hAnsiTheme="minorHAnsi" w:cstheme="minorHAnsi"/>
          <w:sz w:val="24"/>
          <w:szCs w:val="24"/>
          <w:lang w:eastAsia="en-US"/>
        </w:rPr>
      </w:pPr>
      <w:r w:rsidRPr="0046236F">
        <w:rPr>
          <w:rFonts w:asciiTheme="minorHAnsi" w:eastAsia="Times New Roman" w:hAnsiTheme="minorHAnsi" w:cstheme="minorHAnsi"/>
          <w:sz w:val="24"/>
          <w:szCs w:val="24"/>
          <w:lang w:eastAsia="en-US"/>
        </w:rPr>
        <w:t>integrating the yearly time surveys component into the individual workplans as reflected in ITU’s electronic Performance Management and Development System (e-PMDS).</w:t>
      </w:r>
    </w:p>
    <w:p w14:paraId="34BB039A" w14:textId="77777777" w:rsidR="00617FC9" w:rsidRPr="0046236F" w:rsidRDefault="00617FC9" w:rsidP="00617FC9">
      <w:pPr>
        <w:pStyle w:val="Bulletlist"/>
        <w:jc w:val="both"/>
        <w:rPr>
          <w:rFonts w:asciiTheme="minorHAnsi" w:eastAsia="Times New Roman" w:hAnsiTheme="minorHAnsi" w:cstheme="minorHAnsi"/>
          <w:sz w:val="24"/>
          <w:szCs w:val="24"/>
          <w:lang w:eastAsia="en-US"/>
        </w:rPr>
      </w:pPr>
      <w:r w:rsidRPr="0046236F">
        <w:rPr>
          <w:rFonts w:asciiTheme="minorHAnsi" w:eastAsia="Times New Roman" w:hAnsiTheme="minorHAnsi" w:cstheme="minorHAnsi"/>
          <w:sz w:val="24"/>
          <w:szCs w:val="24"/>
          <w:lang w:eastAsia="en-US"/>
        </w:rPr>
        <w:t>ensuring that the ITU outputs as defined in the draft four-year rolling operation plan align with future sector action plans.</w:t>
      </w:r>
    </w:p>
    <w:p w14:paraId="0585F0A2"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Data Sources</w:t>
      </w:r>
    </w:p>
    <w:p w14:paraId="7E6D277A" w14:textId="77777777" w:rsidR="00617FC9" w:rsidRPr="00092349" w:rsidRDefault="00617FC9" w:rsidP="00092349">
      <w:pPr>
        <w:pStyle w:val="ListParagraph"/>
        <w:spacing w:before="60" w:after="60"/>
        <w:contextualSpacing w:val="0"/>
        <w:rPr>
          <w:rFonts w:asciiTheme="minorHAnsi" w:hAnsiTheme="minorHAnsi" w:cstheme="minorHAnsi"/>
          <w:sz w:val="24"/>
          <w:szCs w:val="24"/>
        </w:rPr>
      </w:pPr>
      <w:r w:rsidRPr="00092349">
        <w:rPr>
          <w:rFonts w:asciiTheme="minorHAnsi" w:hAnsiTheme="minorHAnsi" w:cstheme="minorHAnsi"/>
          <w:sz w:val="24"/>
          <w:szCs w:val="24"/>
        </w:rPr>
        <w:t xml:space="preserve">Annual Report on the implementation of the strategic plan and the activities of the Union 2024, Council Document </w:t>
      </w:r>
      <w:hyperlink r:id="rId56" w:history="1">
        <w:r w:rsidRPr="00092349">
          <w:rPr>
            <w:rStyle w:val="Hyperlink"/>
            <w:rFonts w:asciiTheme="minorHAnsi" w:hAnsiTheme="minorHAnsi" w:cstheme="minorHAnsi"/>
            <w:sz w:val="24"/>
            <w:szCs w:val="24"/>
          </w:rPr>
          <w:t>C25/35</w:t>
        </w:r>
      </w:hyperlink>
    </w:p>
    <w:p w14:paraId="3C906F1A" w14:textId="77777777" w:rsidR="00617FC9" w:rsidRPr="00092349" w:rsidRDefault="00617FC9" w:rsidP="00092349">
      <w:pPr>
        <w:pStyle w:val="ListParagraph"/>
        <w:spacing w:before="60" w:after="60"/>
        <w:contextualSpacing w:val="0"/>
        <w:rPr>
          <w:rFonts w:asciiTheme="minorHAnsi" w:hAnsiTheme="minorHAnsi" w:cstheme="minorHAnsi"/>
          <w:sz w:val="24"/>
          <w:szCs w:val="24"/>
        </w:rPr>
      </w:pPr>
      <w:r w:rsidRPr="00092349">
        <w:rPr>
          <w:rFonts w:asciiTheme="minorHAnsi" w:hAnsiTheme="minorHAnsi" w:cstheme="minorHAnsi"/>
          <w:sz w:val="24"/>
          <w:szCs w:val="24"/>
        </w:rPr>
        <w:t xml:space="preserve">Initial draft performance indicators for strategic plan 2028-2031, Council Working Group 2025 Document </w:t>
      </w:r>
      <w:hyperlink r:id="rId57" w:history="1">
        <w:r w:rsidRPr="00092349">
          <w:rPr>
            <w:rStyle w:val="Hyperlink"/>
            <w:rFonts w:asciiTheme="minorHAnsi" w:hAnsiTheme="minorHAnsi" w:cstheme="minorHAnsi"/>
            <w:sz w:val="24"/>
            <w:szCs w:val="24"/>
          </w:rPr>
          <w:t>CWG-SFP-3/7</w:t>
        </w:r>
      </w:hyperlink>
    </w:p>
    <w:p w14:paraId="0C0314FC" w14:textId="77777777" w:rsidR="00617FC9" w:rsidRPr="00092349" w:rsidRDefault="00617FC9" w:rsidP="00092349">
      <w:pPr>
        <w:pStyle w:val="ListParagraph"/>
        <w:spacing w:before="60" w:after="60"/>
        <w:contextualSpacing w:val="0"/>
        <w:rPr>
          <w:rFonts w:asciiTheme="minorHAnsi" w:hAnsiTheme="minorHAnsi" w:cstheme="minorHAnsi"/>
          <w:sz w:val="24"/>
          <w:szCs w:val="24"/>
        </w:rPr>
      </w:pPr>
      <w:r w:rsidRPr="00092349">
        <w:rPr>
          <w:rFonts w:asciiTheme="minorHAnsi" w:hAnsiTheme="minorHAnsi" w:cstheme="minorHAnsi"/>
          <w:sz w:val="24"/>
          <w:szCs w:val="24"/>
        </w:rPr>
        <w:t xml:space="preserve">Linking ITU strategic, financial and operational plans, Council Working Group 2025 Document </w:t>
      </w:r>
      <w:hyperlink r:id="rId58" w:history="1">
        <w:r w:rsidRPr="00092349">
          <w:rPr>
            <w:rStyle w:val="Hyperlink"/>
            <w:rFonts w:asciiTheme="minorHAnsi" w:hAnsiTheme="minorHAnsi" w:cstheme="minorHAnsi"/>
            <w:sz w:val="24"/>
            <w:szCs w:val="24"/>
          </w:rPr>
          <w:t>CWG-SFP-3/6</w:t>
        </w:r>
      </w:hyperlink>
    </w:p>
    <w:p w14:paraId="6D48C788" w14:textId="77777777" w:rsidR="00617FC9" w:rsidRPr="00092349" w:rsidRDefault="00617FC9" w:rsidP="00092349">
      <w:pPr>
        <w:pStyle w:val="ListParagraph"/>
        <w:spacing w:before="60" w:after="60"/>
        <w:contextualSpacing w:val="0"/>
        <w:rPr>
          <w:rFonts w:asciiTheme="minorHAnsi" w:hAnsiTheme="minorHAnsi" w:cstheme="minorHAnsi"/>
          <w:sz w:val="24"/>
          <w:szCs w:val="24"/>
        </w:rPr>
      </w:pPr>
      <w:r w:rsidRPr="00092349">
        <w:rPr>
          <w:rFonts w:asciiTheme="minorHAnsi" w:hAnsiTheme="minorHAnsi" w:cstheme="minorHAnsi"/>
          <w:sz w:val="24"/>
          <w:szCs w:val="24"/>
        </w:rPr>
        <w:t xml:space="preserve">ITU-R draft operational plan for 2026-2029 and 2024 performance report RAG 2025 Document </w:t>
      </w:r>
      <w:hyperlink r:id="rId59" w:history="1">
        <w:r w:rsidRPr="00092349">
          <w:rPr>
            <w:rStyle w:val="Hyperlink"/>
            <w:rFonts w:asciiTheme="minorHAnsi" w:hAnsiTheme="minorHAnsi" w:cstheme="minorHAnsi"/>
            <w:sz w:val="24"/>
            <w:szCs w:val="24"/>
          </w:rPr>
          <w:t>RAG/37</w:t>
        </w:r>
      </w:hyperlink>
    </w:p>
    <w:p w14:paraId="1C1BB142" w14:textId="77777777" w:rsidR="00617FC9" w:rsidRPr="00092349" w:rsidRDefault="00617FC9" w:rsidP="00092349">
      <w:pPr>
        <w:pStyle w:val="ListParagraph"/>
        <w:spacing w:before="60" w:after="60"/>
        <w:contextualSpacing w:val="0"/>
        <w:rPr>
          <w:rFonts w:asciiTheme="minorHAnsi" w:hAnsiTheme="minorHAnsi" w:cstheme="minorHAnsi"/>
          <w:sz w:val="24"/>
          <w:szCs w:val="24"/>
        </w:rPr>
      </w:pPr>
      <w:r w:rsidRPr="00092349">
        <w:rPr>
          <w:rFonts w:asciiTheme="minorHAnsi" w:hAnsiTheme="minorHAnsi" w:cstheme="minorHAnsi"/>
          <w:sz w:val="24"/>
          <w:szCs w:val="24"/>
        </w:rPr>
        <w:t xml:space="preserve">ITU-T draft operational plan for 2026-2029 and 2024 performance report TSAG 2025 Document </w:t>
      </w:r>
      <w:hyperlink r:id="rId60" w:history="1">
        <w:r w:rsidRPr="00092349">
          <w:rPr>
            <w:rStyle w:val="Hyperlink"/>
            <w:rFonts w:asciiTheme="minorHAnsi" w:hAnsiTheme="minorHAnsi" w:cstheme="minorHAnsi"/>
            <w:sz w:val="24"/>
            <w:szCs w:val="24"/>
          </w:rPr>
          <w:t>TSAG-TD137</w:t>
        </w:r>
      </w:hyperlink>
    </w:p>
    <w:p w14:paraId="6D6BE666" w14:textId="77777777" w:rsidR="00617FC9" w:rsidRPr="00092349" w:rsidRDefault="00617FC9" w:rsidP="00092349">
      <w:pPr>
        <w:pStyle w:val="ListParagraph"/>
        <w:spacing w:before="60" w:after="60"/>
        <w:contextualSpacing w:val="0"/>
        <w:rPr>
          <w:rFonts w:asciiTheme="minorHAnsi" w:hAnsiTheme="minorHAnsi" w:cstheme="minorHAnsi"/>
          <w:sz w:val="24"/>
          <w:szCs w:val="24"/>
        </w:rPr>
      </w:pPr>
      <w:r w:rsidRPr="00092349">
        <w:rPr>
          <w:rFonts w:asciiTheme="minorHAnsi" w:hAnsiTheme="minorHAnsi" w:cstheme="minorHAnsi"/>
          <w:sz w:val="24"/>
          <w:szCs w:val="24"/>
        </w:rPr>
        <w:t xml:space="preserve">ITU-D draft operational plan for 2026-2029 and 2024 performance report TDAG 2025 Document </w:t>
      </w:r>
      <w:hyperlink r:id="rId61" w:history="1">
        <w:r w:rsidRPr="00092349">
          <w:rPr>
            <w:rStyle w:val="Hyperlink"/>
            <w:rFonts w:asciiTheme="minorHAnsi" w:hAnsiTheme="minorHAnsi" w:cstheme="minorHAnsi"/>
            <w:sz w:val="24"/>
            <w:szCs w:val="24"/>
          </w:rPr>
          <w:t>TDAG-25/40</w:t>
        </w:r>
      </w:hyperlink>
    </w:p>
    <w:p w14:paraId="5F72C473" w14:textId="77777777" w:rsidR="00617FC9" w:rsidRPr="00092349" w:rsidRDefault="00617FC9" w:rsidP="00092349">
      <w:pPr>
        <w:pStyle w:val="ListParagraph"/>
        <w:spacing w:before="60" w:after="60"/>
        <w:contextualSpacing w:val="0"/>
        <w:rPr>
          <w:rFonts w:asciiTheme="minorHAnsi" w:hAnsiTheme="minorHAnsi" w:cstheme="minorHAnsi"/>
          <w:sz w:val="24"/>
          <w:szCs w:val="24"/>
        </w:rPr>
      </w:pPr>
      <w:r w:rsidRPr="00092349">
        <w:rPr>
          <w:rFonts w:asciiTheme="minorHAnsi" w:hAnsiTheme="minorHAnsi" w:cstheme="minorHAnsi"/>
          <w:sz w:val="24"/>
          <w:szCs w:val="24"/>
        </w:rPr>
        <w:t>BDT Time survey 2025 (internal)</w:t>
      </w:r>
    </w:p>
    <w:p w14:paraId="50E7511C" w14:textId="77777777" w:rsidR="00617FC9" w:rsidRPr="00092349" w:rsidRDefault="00617FC9" w:rsidP="00092349">
      <w:pPr>
        <w:pStyle w:val="ListParagraph"/>
        <w:spacing w:before="60" w:after="60"/>
        <w:contextualSpacing w:val="0"/>
        <w:rPr>
          <w:rFonts w:asciiTheme="minorHAnsi" w:hAnsiTheme="minorHAnsi" w:cstheme="minorHAnsi"/>
          <w:sz w:val="24"/>
          <w:szCs w:val="24"/>
        </w:rPr>
      </w:pPr>
      <w:hyperlink r:id="rId62" w:history="1">
        <w:r w:rsidRPr="00092349">
          <w:rPr>
            <w:rStyle w:val="Hyperlink"/>
            <w:rFonts w:asciiTheme="minorHAnsi" w:hAnsiTheme="minorHAnsi" w:cstheme="minorHAnsi"/>
            <w:sz w:val="24"/>
            <w:szCs w:val="24"/>
          </w:rPr>
          <w:t>Draft four year rolling operational plan for the Union for 2024-2027</w:t>
        </w:r>
      </w:hyperlink>
    </w:p>
    <w:p w14:paraId="551F7723" w14:textId="77777777" w:rsidR="00617FC9" w:rsidRPr="00092349" w:rsidRDefault="00617FC9" w:rsidP="00092349">
      <w:pPr>
        <w:pStyle w:val="ListParagraph"/>
        <w:spacing w:before="60" w:after="60"/>
        <w:contextualSpacing w:val="0"/>
        <w:rPr>
          <w:rFonts w:asciiTheme="minorHAnsi" w:hAnsiTheme="minorHAnsi" w:cstheme="minorHAnsi"/>
          <w:sz w:val="24"/>
          <w:szCs w:val="24"/>
        </w:rPr>
      </w:pPr>
      <w:r w:rsidRPr="00092349">
        <w:rPr>
          <w:rFonts w:asciiTheme="minorHAnsi" w:hAnsiTheme="minorHAnsi" w:cstheme="minorHAnsi"/>
          <w:sz w:val="24"/>
          <w:szCs w:val="24"/>
        </w:rPr>
        <w:t xml:space="preserve">Liaison statement from the Council Working Group on financial and human resources to Sector Advisory Groups and the Inter-Sector Coordination Group – Strengthening Sector Membership engagement and revenues, Document </w:t>
      </w:r>
      <w:hyperlink r:id="rId63" w:history="1">
        <w:r w:rsidRPr="00092349">
          <w:rPr>
            <w:rStyle w:val="Hyperlink"/>
            <w:rFonts w:asciiTheme="minorHAnsi" w:hAnsiTheme="minorHAnsi" w:cstheme="minorHAnsi"/>
            <w:sz w:val="24"/>
            <w:szCs w:val="24"/>
          </w:rPr>
          <w:t>TDAG-25/37</w:t>
        </w:r>
      </w:hyperlink>
    </w:p>
    <w:p w14:paraId="332A5CFF" w14:textId="77777777" w:rsidR="00617FC9" w:rsidRPr="00092349" w:rsidRDefault="00617FC9" w:rsidP="00092349">
      <w:pPr>
        <w:pStyle w:val="ListParagraph"/>
        <w:spacing w:before="60" w:after="60"/>
        <w:contextualSpacing w:val="0"/>
        <w:rPr>
          <w:rFonts w:asciiTheme="minorHAnsi" w:hAnsiTheme="minorHAnsi" w:cstheme="minorHAnsi"/>
          <w:sz w:val="24"/>
          <w:szCs w:val="24"/>
        </w:rPr>
      </w:pPr>
      <w:r w:rsidRPr="00092349">
        <w:rPr>
          <w:rFonts w:asciiTheme="minorHAnsi" w:hAnsiTheme="minorHAnsi" w:cstheme="minorHAnsi"/>
          <w:sz w:val="24"/>
          <w:szCs w:val="24"/>
        </w:rPr>
        <w:lastRenderedPageBreak/>
        <w:t xml:space="preserve">Report on the implementation of the Kigali Action Plan (KAP), WTDC-25 Document </w:t>
      </w:r>
      <w:hyperlink r:id="rId64" w:history="1">
        <w:r w:rsidRPr="00092349">
          <w:rPr>
            <w:rStyle w:val="Hyperlink"/>
            <w:rFonts w:asciiTheme="minorHAnsi" w:hAnsiTheme="minorHAnsi" w:cstheme="minorHAnsi"/>
            <w:sz w:val="24"/>
            <w:szCs w:val="24"/>
          </w:rPr>
          <w:t>WTDC-25/2</w:t>
        </w:r>
      </w:hyperlink>
    </w:p>
    <w:p w14:paraId="7B3E6FF6" w14:textId="77777777" w:rsidR="00617FC9" w:rsidRPr="00092349" w:rsidRDefault="00617FC9" w:rsidP="00092349">
      <w:pPr>
        <w:pStyle w:val="ListParagraph"/>
        <w:spacing w:before="60" w:after="60"/>
        <w:contextualSpacing w:val="0"/>
        <w:rPr>
          <w:rFonts w:asciiTheme="minorHAnsi" w:hAnsiTheme="minorHAnsi" w:cstheme="minorHAnsi"/>
          <w:sz w:val="24"/>
          <w:szCs w:val="24"/>
        </w:rPr>
      </w:pPr>
      <w:r w:rsidRPr="00092349">
        <w:rPr>
          <w:rFonts w:asciiTheme="minorHAnsi" w:hAnsiTheme="minorHAnsi" w:cstheme="minorHAnsi"/>
          <w:sz w:val="24"/>
          <w:szCs w:val="24"/>
        </w:rPr>
        <w:t xml:space="preserve">Progress report on the implementation of the human resources transformation plan and of Resolution 48 (Rev. Bucharest, 2022), Council Document </w:t>
      </w:r>
      <w:hyperlink r:id="rId65" w:history="1">
        <w:r w:rsidRPr="00092349">
          <w:rPr>
            <w:rStyle w:val="Hyperlink"/>
            <w:rFonts w:asciiTheme="minorHAnsi" w:hAnsiTheme="minorHAnsi" w:cstheme="minorHAnsi"/>
            <w:sz w:val="24"/>
            <w:szCs w:val="24"/>
          </w:rPr>
          <w:t>C25/66</w:t>
        </w:r>
      </w:hyperlink>
    </w:p>
    <w:p w14:paraId="255A1B97" w14:textId="77777777" w:rsidR="00617FC9" w:rsidRPr="0046236F" w:rsidRDefault="00617FC9" w:rsidP="00092349">
      <w:pPr>
        <w:pStyle w:val="ListParagraph"/>
        <w:spacing w:before="60" w:after="60"/>
        <w:contextualSpacing w:val="0"/>
        <w:rPr>
          <w:rFonts w:asciiTheme="minorHAnsi" w:hAnsiTheme="minorHAnsi" w:cstheme="minorHAnsi"/>
          <w:color w:val="000000" w:themeColor="text1"/>
          <w:sz w:val="24"/>
          <w:szCs w:val="24"/>
        </w:rPr>
      </w:pPr>
      <w:r w:rsidRPr="00092349">
        <w:rPr>
          <w:rFonts w:asciiTheme="minorHAnsi" w:hAnsiTheme="minorHAnsi" w:cstheme="minorHAnsi"/>
          <w:sz w:val="24"/>
          <w:szCs w:val="24"/>
        </w:rPr>
        <w:t>Report</w:t>
      </w:r>
      <w:r w:rsidRPr="00092349">
        <w:rPr>
          <w:rFonts w:asciiTheme="minorHAnsi" w:hAnsiTheme="minorHAnsi" w:cstheme="minorHAnsi"/>
          <w:color w:val="000000" w:themeColor="text1"/>
          <w:sz w:val="24"/>
          <w:szCs w:val="24"/>
        </w:rPr>
        <w:t xml:space="preserve"> on implementation and current text of PP Resolutions </w:t>
      </w:r>
      <w:hyperlink r:id="rId66">
        <w:r w:rsidRPr="00092349">
          <w:rPr>
            <w:rStyle w:val="Hyperlink"/>
            <w:rFonts w:asciiTheme="minorHAnsi" w:eastAsia="Avenir Nxt2 W1G" w:hAnsiTheme="minorHAnsi" w:cstheme="minorHAnsi"/>
            <w:sz w:val="24"/>
            <w:szCs w:val="24"/>
          </w:rPr>
          <w:t>https://www.itu.int/net4/Search/CL25/Main/Reader</w:t>
        </w:r>
      </w:hyperlink>
    </w:p>
    <w:p w14:paraId="0CE14700" w14:textId="77777777" w:rsidR="00617FC9" w:rsidRPr="0046236F" w:rsidRDefault="00617FC9" w:rsidP="00617FC9">
      <w:pPr>
        <w:pStyle w:val="KPItitle"/>
        <w:jc w:val="both"/>
        <w:rPr>
          <w:rFonts w:asciiTheme="minorHAnsi" w:hAnsiTheme="minorHAnsi" w:cstheme="minorHAnsi"/>
          <w:sz w:val="24"/>
          <w:szCs w:val="24"/>
        </w:rPr>
      </w:pPr>
      <w:bookmarkStart w:id="106" w:name="_Toc224213047"/>
      <w:bookmarkStart w:id="107" w:name="_Toc224236478"/>
      <w:r w:rsidRPr="0046236F">
        <w:rPr>
          <w:rFonts w:asciiTheme="minorHAnsi" w:hAnsiTheme="minorHAnsi" w:cstheme="minorHAnsi"/>
          <w:sz w:val="24"/>
          <w:szCs w:val="24"/>
        </w:rPr>
        <w:t>KPI 3 — The average time taken for Regional and Area Office staff to complete Member State requests for assistance</w:t>
      </w:r>
      <w:bookmarkEnd w:id="106"/>
      <w:bookmarkEnd w:id="107"/>
    </w:p>
    <w:p w14:paraId="396D87FE"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 xml:space="preserve">KPI 3 provides insight into the responsiveness and operational efficiency of the ITU Regional and Area Offices in delivering technical assistance, policy support, and capacity-building activities to ITU Member States. The analysis conducted indicates that the average response time to requests from Member States varies significantly depending on the nature of the request, as well as on the availability of funds to cover the request for assistance. While no single defined average time is listed across all ITU Regional and Area offices, the requests are frequently acknowledged and managed within a daily, weekly, and monthly timeframe depending on urgency. </w:t>
      </w:r>
    </w:p>
    <w:p w14:paraId="3A06EF92"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 xml:space="preserve">Regional and Area Offices normally provide initial acknowledgement within days, but substantive responses may take several weeks or months to ensure that the response is comprehensive and accurate, reflecting the request from a Member State. Some Member State requests which are received at ITU Headquarters are submitted to Regional Offices and responded to accordingly. </w:t>
      </w:r>
    </w:p>
    <w:p w14:paraId="372174C7"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 xml:space="preserve">Based on the sample provided for Q1 2024, there is no single, specific average time established for Regional and Area office staff to complete all types of Member State requests for assistance. However, upon receiving requests, all offices send acknowledgement within 24 hours. The request for assistance received in Q1 2024 shows that, on average across the regions, more than 12 requests for capacity building on cybersecurity, AI, and Satellite, Policy and Regulatory framework were received, where acknowledgements were sent within 24 hours; and time taken to completion ranged between 1-3 Months. </w:t>
      </w:r>
    </w:p>
    <w:p w14:paraId="1989CDBD"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On the other hand, in CIS regions, all requests from the Member States were received in Q3 2023 during the consultation process and were incorporated as part of the Operational Plan for 2024 (OP-24), which was implemented starting from Q1 2024. The table (in supplementary information below) summarizes a sample of requests received and time taken to complete the implementation. An analysis of this information is presented below.</w:t>
      </w:r>
    </w:p>
    <w:p w14:paraId="56A67E29"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Analysis</w:t>
      </w:r>
    </w:p>
    <w:p w14:paraId="4C42D511"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Acknowledgement of Requests</w:t>
      </w:r>
    </w:p>
    <w:p w14:paraId="3AF4D5C7"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 xml:space="preserve">Across </w:t>
      </w:r>
      <w:r w:rsidRPr="0046236F">
        <w:rPr>
          <w:rFonts w:asciiTheme="minorHAnsi" w:hAnsiTheme="minorHAnsi" w:cstheme="minorHAnsi"/>
          <w:szCs w:val="24"/>
        </w:rPr>
        <w:t>most regions, requests from Member States are acknowledged typically within 24 to 48 hours, d</w:t>
      </w:r>
      <w:r w:rsidRPr="0046236F">
        <w:rPr>
          <w:rFonts w:asciiTheme="minorHAnsi" w:eastAsia="Avenir Nxt2 W1G" w:hAnsiTheme="minorHAnsi" w:cstheme="minorHAnsi"/>
          <w:color w:val="000000" w:themeColor="text1"/>
          <w:szCs w:val="24"/>
        </w:rPr>
        <w:t>emonstrating a strong initial responsiveness. For example:</w:t>
      </w:r>
    </w:p>
    <w:p w14:paraId="5DB9FCA5" w14:textId="77777777" w:rsidR="00617FC9" w:rsidRPr="0046236F" w:rsidRDefault="00617FC9" w:rsidP="00617FC9">
      <w:pPr>
        <w:pStyle w:val="Bulletlist"/>
        <w:jc w:val="both"/>
        <w:rPr>
          <w:rFonts w:asciiTheme="minorHAnsi" w:hAnsiTheme="minorHAnsi" w:cstheme="minorHAnsi"/>
          <w:sz w:val="24"/>
          <w:szCs w:val="24"/>
        </w:rPr>
      </w:pPr>
      <w:r w:rsidRPr="0046236F">
        <w:rPr>
          <w:rStyle w:val="eop"/>
          <w:rFonts w:asciiTheme="minorHAnsi" w:eastAsia="Avenir Nxt2 W1G" w:hAnsiTheme="minorHAnsi" w:cstheme="minorHAnsi"/>
          <w:color w:val="000000" w:themeColor="text1"/>
          <w:sz w:val="24"/>
          <w:szCs w:val="24"/>
        </w:rPr>
        <w:t>In the Africa region, several requests were acknowledged within 24 hours.</w:t>
      </w:r>
    </w:p>
    <w:p w14:paraId="431E3F7A" w14:textId="77777777" w:rsidR="00617FC9" w:rsidRPr="0046236F" w:rsidRDefault="00617FC9" w:rsidP="00617FC9">
      <w:pPr>
        <w:pStyle w:val="Bulletlist"/>
        <w:jc w:val="both"/>
        <w:rPr>
          <w:rFonts w:asciiTheme="minorHAnsi" w:hAnsiTheme="minorHAnsi" w:cstheme="minorHAnsi"/>
          <w:sz w:val="24"/>
          <w:szCs w:val="24"/>
        </w:rPr>
      </w:pPr>
      <w:r w:rsidRPr="0046236F">
        <w:rPr>
          <w:rStyle w:val="eop"/>
          <w:rFonts w:asciiTheme="minorHAnsi" w:eastAsia="Avenir Nxt2 W1G" w:hAnsiTheme="minorHAnsi" w:cstheme="minorHAnsi"/>
          <w:color w:val="000000" w:themeColor="text1"/>
          <w:sz w:val="24"/>
          <w:szCs w:val="24"/>
        </w:rPr>
        <w:t>In the Americas region acknowledgement for a request supporting a Joint Declaration was also sent within 24 hours.</w:t>
      </w:r>
    </w:p>
    <w:p w14:paraId="7A75F69F" w14:textId="77777777" w:rsidR="00617FC9" w:rsidRPr="0046236F" w:rsidRDefault="00617FC9" w:rsidP="00617FC9">
      <w:pPr>
        <w:pStyle w:val="Bulletlist"/>
        <w:jc w:val="both"/>
        <w:rPr>
          <w:rFonts w:asciiTheme="minorHAnsi" w:hAnsiTheme="minorHAnsi" w:cstheme="minorHAnsi"/>
          <w:sz w:val="24"/>
          <w:szCs w:val="24"/>
        </w:rPr>
      </w:pPr>
      <w:r w:rsidRPr="0046236F">
        <w:rPr>
          <w:rStyle w:val="eop"/>
          <w:rFonts w:asciiTheme="minorHAnsi" w:eastAsia="Avenir Nxt2 W1G" w:hAnsiTheme="minorHAnsi" w:cstheme="minorHAnsi"/>
          <w:color w:val="000000" w:themeColor="text1"/>
          <w:sz w:val="24"/>
          <w:szCs w:val="24"/>
        </w:rPr>
        <w:t>In the Arab region, most requests were acknowledged within 24–48 hours.</w:t>
      </w:r>
    </w:p>
    <w:p w14:paraId="1A8320A8"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lastRenderedPageBreak/>
        <w:t>Short-Term Assistance Requests</w:t>
      </w:r>
    </w:p>
    <w:p w14:paraId="3388A047"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Several requests were completed within days or weeks, typically when the assistance involved targeted technical support without financial implications or event-related activities. Examples include:</w:t>
      </w:r>
    </w:p>
    <w:p w14:paraId="1B799611" w14:textId="77777777" w:rsidR="00617FC9" w:rsidRPr="0046236F" w:rsidRDefault="00617FC9" w:rsidP="00BC7ABA">
      <w:pPr>
        <w:pStyle w:val="ListParagraph"/>
        <w:numPr>
          <w:ilvl w:val="0"/>
          <w:numId w:val="8"/>
        </w:numPr>
        <w:spacing w:before="60" w:after="60"/>
        <w:contextualSpacing w:val="0"/>
        <w:jc w:val="both"/>
        <w:rPr>
          <w:rFonts w:asciiTheme="minorHAnsi" w:hAnsiTheme="minorHAnsi" w:cstheme="minorHAnsi"/>
          <w:sz w:val="24"/>
          <w:szCs w:val="24"/>
        </w:rPr>
      </w:pPr>
      <w:r w:rsidRPr="0046236F">
        <w:rPr>
          <w:rStyle w:val="eop"/>
          <w:rFonts w:asciiTheme="minorHAnsi" w:eastAsia="Avenir Nxt2 W1G" w:hAnsiTheme="minorHAnsi" w:cstheme="minorHAnsi"/>
          <w:color w:val="000000" w:themeColor="text1"/>
          <w:sz w:val="24"/>
          <w:szCs w:val="24"/>
        </w:rPr>
        <w:t>Deployment support for 5G networks in the Africa region delivered within one week.</w:t>
      </w:r>
    </w:p>
    <w:p w14:paraId="227ECE96" w14:textId="77777777" w:rsidR="00617FC9" w:rsidRPr="0046236F" w:rsidRDefault="00617FC9" w:rsidP="00BC7ABA">
      <w:pPr>
        <w:pStyle w:val="ListParagraph"/>
        <w:numPr>
          <w:ilvl w:val="0"/>
          <w:numId w:val="7"/>
        </w:numPr>
        <w:spacing w:before="60" w:after="60"/>
        <w:contextualSpacing w:val="0"/>
        <w:jc w:val="both"/>
        <w:rPr>
          <w:rFonts w:asciiTheme="minorHAnsi" w:hAnsiTheme="minorHAnsi" w:cstheme="minorHAnsi"/>
          <w:sz w:val="24"/>
          <w:szCs w:val="24"/>
        </w:rPr>
      </w:pPr>
      <w:r w:rsidRPr="0046236F">
        <w:rPr>
          <w:rStyle w:val="eop"/>
          <w:rFonts w:asciiTheme="minorHAnsi" w:eastAsia="Avenir Nxt2 W1G" w:hAnsiTheme="minorHAnsi" w:cstheme="minorHAnsi"/>
          <w:color w:val="000000" w:themeColor="text1"/>
          <w:sz w:val="24"/>
          <w:szCs w:val="24"/>
        </w:rPr>
        <w:t>Emergency telecommunications and cybersecurity assistance in the Asia and the Pacific region, implemented in approximately 15 days.</w:t>
      </w:r>
    </w:p>
    <w:p w14:paraId="75C8241C"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Medium-Term Assistance (1–6 Months)</w:t>
      </w:r>
    </w:p>
    <w:p w14:paraId="1A1E3B4A"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Many requests fall within a medium-term implementation period of one to six months. This is particularly common for activities involving policy development, regulatory frameworks, or training programs. These activities may be aligned with ongoing funded work (via OP or projects) or funded via voluntary contributions provided by the recipient of the technical assistance. Examples include:</w:t>
      </w:r>
    </w:p>
    <w:p w14:paraId="14D535C4" w14:textId="77777777" w:rsidR="00617FC9" w:rsidRPr="0046236F" w:rsidRDefault="00617FC9" w:rsidP="00BC7ABA">
      <w:pPr>
        <w:pStyle w:val="ListParagraph"/>
        <w:numPr>
          <w:ilvl w:val="0"/>
          <w:numId w:val="8"/>
        </w:numPr>
        <w:spacing w:before="60" w:after="60"/>
        <w:contextualSpacing w:val="0"/>
        <w:jc w:val="both"/>
        <w:rPr>
          <w:rFonts w:asciiTheme="minorHAnsi" w:hAnsiTheme="minorHAnsi" w:cstheme="minorHAnsi"/>
          <w:sz w:val="24"/>
          <w:szCs w:val="24"/>
        </w:rPr>
      </w:pPr>
      <w:r w:rsidRPr="0046236F">
        <w:rPr>
          <w:rStyle w:val="eop"/>
          <w:rFonts w:asciiTheme="minorHAnsi" w:eastAsia="Avenir Nxt2 W1G" w:hAnsiTheme="minorHAnsi" w:cstheme="minorHAnsi"/>
          <w:color w:val="000000" w:themeColor="text1"/>
          <w:sz w:val="24"/>
          <w:szCs w:val="24"/>
        </w:rPr>
        <w:t>Capacity-building initiatives in cybersecurity, artificial intelligence, satellite communications, and regulatory frameworks in the Africa region, which took 1–3 months to complete.</w:t>
      </w:r>
    </w:p>
    <w:p w14:paraId="527C564D" w14:textId="77777777" w:rsidR="00617FC9" w:rsidRPr="0046236F" w:rsidRDefault="00617FC9" w:rsidP="00BC7ABA">
      <w:pPr>
        <w:pStyle w:val="ListParagraph"/>
        <w:numPr>
          <w:ilvl w:val="0"/>
          <w:numId w:val="7"/>
        </w:numPr>
        <w:spacing w:before="60" w:after="60"/>
        <w:contextualSpacing w:val="0"/>
        <w:jc w:val="both"/>
        <w:rPr>
          <w:rFonts w:asciiTheme="minorHAnsi" w:hAnsiTheme="minorHAnsi" w:cstheme="minorHAnsi"/>
          <w:sz w:val="24"/>
          <w:szCs w:val="24"/>
        </w:rPr>
      </w:pPr>
      <w:r w:rsidRPr="0046236F">
        <w:rPr>
          <w:rStyle w:val="eop"/>
          <w:rFonts w:asciiTheme="minorHAnsi" w:eastAsia="Avenir Nxt2 W1G" w:hAnsiTheme="minorHAnsi" w:cstheme="minorHAnsi"/>
          <w:color w:val="000000" w:themeColor="text1"/>
          <w:sz w:val="24"/>
          <w:szCs w:val="24"/>
        </w:rPr>
        <w:t>A Joint Declaration negotiation support request in the Americas region, which required one month due to internal coordination, legal review, and high-level engagement.</w:t>
      </w:r>
    </w:p>
    <w:p w14:paraId="0707A75C" w14:textId="77777777" w:rsidR="00617FC9" w:rsidRPr="0046236F" w:rsidRDefault="00617FC9" w:rsidP="00BC7ABA">
      <w:pPr>
        <w:pStyle w:val="ListParagraph"/>
        <w:numPr>
          <w:ilvl w:val="0"/>
          <w:numId w:val="7"/>
        </w:numPr>
        <w:spacing w:before="60" w:after="60"/>
        <w:contextualSpacing w:val="0"/>
        <w:jc w:val="both"/>
        <w:rPr>
          <w:rFonts w:asciiTheme="minorHAnsi" w:hAnsiTheme="minorHAnsi" w:cstheme="minorHAnsi"/>
          <w:sz w:val="24"/>
          <w:szCs w:val="24"/>
        </w:rPr>
      </w:pPr>
      <w:r w:rsidRPr="0046236F">
        <w:rPr>
          <w:rStyle w:val="eop"/>
          <w:rFonts w:asciiTheme="minorHAnsi" w:eastAsia="Avenir Nxt2 W1G" w:hAnsiTheme="minorHAnsi" w:cstheme="minorHAnsi"/>
          <w:color w:val="000000" w:themeColor="text1"/>
          <w:sz w:val="24"/>
          <w:szCs w:val="24"/>
        </w:rPr>
        <w:t>Requests in the Arab region related to ICT policy formulation and licensing regimes, which took approximately three months to complete.</w:t>
      </w:r>
    </w:p>
    <w:p w14:paraId="4BAC30AA" w14:textId="77777777" w:rsidR="00617FC9" w:rsidRPr="0046236F" w:rsidRDefault="00617FC9" w:rsidP="00BC7ABA">
      <w:pPr>
        <w:pStyle w:val="ListParagraph"/>
        <w:numPr>
          <w:ilvl w:val="0"/>
          <w:numId w:val="7"/>
        </w:numPr>
        <w:spacing w:before="60" w:after="60"/>
        <w:contextualSpacing w:val="0"/>
        <w:jc w:val="both"/>
        <w:rPr>
          <w:rFonts w:asciiTheme="minorHAnsi" w:hAnsiTheme="minorHAnsi" w:cstheme="minorHAnsi"/>
          <w:sz w:val="24"/>
          <w:szCs w:val="24"/>
        </w:rPr>
      </w:pPr>
      <w:r w:rsidRPr="0046236F">
        <w:rPr>
          <w:rStyle w:val="eop"/>
          <w:rFonts w:asciiTheme="minorHAnsi" w:eastAsia="Avenir Nxt2 W1G" w:hAnsiTheme="minorHAnsi" w:cstheme="minorHAnsi"/>
          <w:color w:val="000000" w:themeColor="text1"/>
          <w:sz w:val="24"/>
          <w:szCs w:val="24"/>
        </w:rPr>
        <w:t>Activities reported by the Commonwealth of Independent States (CIS) region typically require one to six months, depending on complexity and coordination requirements.</w:t>
      </w:r>
    </w:p>
    <w:p w14:paraId="27D3C519"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i/>
          <w:color w:val="000000" w:themeColor="text1"/>
          <w:szCs w:val="24"/>
        </w:rPr>
        <w:t>Long-Term Strategic Assistance</w:t>
      </w:r>
    </w:p>
    <w:p w14:paraId="023D13AC"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Some requests require longer implementation periods, particularly those involving institutional development, national strategies, or complex technical systems. This type of assistance normally requires the development of project proposals and the mobilization of extra budgetary funds either from the recipient of the assistance or from third party donors. Examples include:</w:t>
      </w:r>
    </w:p>
    <w:p w14:paraId="7C285AD0" w14:textId="77777777" w:rsidR="00617FC9" w:rsidRPr="0046236F" w:rsidRDefault="00617FC9" w:rsidP="00BC7ABA">
      <w:pPr>
        <w:pStyle w:val="ListParagraph"/>
        <w:numPr>
          <w:ilvl w:val="0"/>
          <w:numId w:val="8"/>
        </w:numPr>
        <w:spacing w:before="60" w:after="60"/>
        <w:contextualSpacing w:val="0"/>
        <w:jc w:val="both"/>
        <w:rPr>
          <w:rFonts w:asciiTheme="minorHAnsi" w:hAnsiTheme="minorHAnsi" w:cstheme="minorHAnsi"/>
          <w:sz w:val="24"/>
          <w:szCs w:val="24"/>
        </w:rPr>
      </w:pPr>
      <w:r w:rsidRPr="0046236F">
        <w:rPr>
          <w:rStyle w:val="eop"/>
          <w:rFonts w:asciiTheme="minorHAnsi" w:eastAsia="Avenir Nxt2 W1G" w:hAnsiTheme="minorHAnsi" w:cstheme="minorHAnsi"/>
          <w:color w:val="000000" w:themeColor="text1"/>
          <w:sz w:val="24"/>
          <w:szCs w:val="24"/>
        </w:rPr>
        <w:t>Support for development of national Digital Innovation Profiles (DIP) for 2 Member States, which required between 1-2 years to complete.</w:t>
      </w:r>
    </w:p>
    <w:p w14:paraId="3330D9A6" w14:textId="77777777" w:rsidR="00617FC9" w:rsidRPr="0046236F" w:rsidRDefault="00617FC9" w:rsidP="00BC7ABA">
      <w:pPr>
        <w:pStyle w:val="ListParagraph"/>
        <w:numPr>
          <w:ilvl w:val="0"/>
          <w:numId w:val="7"/>
        </w:numPr>
        <w:spacing w:before="60" w:after="60"/>
        <w:contextualSpacing w:val="0"/>
        <w:jc w:val="both"/>
        <w:rPr>
          <w:rFonts w:asciiTheme="minorHAnsi" w:hAnsiTheme="minorHAnsi" w:cstheme="minorHAnsi"/>
          <w:sz w:val="24"/>
          <w:szCs w:val="24"/>
        </w:rPr>
      </w:pPr>
      <w:r w:rsidRPr="0046236F">
        <w:rPr>
          <w:rStyle w:val="eop"/>
          <w:rFonts w:asciiTheme="minorHAnsi" w:eastAsia="Avenir Nxt2 W1G" w:hAnsiTheme="minorHAnsi" w:cstheme="minorHAnsi"/>
          <w:color w:val="000000" w:themeColor="text1"/>
          <w:sz w:val="24"/>
          <w:szCs w:val="24"/>
        </w:rPr>
        <w:t>Support for establishing a Computer Emergency Response Team (CERT) in the Africa region, which required two years to complete.</w:t>
      </w:r>
    </w:p>
    <w:p w14:paraId="741A7810" w14:textId="77777777" w:rsidR="00617FC9" w:rsidRPr="0046236F" w:rsidRDefault="00617FC9" w:rsidP="00BC7ABA">
      <w:pPr>
        <w:pStyle w:val="ListParagraph"/>
        <w:numPr>
          <w:ilvl w:val="0"/>
          <w:numId w:val="7"/>
        </w:numPr>
        <w:spacing w:before="60" w:after="60"/>
        <w:contextualSpacing w:val="0"/>
        <w:jc w:val="both"/>
        <w:rPr>
          <w:rFonts w:asciiTheme="minorHAnsi" w:hAnsiTheme="minorHAnsi" w:cstheme="minorHAnsi"/>
          <w:sz w:val="24"/>
          <w:szCs w:val="24"/>
        </w:rPr>
      </w:pPr>
      <w:r w:rsidRPr="0046236F">
        <w:rPr>
          <w:rStyle w:val="eop"/>
          <w:rFonts w:asciiTheme="minorHAnsi" w:eastAsia="Avenir Nxt2 W1G" w:hAnsiTheme="minorHAnsi" w:cstheme="minorHAnsi"/>
          <w:color w:val="000000" w:themeColor="text1"/>
          <w:sz w:val="24"/>
          <w:szCs w:val="24"/>
        </w:rPr>
        <w:t>Assistance with the review and consolidation of a National ICT Policy, which took approximately one year.</w:t>
      </w:r>
    </w:p>
    <w:p w14:paraId="367CF7F2" w14:textId="77777777" w:rsidR="00617FC9" w:rsidRPr="0046236F" w:rsidRDefault="00617FC9" w:rsidP="00BC7ABA">
      <w:pPr>
        <w:pStyle w:val="ListParagraph"/>
        <w:numPr>
          <w:ilvl w:val="0"/>
          <w:numId w:val="7"/>
        </w:numPr>
        <w:spacing w:before="60" w:after="60"/>
        <w:contextualSpacing w:val="0"/>
        <w:jc w:val="both"/>
        <w:rPr>
          <w:rFonts w:asciiTheme="minorHAnsi" w:hAnsiTheme="minorHAnsi" w:cstheme="minorHAnsi"/>
          <w:sz w:val="24"/>
          <w:szCs w:val="24"/>
        </w:rPr>
      </w:pPr>
      <w:r w:rsidRPr="0046236F">
        <w:rPr>
          <w:rStyle w:val="eop"/>
          <w:rFonts w:asciiTheme="minorHAnsi" w:eastAsia="Avenir Nxt2 W1G" w:hAnsiTheme="minorHAnsi" w:cstheme="minorHAnsi"/>
          <w:color w:val="000000" w:themeColor="text1"/>
          <w:sz w:val="24"/>
          <w:szCs w:val="24"/>
        </w:rPr>
        <w:t>Activities in the Europe region, where implementation durations generally range from three to nine months depending on complexity.</w:t>
      </w:r>
    </w:p>
    <w:p w14:paraId="7340DBBF"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Relationship Between Complexity, Urgency, and Completion Time</w:t>
      </w:r>
    </w:p>
    <w:p w14:paraId="1A3B309D"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The data suggests a strong relationship between task complexity, availability of funding and completion time:</w:t>
      </w:r>
    </w:p>
    <w:p w14:paraId="6BC4C52F" w14:textId="77777777" w:rsidR="00617FC9" w:rsidRPr="0046236F" w:rsidRDefault="00617FC9" w:rsidP="00BC7ABA">
      <w:pPr>
        <w:pStyle w:val="ListParagraph"/>
        <w:numPr>
          <w:ilvl w:val="0"/>
          <w:numId w:val="8"/>
        </w:numPr>
        <w:spacing w:before="60" w:after="60"/>
        <w:contextualSpacing w:val="0"/>
        <w:jc w:val="both"/>
        <w:rPr>
          <w:rFonts w:asciiTheme="minorHAnsi" w:hAnsiTheme="minorHAnsi" w:cstheme="minorHAnsi"/>
          <w:sz w:val="24"/>
          <w:szCs w:val="24"/>
        </w:rPr>
      </w:pPr>
      <w:r w:rsidRPr="0046236F">
        <w:rPr>
          <w:rStyle w:val="eop"/>
          <w:rFonts w:asciiTheme="minorHAnsi" w:eastAsia="Avenir Nxt2 W1G" w:hAnsiTheme="minorHAnsi" w:cstheme="minorHAnsi"/>
          <w:color w:val="000000" w:themeColor="text1"/>
          <w:sz w:val="24"/>
          <w:szCs w:val="24"/>
        </w:rPr>
        <w:t>Low-complexity tasks (events, webinars, technical inputs) are typically completed within days or weeks.</w:t>
      </w:r>
    </w:p>
    <w:p w14:paraId="76CD8738" w14:textId="77777777" w:rsidR="00617FC9" w:rsidRPr="0046236F" w:rsidRDefault="00617FC9" w:rsidP="00BC7ABA">
      <w:pPr>
        <w:pStyle w:val="ListParagraph"/>
        <w:numPr>
          <w:ilvl w:val="0"/>
          <w:numId w:val="7"/>
        </w:numPr>
        <w:spacing w:before="60" w:after="60"/>
        <w:contextualSpacing w:val="0"/>
        <w:jc w:val="both"/>
        <w:rPr>
          <w:rFonts w:asciiTheme="minorHAnsi" w:hAnsiTheme="minorHAnsi" w:cstheme="minorHAnsi"/>
          <w:sz w:val="24"/>
          <w:szCs w:val="24"/>
        </w:rPr>
      </w:pPr>
      <w:r w:rsidRPr="0046236F">
        <w:rPr>
          <w:rStyle w:val="eop"/>
          <w:rFonts w:asciiTheme="minorHAnsi" w:eastAsia="Avenir Nxt2 W1G" w:hAnsiTheme="minorHAnsi" w:cstheme="minorHAnsi"/>
          <w:color w:val="000000" w:themeColor="text1"/>
          <w:sz w:val="24"/>
          <w:szCs w:val="24"/>
        </w:rPr>
        <w:t>Medium-complexity tasks (training programs, policy advisory work) often require 1–3 months.</w:t>
      </w:r>
    </w:p>
    <w:p w14:paraId="45C965F5" w14:textId="77777777" w:rsidR="00617FC9" w:rsidRPr="0046236F" w:rsidRDefault="00617FC9" w:rsidP="00BC7ABA">
      <w:pPr>
        <w:pStyle w:val="ListParagraph"/>
        <w:numPr>
          <w:ilvl w:val="0"/>
          <w:numId w:val="7"/>
        </w:numPr>
        <w:spacing w:before="60" w:after="60"/>
        <w:contextualSpacing w:val="0"/>
        <w:jc w:val="both"/>
        <w:rPr>
          <w:rFonts w:asciiTheme="minorHAnsi" w:hAnsiTheme="minorHAnsi" w:cstheme="minorHAnsi"/>
          <w:sz w:val="24"/>
          <w:szCs w:val="24"/>
        </w:rPr>
      </w:pPr>
      <w:r w:rsidRPr="0046236F">
        <w:rPr>
          <w:rStyle w:val="eop"/>
          <w:rFonts w:asciiTheme="minorHAnsi" w:eastAsia="Avenir Nxt2 W1G" w:hAnsiTheme="minorHAnsi" w:cstheme="minorHAnsi"/>
          <w:color w:val="000000" w:themeColor="text1"/>
          <w:sz w:val="24"/>
          <w:szCs w:val="24"/>
        </w:rPr>
        <w:lastRenderedPageBreak/>
        <w:t>High-complexity tasks (institutional frameworks, national strategies, or large-scale technical systems) can extend to one year or more, when extrabudgetary funds needs to be mobilized.</w:t>
      </w:r>
    </w:p>
    <w:p w14:paraId="5A593029"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2A996BAA"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The analysis of the table indicates that Regional and Area Offices demonstrate good responsiveness in acknowledging Member State requests, typically within 24 to 48 hours. The completion time varies significantly depending on the complexity and nature of the assistance requested, as well as on the availability of funds to cover the costs of the assistance. Most operational or technical support requests are completed within 10 to 40 days, while advisory and capacity-building initiatives generally take one to six months. More complex strategic initiatives, such as institutional development or national policy frameworks, may require one year or longer, with some exceptional cases extending to two years. </w:t>
      </w:r>
    </w:p>
    <w:p w14:paraId="5AC41945"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Overall, the data suggests that while the average completion timeframe for many assistance requests falls within the range of several weeks to a few months, longer timelines are justified for high-complexity projects that require extensive coordination, expertise, and stakeholder engagement. This variation reflects the diverse nature of Member State requests and underscores the need to evaluate KPI 3 in relation to complexity and scope rather than time alone.</w:t>
      </w:r>
    </w:p>
    <w:p w14:paraId="300A54F8"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Data Source</w:t>
      </w:r>
    </w:p>
    <w:p w14:paraId="176A6CF6" w14:textId="77777777" w:rsidR="00617FC9" w:rsidRPr="0046236F" w:rsidRDefault="00617FC9" w:rsidP="00D81F57">
      <w:pPr>
        <w:pStyle w:val="ListParagraph"/>
        <w:numPr>
          <w:ilvl w:val="0"/>
          <w:numId w:val="87"/>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Information Collected from Regional and Area Offices.</w:t>
      </w:r>
    </w:p>
    <w:p w14:paraId="68E2DC0D"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Supplementary information</w:t>
      </w:r>
    </w:p>
    <w:p w14:paraId="6220D1E3" w14:textId="0FF8C0FB" w:rsidR="00617FC9" w:rsidRPr="0046236F" w:rsidRDefault="00617FC9" w:rsidP="00617FC9">
      <w:pPr>
        <w:jc w:val="center"/>
        <w:rPr>
          <w:rFonts w:asciiTheme="minorHAnsi" w:hAnsiTheme="minorHAnsi" w:cstheme="minorHAnsi"/>
          <w:b/>
          <w:szCs w:val="24"/>
        </w:rPr>
      </w:pPr>
      <w:r w:rsidRPr="0046236F">
        <w:rPr>
          <w:rFonts w:asciiTheme="minorHAnsi" w:hAnsiTheme="minorHAnsi" w:cstheme="minorHAnsi"/>
          <w:b/>
          <w:szCs w:val="24"/>
        </w:rPr>
        <w:t>Sample of requests received by the Regional and Area offices</w:t>
      </w:r>
      <w:r w:rsidR="0046236F">
        <w:rPr>
          <w:rFonts w:asciiTheme="minorHAnsi" w:hAnsiTheme="minorHAnsi" w:cstheme="minorHAnsi"/>
          <w:b/>
          <w:szCs w:val="24"/>
        </w:rPr>
        <w:br/>
      </w:r>
    </w:p>
    <w:tbl>
      <w:tblPr>
        <w:tblStyle w:val="GridTable4-Accent4"/>
        <w:tblW w:w="5000" w:type="pct"/>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1"/>
        <w:gridCol w:w="3281"/>
        <w:gridCol w:w="3181"/>
        <w:gridCol w:w="1134"/>
        <w:gridCol w:w="1126"/>
      </w:tblGrid>
      <w:tr w:rsidR="00617FC9" w:rsidRPr="00986D12" w14:paraId="7B2FC283" w14:textId="77777777" w:rsidTr="00696175">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01" w:type="dxa"/>
            <w:tcBorders>
              <w:top w:val="single" w:sz="6" w:space="0" w:color="8064A2" w:themeColor="accent4"/>
              <w:left w:val="single" w:sz="6" w:space="0" w:color="8064A2" w:themeColor="accent4"/>
              <w:bottom w:val="single" w:sz="6" w:space="0" w:color="8064A2" w:themeColor="accent4"/>
            </w:tcBorders>
            <w:tcMar>
              <w:left w:w="105" w:type="dxa"/>
              <w:right w:w="105" w:type="dxa"/>
            </w:tcMar>
          </w:tcPr>
          <w:p w14:paraId="2020D246"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Regional Office</w:t>
            </w:r>
          </w:p>
        </w:tc>
        <w:tc>
          <w:tcPr>
            <w:tcW w:w="3281" w:type="dxa"/>
            <w:tcBorders>
              <w:top w:val="single" w:sz="6" w:space="0" w:color="8064A2" w:themeColor="accent4"/>
              <w:bottom w:val="single" w:sz="6" w:space="0" w:color="8064A2" w:themeColor="accent4"/>
            </w:tcBorders>
            <w:tcMar>
              <w:left w:w="105" w:type="dxa"/>
              <w:right w:w="105" w:type="dxa"/>
            </w:tcMar>
          </w:tcPr>
          <w:p w14:paraId="262F94FB" w14:textId="77777777" w:rsidR="00617FC9" w:rsidRPr="00986D12" w:rsidRDefault="00617FC9" w:rsidP="00696175">
            <w:pPr>
              <w:pStyle w:val="Texttabl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986D12">
              <w:rPr>
                <w:rFonts w:asciiTheme="minorHAnsi" w:hAnsiTheme="minorHAnsi" w:cstheme="minorHAnsi"/>
                <w:sz w:val="16"/>
                <w:szCs w:val="16"/>
                <w:lang w:val="en-US"/>
              </w:rPr>
              <w:t>Member State Request for assistance description during Q1 2024</w:t>
            </w:r>
          </w:p>
        </w:tc>
        <w:tc>
          <w:tcPr>
            <w:tcW w:w="3181" w:type="dxa"/>
            <w:tcBorders>
              <w:top w:val="single" w:sz="6" w:space="0" w:color="8064A2" w:themeColor="accent4"/>
              <w:bottom w:val="single" w:sz="6" w:space="0" w:color="8064A2" w:themeColor="accent4"/>
            </w:tcBorders>
            <w:tcMar>
              <w:left w:w="105" w:type="dxa"/>
              <w:right w:w="105" w:type="dxa"/>
            </w:tcMar>
          </w:tcPr>
          <w:p w14:paraId="0A733AF4" w14:textId="77777777" w:rsidR="00617FC9" w:rsidRPr="00986D12" w:rsidRDefault="00617FC9" w:rsidP="00696175">
            <w:pPr>
              <w:pStyle w:val="Texttabl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986D12">
              <w:rPr>
                <w:rFonts w:asciiTheme="minorHAnsi" w:hAnsiTheme="minorHAnsi" w:cstheme="minorHAnsi"/>
                <w:sz w:val="16"/>
                <w:szCs w:val="16"/>
                <w:lang w:val="en-US"/>
              </w:rPr>
              <w:t>Average time taken to complete (days/months/Years)</w:t>
            </w:r>
          </w:p>
        </w:tc>
        <w:tc>
          <w:tcPr>
            <w:tcW w:w="1134" w:type="dxa"/>
            <w:tcBorders>
              <w:top w:val="single" w:sz="6" w:space="0" w:color="8064A2" w:themeColor="accent4"/>
              <w:bottom w:val="single" w:sz="6" w:space="0" w:color="8064A2" w:themeColor="accent4"/>
            </w:tcBorders>
            <w:tcMar>
              <w:left w:w="105" w:type="dxa"/>
              <w:right w:w="105" w:type="dxa"/>
            </w:tcMar>
          </w:tcPr>
          <w:p w14:paraId="01A946FC" w14:textId="77777777" w:rsidR="00617FC9" w:rsidRPr="00986D12" w:rsidRDefault="00617FC9" w:rsidP="00696175">
            <w:pPr>
              <w:pStyle w:val="Texttabl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986D12">
              <w:rPr>
                <w:rFonts w:asciiTheme="minorHAnsi" w:hAnsiTheme="minorHAnsi" w:cstheme="minorHAnsi"/>
                <w:sz w:val="16"/>
                <w:szCs w:val="16"/>
                <w:lang w:val="en-US"/>
              </w:rPr>
              <w:t>Complexity (High/Low)</w:t>
            </w:r>
          </w:p>
        </w:tc>
        <w:tc>
          <w:tcPr>
            <w:tcW w:w="1126" w:type="dxa"/>
            <w:tcBorders>
              <w:top w:val="single" w:sz="6" w:space="0" w:color="8064A2" w:themeColor="accent4"/>
              <w:bottom w:val="single" w:sz="6" w:space="0" w:color="8064A2" w:themeColor="accent4"/>
              <w:right w:val="single" w:sz="6" w:space="0" w:color="8064A2" w:themeColor="accent4"/>
            </w:tcBorders>
            <w:tcMar>
              <w:left w:w="105" w:type="dxa"/>
              <w:right w:w="105" w:type="dxa"/>
            </w:tcMar>
          </w:tcPr>
          <w:p w14:paraId="5614E8B1" w14:textId="77777777" w:rsidR="00617FC9" w:rsidRPr="00986D12" w:rsidRDefault="00617FC9" w:rsidP="00696175">
            <w:pPr>
              <w:pStyle w:val="Texttabl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986D12">
              <w:rPr>
                <w:rFonts w:asciiTheme="minorHAnsi" w:hAnsiTheme="minorHAnsi" w:cstheme="minorHAnsi"/>
                <w:sz w:val="16"/>
                <w:szCs w:val="16"/>
                <w:lang w:val="en-US"/>
              </w:rPr>
              <w:t>Urgency</w:t>
            </w:r>
            <w:r w:rsidRPr="00986D12">
              <w:rPr>
                <w:rFonts w:asciiTheme="minorHAnsi" w:hAnsiTheme="minorHAnsi" w:cstheme="minorHAnsi"/>
                <w:sz w:val="16"/>
                <w:szCs w:val="16"/>
              </w:rPr>
              <w:t xml:space="preserve"> </w:t>
            </w:r>
            <w:r w:rsidRPr="00986D12">
              <w:rPr>
                <w:rFonts w:asciiTheme="minorHAnsi" w:hAnsiTheme="minorHAnsi" w:cstheme="minorHAnsi"/>
                <w:sz w:val="16"/>
                <w:szCs w:val="16"/>
              </w:rPr>
              <w:br/>
            </w:r>
            <w:r w:rsidRPr="00986D12">
              <w:rPr>
                <w:rFonts w:asciiTheme="minorHAnsi" w:hAnsiTheme="minorHAnsi" w:cstheme="minorHAnsi"/>
                <w:sz w:val="16"/>
                <w:szCs w:val="16"/>
                <w:lang w:val="en-US"/>
              </w:rPr>
              <w:t>(High/Low)</w:t>
            </w:r>
          </w:p>
        </w:tc>
      </w:tr>
      <w:tr w:rsidR="00617FC9" w:rsidRPr="00986D12" w14:paraId="025F0E64" w14:textId="77777777" w:rsidTr="006961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72461CB0"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AFR</w:t>
            </w:r>
          </w:p>
        </w:tc>
        <w:tc>
          <w:tcPr>
            <w:tcW w:w="3281" w:type="dxa"/>
            <w:tcMar>
              <w:left w:w="105" w:type="dxa"/>
              <w:right w:w="105" w:type="dxa"/>
            </w:tcMar>
          </w:tcPr>
          <w:p w14:paraId="06C78AF2"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1 request on supporting the establishment of Computer Emergence Response Team (CERT)</w:t>
            </w:r>
          </w:p>
        </w:tc>
        <w:tc>
          <w:tcPr>
            <w:tcW w:w="3181" w:type="dxa"/>
            <w:tcMar>
              <w:left w:w="105" w:type="dxa"/>
              <w:right w:w="105" w:type="dxa"/>
            </w:tcMar>
          </w:tcPr>
          <w:p w14:paraId="302A14E5"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Acknowledgement is sent within 24 hours. Time taken to completion: 2 years.</w:t>
            </w:r>
          </w:p>
        </w:tc>
        <w:tc>
          <w:tcPr>
            <w:tcW w:w="1134" w:type="dxa"/>
            <w:tcMar>
              <w:left w:w="105" w:type="dxa"/>
              <w:right w:w="105" w:type="dxa"/>
            </w:tcMar>
          </w:tcPr>
          <w:p w14:paraId="59706AC2"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p>
        </w:tc>
        <w:tc>
          <w:tcPr>
            <w:tcW w:w="1126" w:type="dxa"/>
            <w:tcMar>
              <w:left w:w="105" w:type="dxa"/>
              <w:right w:w="105" w:type="dxa"/>
            </w:tcMar>
          </w:tcPr>
          <w:p w14:paraId="48BC7EF3"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Low</w:t>
            </w:r>
          </w:p>
        </w:tc>
      </w:tr>
      <w:tr w:rsidR="00617FC9" w:rsidRPr="00986D12" w14:paraId="250C5C61" w14:textId="77777777" w:rsidTr="00696175">
        <w:trPr>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13B7CB34"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AFR</w:t>
            </w:r>
          </w:p>
        </w:tc>
        <w:tc>
          <w:tcPr>
            <w:tcW w:w="3281" w:type="dxa"/>
            <w:tcMar>
              <w:left w:w="105" w:type="dxa"/>
              <w:right w:w="105" w:type="dxa"/>
            </w:tcMar>
          </w:tcPr>
          <w:p w14:paraId="0CFB3834"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4 requests for capacity building on cybersecurity, AI, and Satellite, Policy and Regulatory framework</w:t>
            </w:r>
            <w:r w:rsidRPr="00986D12">
              <w:rPr>
                <w:rFonts w:asciiTheme="minorHAnsi" w:hAnsiTheme="minorHAnsi" w:cstheme="minorHAnsi"/>
                <w:sz w:val="16"/>
                <w:szCs w:val="16"/>
              </w:rPr>
              <w:t xml:space="preserve"> </w:t>
            </w:r>
          </w:p>
        </w:tc>
        <w:tc>
          <w:tcPr>
            <w:tcW w:w="3181" w:type="dxa"/>
            <w:tcMar>
              <w:left w:w="105" w:type="dxa"/>
              <w:right w:w="105" w:type="dxa"/>
            </w:tcMar>
          </w:tcPr>
          <w:p w14:paraId="1CA7D0C0"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Acknowledgement is sent within 24 hours. Time taken to completion: 1-3 months.</w:t>
            </w:r>
          </w:p>
        </w:tc>
        <w:tc>
          <w:tcPr>
            <w:tcW w:w="1134" w:type="dxa"/>
            <w:tcMar>
              <w:left w:w="105" w:type="dxa"/>
              <w:right w:w="105" w:type="dxa"/>
            </w:tcMar>
          </w:tcPr>
          <w:p w14:paraId="6D000F84"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p>
        </w:tc>
        <w:tc>
          <w:tcPr>
            <w:tcW w:w="1126" w:type="dxa"/>
            <w:tcMar>
              <w:left w:w="105" w:type="dxa"/>
              <w:right w:w="105" w:type="dxa"/>
            </w:tcMar>
          </w:tcPr>
          <w:p w14:paraId="36603CE1"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Low</w:t>
            </w:r>
          </w:p>
        </w:tc>
      </w:tr>
      <w:tr w:rsidR="00617FC9" w:rsidRPr="00986D12" w14:paraId="32A8693A" w14:textId="77777777" w:rsidTr="006961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6640CA81"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AFR</w:t>
            </w:r>
          </w:p>
        </w:tc>
        <w:tc>
          <w:tcPr>
            <w:tcW w:w="3281" w:type="dxa"/>
            <w:tcMar>
              <w:left w:w="105" w:type="dxa"/>
              <w:right w:w="105" w:type="dxa"/>
            </w:tcMar>
          </w:tcPr>
          <w:p w14:paraId="5EA5ABD3"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MS request for assistance in regulatory sandboxing</w:t>
            </w:r>
            <w:r w:rsidRPr="00986D12">
              <w:rPr>
                <w:rFonts w:asciiTheme="minorHAnsi" w:hAnsiTheme="minorHAnsi" w:cstheme="minorHAnsi"/>
                <w:sz w:val="16"/>
                <w:szCs w:val="16"/>
              </w:rPr>
              <w:t xml:space="preserve"> </w:t>
            </w:r>
          </w:p>
        </w:tc>
        <w:tc>
          <w:tcPr>
            <w:tcW w:w="3181" w:type="dxa"/>
            <w:tcMar>
              <w:left w:w="105" w:type="dxa"/>
              <w:right w:w="105" w:type="dxa"/>
            </w:tcMar>
          </w:tcPr>
          <w:p w14:paraId="14BDAC40"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Acknowledgment in 24 hours; action is ongoing in operational plan 2026 (OP-26).</w:t>
            </w:r>
          </w:p>
        </w:tc>
        <w:tc>
          <w:tcPr>
            <w:tcW w:w="1134" w:type="dxa"/>
            <w:tcMar>
              <w:left w:w="105" w:type="dxa"/>
              <w:right w:w="105" w:type="dxa"/>
            </w:tcMar>
          </w:tcPr>
          <w:p w14:paraId="4B85CA9F"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p>
        </w:tc>
        <w:tc>
          <w:tcPr>
            <w:tcW w:w="1126" w:type="dxa"/>
            <w:tcMar>
              <w:left w:w="105" w:type="dxa"/>
              <w:right w:w="105" w:type="dxa"/>
            </w:tcMar>
          </w:tcPr>
          <w:p w14:paraId="66BB1884"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Low</w:t>
            </w:r>
          </w:p>
        </w:tc>
      </w:tr>
      <w:tr w:rsidR="00617FC9" w:rsidRPr="00986D12" w14:paraId="1AD35953" w14:textId="77777777" w:rsidTr="00696175">
        <w:trPr>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01D9B7C8"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AFR</w:t>
            </w:r>
          </w:p>
        </w:tc>
        <w:tc>
          <w:tcPr>
            <w:tcW w:w="3281" w:type="dxa"/>
            <w:tcMar>
              <w:left w:w="105" w:type="dxa"/>
              <w:right w:w="105" w:type="dxa"/>
            </w:tcMar>
          </w:tcPr>
          <w:p w14:paraId="186C21BD"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MS request for assistance in projects development and cooperation agreement signature</w:t>
            </w:r>
          </w:p>
        </w:tc>
        <w:tc>
          <w:tcPr>
            <w:tcW w:w="3181" w:type="dxa"/>
            <w:tcMar>
              <w:left w:w="105" w:type="dxa"/>
              <w:right w:w="105" w:type="dxa"/>
            </w:tcMar>
          </w:tcPr>
          <w:p w14:paraId="07571E57"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Acknowledgment in 1 week; action is ongoing in OP-26.</w:t>
            </w:r>
          </w:p>
        </w:tc>
        <w:tc>
          <w:tcPr>
            <w:tcW w:w="1134" w:type="dxa"/>
            <w:tcMar>
              <w:left w:w="105" w:type="dxa"/>
              <w:right w:w="105" w:type="dxa"/>
            </w:tcMar>
          </w:tcPr>
          <w:p w14:paraId="3433AF72"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p>
        </w:tc>
        <w:tc>
          <w:tcPr>
            <w:tcW w:w="1126" w:type="dxa"/>
            <w:tcMar>
              <w:left w:w="105" w:type="dxa"/>
              <w:right w:w="105" w:type="dxa"/>
            </w:tcMar>
          </w:tcPr>
          <w:p w14:paraId="3DDE78F6"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Low</w:t>
            </w:r>
          </w:p>
        </w:tc>
      </w:tr>
      <w:tr w:rsidR="00617FC9" w:rsidRPr="00986D12" w14:paraId="4550E904" w14:textId="77777777" w:rsidTr="006961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39168478"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AFR</w:t>
            </w:r>
          </w:p>
        </w:tc>
        <w:tc>
          <w:tcPr>
            <w:tcW w:w="3281" w:type="dxa"/>
            <w:tcMar>
              <w:left w:w="105" w:type="dxa"/>
              <w:right w:w="105" w:type="dxa"/>
            </w:tcMar>
          </w:tcPr>
          <w:p w14:paraId="2FE4B5BA"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MS request for assistance in NETP</w:t>
            </w:r>
            <w:r w:rsidRPr="00986D12">
              <w:rPr>
                <w:rFonts w:asciiTheme="minorHAnsi" w:hAnsiTheme="minorHAnsi" w:cstheme="minorHAnsi"/>
                <w:sz w:val="16"/>
                <w:szCs w:val="16"/>
              </w:rPr>
              <w:t xml:space="preserve"> </w:t>
            </w:r>
          </w:p>
        </w:tc>
        <w:tc>
          <w:tcPr>
            <w:tcW w:w="3181" w:type="dxa"/>
            <w:tcMar>
              <w:left w:w="105" w:type="dxa"/>
              <w:right w:w="105" w:type="dxa"/>
            </w:tcMar>
          </w:tcPr>
          <w:p w14:paraId="741C7B02"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Acknowledgment in 24 hours; action is ongoing in OP-26.</w:t>
            </w:r>
          </w:p>
        </w:tc>
        <w:tc>
          <w:tcPr>
            <w:tcW w:w="1134" w:type="dxa"/>
            <w:tcMar>
              <w:left w:w="105" w:type="dxa"/>
              <w:right w:w="105" w:type="dxa"/>
            </w:tcMar>
          </w:tcPr>
          <w:p w14:paraId="03A7DEC9"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Low</w:t>
            </w:r>
          </w:p>
        </w:tc>
        <w:tc>
          <w:tcPr>
            <w:tcW w:w="1126" w:type="dxa"/>
            <w:tcMar>
              <w:left w:w="105" w:type="dxa"/>
              <w:right w:w="105" w:type="dxa"/>
            </w:tcMar>
          </w:tcPr>
          <w:p w14:paraId="5A1A7D97"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Low</w:t>
            </w:r>
          </w:p>
        </w:tc>
      </w:tr>
      <w:tr w:rsidR="00617FC9" w:rsidRPr="00986D12" w14:paraId="5E3B997C" w14:textId="77777777" w:rsidTr="00696175">
        <w:trPr>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4C080C27"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AFR</w:t>
            </w:r>
          </w:p>
        </w:tc>
        <w:tc>
          <w:tcPr>
            <w:tcW w:w="3281" w:type="dxa"/>
            <w:tcMar>
              <w:left w:w="105" w:type="dxa"/>
              <w:right w:w="105" w:type="dxa"/>
            </w:tcMar>
          </w:tcPr>
          <w:p w14:paraId="6BC71BDE"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 xml:space="preserve">MS request for assistance on </w:t>
            </w:r>
            <w:proofErr w:type="gramStart"/>
            <w:r w:rsidRPr="00986D12">
              <w:rPr>
                <w:rFonts w:asciiTheme="minorHAnsi" w:hAnsiTheme="minorHAnsi" w:cstheme="minorHAnsi"/>
                <w:sz w:val="16"/>
                <w:szCs w:val="16"/>
                <w:lang w:val="en-US"/>
              </w:rPr>
              <w:t>5G networks deployment</w:t>
            </w:r>
            <w:proofErr w:type="gramEnd"/>
            <w:r w:rsidRPr="00986D12">
              <w:rPr>
                <w:rFonts w:asciiTheme="minorHAnsi" w:hAnsiTheme="minorHAnsi" w:cstheme="minorHAnsi"/>
                <w:sz w:val="16"/>
                <w:szCs w:val="16"/>
                <w:lang w:val="en-US"/>
              </w:rPr>
              <w:t xml:space="preserve"> and contribution to digital economy</w:t>
            </w:r>
          </w:p>
        </w:tc>
        <w:tc>
          <w:tcPr>
            <w:tcW w:w="3181" w:type="dxa"/>
            <w:tcMar>
              <w:left w:w="105" w:type="dxa"/>
              <w:right w:w="105" w:type="dxa"/>
            </w:tcMar>
          </w:tcPr>
          <w:p w14:paraId="5084FC79"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Acknowledgment in 24 hours; assistance provided within 1 week.</w:t>
            </w:r>
          </w:p>
        </w:tc>
        <w:tc>
          <w:tcPr>
            <w:tcW w:w="1134" w:type="dxa"/>
            <w:tcMar>
              <w:left w:w="105" w:type="dxa"/>
              <w:right w:w="105" w:type="dxa"/>
            </w:tcMar>
          </w:tcPr>
          <w:p w14:paraId="18D68C4B"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Low</w:t>
            </w:r>
          </w:p>
        </w:tc>
        <w:tc>
          <w:tcPr>
            <w:tcW w:w="1126" w:type="dxa"/>
            <w:tcMar>
              <w:left w:w="105" w:type="dxa"/>
              <w:right w:w="105" w:type="dxa"/>
            </w:tcMar>
          </w:tcPr>
          <w:p w14:paraId="79D0E705"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p>
        </w:tc>
      </w:tr>
      <w:tr w:rsidR="00617FC9" w:rsidRPr="00986D12" w14:paraId="77A26A7F" w14:textId="77777777" w:rsidTr="006961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2F7C0ED4"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AFR</w:t>
            </w:r>
          </w:p>
        </w:tc>
        <w:tc>
          <w:tcPr>
            <w:tcW w:w="3281" w:type="dxa"/>
            <w:tcMar>
              <w:left w:w="105" w:type="dxa"/>
              <w:right w:w="105" w:type="dxa"/>
            </w:tcMar>
          </w:tcPr>
          <w:p w14:paraId="45519A41"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MS Request for review and consolidation of their National ICT Policy</w:t>
            </w:r>
          </w:p>
        </w:tc>
        <w:tc>
          <w:tcPr>
            <w:tcW w:w="3181" w:type="dxa"/>
            <w:tcMar>
              <w:left w:w="105" w:type="dxa"/>
              <w:right w:w="105" w:type="dxa"/>
            </w:tcMar>
          </w:tcPr>
          <w:p w14:paraId="66979524"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Meeting held with Member state a day after receiving the invite to clarify requirements and official response sent after two months. Time to complete 1 year.</w:t>
            </w:r>
          </w:p>
        </w:tc>
        <w:tc>
          <w:tcPr>
            <w:tcW w:w="1134" w:type="dxa"/>
            <w:tcMar>
              <w:left w:w="105" w:type="dxa"/>
              <w:right w:w="105" w:type="dxa"/>
            </w:tcMar>
          </w:tcPr>
          <w:p w14:paraId="604164A3"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p>
        </w:tc>
        <w:tc>
          <w:tcPr>
            <w:tcW w:w="1126" w:type="dxa"/>
            <w:tcMar>
              <w:left w:w="105" w:type="dxa"/>
              <w:right w:w="105" w:type="dxa"/>
            </w:tcMar>
          </w:tcPr>
          <w:p w14:paraId="47BEA3E5"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p>
        </w:tc>
      </w:tr>
      <w:tr w:rsidR="00617FC9" w:rsidRPr="00986D12" w14:paraId="7346C3D9" w14:textId="77777777" w:rsidTr="00696175">
        <w:trPr>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2CDC6FF7"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AFR</w:t>
            </w:r>
          </w:p>
        </w:tc>
        <w:tc>
          <w:tcPr>
            <w:tcW w:w="3281" w:type="dxa"/>
            <w:tcMar>
              <w:left w:w="105" w:type="dxa"/>
              <w:right w:w="105" w:type="dxa"/>
            </w:tcMar>
          </w:tcPr>
          <w:p w14:paraId="1FC02AE1"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2 MS requests for the establishment of national Digital Innovation Profiles (DIP)</w:t>
            </w:r>
          </w:p>
        </w:tc>
        <w:tc>
          <w:tcPr>
            <w:tcW w:w="3181" w:type="dxa"/>
            <w:tcMar>
              <w:left w:w="105" w:type="dxa"/>
              <w:right w:w="105" w:type="dxa"/>
            </w:tcMar>
          </w:tcPr>
          <w:p w14:paraId="2A39AC8B"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Acknowledgement is sent within 24 hours. Time taken to completion: 1-2 years.</w:t>
            </w:r>
          </w:p>
        </w:tc>
        <w:tc>
          <w:tcPr>
            <w:tcW w:w="1134" w:type="dxa"/>
            <w:tcMar>
              <w:left w:w="105" w:type="dxa"/>
              <w:right w:w="105" w:type="dxa"/>
            </w:tcMar>
          </w:tcPr>
          <w:p w14:paraId="019D09D2"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p>
        </w:tc>
        <w:tc>
          <w:tcPr>
            <w:tcW w:w="1126" w:type="dxa"/>
            <w:tcMar>
              <w:left w:w="105" w:type="dxa"/>
              <w:right w:w="105" w:type="dxa"/>
            </w:tcMar>
          </w:tcPr>
          <w:p w14:paraId="008E6F0C"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Low</w:t>
            </w:r>
          </w:p>
        </w:tc>
      </w:tr>
      <w:tr w:rsidR="00617FC9" w:rsidRPr="00986D12" w14:paraId="53F63541" w14:textId="77777777" w:rsidTr="006961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7CD452C6"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AFR</w:t>
            </w:r>
          </w:p>
        </w:tc>
        <w:tc>
          <w:tcPr>
            <w:tcW w:w="3281" w:type="dxa"/>
            <w:tcMar>
              <w:left w:w="105" w:type="dxa"/>
              <w:right w:w="105" w:type="dxa"/>
            </w:tcMar>
          </w:tcPr>
          <w:p w14:paraId="78788005"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1 MS request for assessment of CIRT maturity</w:t>
            </w:r>
          </w:p>
        </w:tc>
        <w:tc>
          <w:tcPr>
            <w:tcW w:w="3181" w:type="dxa"/>
            <w:tcMar>
              <w:left w:w="105" w:type="dxa"/>
              <w:right w:w="105" w:type="dxa"/>
            </w:tcMar>
          </w:tcPr>
          <w:p w14:paraId="41D43707"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Acknowledgement is sent within 24 hours. Time taken to completion: 6 months.</w:t>
            </w:r>
          </w:p>
        </w:tc>
        <w:tc>
          <w:tcPr>
            <w:tcW w:w="1134" w:type="dxa"/>
            <w:tcMar>
              <w:left w:w="105" w:type="dxa"/>
              <w:right w:w="105" w:type="dxa"/>
            </w:tcMar>
          </w:tcPr>
          <w:p w14:paraId="054FE116"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p>
        </w:tc>
        <w:tc>
          <w:tcPr>
            <w:tcW w:w="1126" w:type="dxa"/>
            <w:tcMar>
              <w:left w:w="105" w:type="dxa"/>
              <w:right w:w="105" w:type="dxa"/>
            </w:tcMar>
          </w:tcPr>
          <w:p w14:paraId="647ABECA"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Low</w:t>
            </w:r>
          </w:p>
        </w:tc>
      </w:tr>
      <w:tr w:rsidR="00617FC9" w:rsidRPr="00986D12" w14:paraId="03109BDF" w14:textId="77777777" w:rsidTr="00696175">
        <w:trPr>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2765F1B4"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lastRenderedPageBreak/>
              <w:t>AMS</w:t>
            </w:r>
          </w:p>
        </w:tc>
        <w:tc>
          <w:tcPr>
            <w:tcW w:w="3281" w:type="dxa"/>
            <w:tcMar>
              <w:left w:w="105" w:type="dxa"/>
              <w:right w:w="105" w:type="dxa"/>
            </w:tcMar>
          </w:tcPr>
          <w:p w14:paraId="0CF6603C"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MS request for support for the negotiation and signature of a Joint Declaration</w:t>
            </w:r>
          </w:p>
        </w:tc>
        <w:tc>
          <w:tcPr>
            <w:tcW w:w="3181" w:type="dxa"/>
            <w:tcMar>
              <w:left w:w="105" w:type="dxa"/>
              <w:right w:w="105" w:type="dxa"/>
            </w:tcMar>
          </w:tcPr>
          <w:p w14:paraId="62D6891B"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Acknowledgement is sent within 24 hours. Time taken to completion: 1 month (including draft review, internal coordination, and high-level decision process).</w:t>
            </w:r>
            <w:r w:rsidRPr="00986D12">
              <w:rPr>
                <w:rFonts w:asciiTheme="minorHAnsi" w:hAnsiTheme="minorHAnsi" w:cstheme="minorHAnsi"/>
                <w:sz w:val="16"/>
                <w:szCs w:val="16"/>
              </w:rPr>
              <w:t xml:space="preserve"> </w:t>
            </w:r>
          </w:p>
        </w:tc>
        <w:tc>
          <w:tcPr>
            <w:tcW w:w="1134" w:type="dxa"/>
            <w:tcMar>
              <w:left w:w="105" w:type="dxa"/>
              <w:right w:w="105" w:type="dxa"/>
            </w:tcMar>
          </w:tcPr>
          <w:p w14:paraId="5B56AA32"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p>
        </w:tc>
        <w:tc>
          <w:tcPr>
            <w:tcW w:w="1126" w:type="dxa"/>
            <w:tcMar>
              <w:left w:w="105" w:type="dxa"/>
              <w:right w:w="105" w:type="dxa"/>
            </w:tcMar>
          </w:tcPr>
          <w:p w14:paraId="26CC34C1"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r w:rsidRPr="00986D12">
              <w:rPr>
                <w:rFonts w:asciiTheme="minorHAnsi" w:hAnsiTheme="minorHAnsi" w:cstheme="minorHAnsi"/>
                <w:sz w:val="16"/>
                <w:szCs w:val="16"/>
              </w:rPr>
              <w:t xml:space="preserve"> </w:t>
            </w:r>
          </w:p>
        </w:tc>
      </w:tr>
      <w:tr w:rsidR="00617FC9" w:rsidRPr="00986D12" w14:paraId="4F95094A" w14:textId="77777777" w:rsidTr="006961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2F385FA1"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ARB</w:t>
            </w:r>
          </w:p>
        </w:tc>
        <w:tc>
          <w:tcPr>
            <w:tcW w:w="3281" w:type="dxa"/>
            <w:tcMar>
              <w:left w:w="105" w:type="dxa"/>
              <w:right w:w="105" w:type="dxa"/>
            </w:tcMar>
          </w:tcPr>
          <w:p w14:paraId="20B95E03"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 xml:space="preserve">2 MS requests on ICTs policy formulation and licensing regime </w:t>
            </w:r>
          </w:p>
        </w:tc>
        <w:tc>
          <w:tcPr>
            <w:tcW w:w="3181" w:type="dxa"/>
            <w:tcMar>
              <w:left w:w="105" w:type="dxa"/>
              <w:right w:w="105" w:type="dxa"/>
            </w:tcMar>
          </w:tcPr>
          <w:p w14:paraId="02585E41"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Acknowledgement is sent within 48 hours. Time taken to completion: 1 request took 3 months (including draft ToR review, internal coordination, hiring the expert and finalizing the report. The 2</w:t>
            </w:r>
            <w:r w:rsidRPr="00986D12">
              <w:rPr>
                <w:rFonts w:asciiTheme="minorHAnsi" w:hAnsiTheme="minorHAnsi" w:cstheme="minorHAnsi"/>
                <w:sz w:val="16"/>
                <w:szCs w:val="16"/>
                <w:vertAlign w:val="superscript"/>
                <w:lang w:val="en-US"/>
              </w:rPr>
              <w:t>nd</w:t>
            </w:r>
            <w:r w:rsidRPr="00986D12">
              <w:rPr>
                <w:rFonts w:asciiTheme="minorHAnsi" w:hAnsiTheme="minorHAnsi" w:cstheme="minorHAnsi"/>
                <w:sz w:val="16"/>
                <w:szCs w:val="16"/>
                <w:lang w:val="en-US"/>
              </w:rPr>
              <w:t xml:space="preserve"> request was delayed after WTDC25.</w:t>
            </w:r>
          </w:p>
        </w:tc>
        <w:tc>
          <w:tcPr>
            <w:tcW w:w="1134" w:type="dxa"/>
            <w:tcMar>
              <w:left w:w="105" w:type="dxa"/>
              <w:right w:w="105" w:type="dxa"/>
            </w:tcMar>
          </w:tcPr>
          <w:p w14:paraId="132489D4"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r w:rsidRPr="00986D12">
              <w:rPr>
                <w:rFonts w:asciiTheme="minorHAnsi" w:hAnsiTheme="minorHAnsi" w:cstheme="minorHAnsi"/>
                <w:sz w:val="16"/>
                <w:szCs w:val="16"/>
              </w:rPr>
              <w:t xml:space="preserve"> </w:t>
            </w:r>
          </w:p>
        </w:tc>
        <w:tc>
          <w:tcPr>
            <w:tcW w:w="1126" w:type="dxa"/>
            <w:tcMar>
              <w:left w:w="105" w:type="dxa"/>
              <w:right w:w="105" w:type="dxa"/>
            </w:tcMar>
          </w:tcPr>
          <w:p w14:paraId="7BC855EB"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r w:rsidRPr="00986D12">
              <w:rPr>
                <w:rFonts w:asciiTheme="minorHAnsi" w:hAnsiTheme="minorHAnsi" w:cstheme="minorHAnsi"/>
                <w:sz w:val="16"/>
                <w:szCs w:val="16"/>
              </w:rPr>
              <w:t xml:space="preserve"> </w:t>
            </w:r>
          </w:p>
        </w:tc>
      </w:tr>
      <w:tr w:rsidR="00617FC9" w:rsidRPr="00986D12" w14:paraId="31960213" w14:textId="77777777" w:rsidTr="00696175">
        <w:trPr>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23922B89"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ARB</w:t>
            </w:r>
          </w:p>
        </w:tc>
        <w:tc>
          <w:tcPr>
            <w:tcW w:w="3281" w:type="dxa"/>
            <w:tcMar>
              <w:left w:w="105" w:type="dxa"/>
              <w:right w:w="105" w:type="dxa"/>
            </w:tcMar>
          </w:tcPr>
          <w:p w14:paraId="399CDD78"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2 MS requests on NETP validation and training on CB EWS and CAP</w:t>
            </w:r>
          </w:p>
        </w:tc>
        <w:tc>
          <w:tcPr>
            <w:tcW w:w="3181" w:type="dxa"/>
            <w:tcMar>
              <w:left w:w="105" w:type="dxa"/>
              <w:right w:w="105" w:type="dxa"/>
            </w:tcMar>
          </w:tcPr>
          <w:p w14:paraId="51E90EFF"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Acknowledgement is sent within 48 hours. The requests were delayed to OP26.</w:t>
            </w:r>
          </w:p>
        </w:tc>
        <w:tc>
          <w:tcPr>
            <w:tcW w:w="1134" w:type="dxa"/>
            <w:tcMar>
              <w:left w:w="105" w:type="dxa"/>
              <w:right w:w="105" w:type="dxa"/>
            </w:tcMar>
          </w:tcPr>
          <w:p w14:paraId="74F134A2"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r w:rsidRPr="00986D12">
              <w:rPr>
                <w:rFonts w:asciiTheme="minorHAnsi" w:hAnsiTheme="minorHAnsi" w:cstheme="minorHAnsi"/>
                <w:sz w:val="16"/>
                <w:szCs w:val="16"/>
              </w:rPr>
              <w:t xml:space="preserve"> </w:t>
            </w:r>
          </w:p>
        </w:tc>
        <w:tc>
          <w:tcPr>
            <w:tcW w:w="1126" w:type="dxa"/>
            <w:tcMar>
              <w:left w:w="105" w:type="dxa"/>
              <w:right w:w="105" w:type="dxa"/>
            </w:tcMar>
          </w:tcPr>
          <w:p w14:paraId="647D2F8C"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r w:rsidRPr="00986D12">
              <w:rPr>
                <w:rFonts w:asciiTheme="minorHAnsi" w:hAnsiTheme="minorHAnsi" w:cstheme="minorHAnsi"/>
                <w:sz w:val="16"/>
                <w:szCs w:val="16"/>
              </w:rPr>
              <w:t xml:space="preserve"> </w:t>
            </w:r>
          </w:p>
        </w:tc>
      </w:tr>
      <w:tr w:rsidR="00617FC9" w:rsidRPr="00986D12" w14:paraId="103F4F19" w14:textId="77777777" w:rsidTr="006961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62DA622D"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ARB</w:t>
            </w:r>
            <w:r w:rsidRPr="00986D12">
              <w:rPr>
                <w:rFonts w:asciiTheme="minorHAnsi" w:hAnsiTheme="minorHAnsi" w:cstheme="minorHAnsi"/>
                <w:sz w:val="16"/>
                <w:szCs w:val="16"/>
              </w:rPr>
              <w:t xml:space="preserve"> </w:t>
            </w:r>
          </w:p>
        </w:tc>
        <w:tc>
          <w:tcPr>
            <w:tcW w:w="3281" w:type="dxa"/>
            <w:tcMar>
              <w:left w:w="105" w:type="dxa"/>
              <w:right w:w="105" w:type="dxa"/>
            </w:tcMar>
          </w:tcPr>
          <w:p w14:paraId="6EF538ED"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1 MS request to support by assessing the enabling environment for immersive technologies</w:t>
            </w:r>
          </w:p>
        </w:tc>
        <w:tc>
          <w:tcPr>
            <w:tcW w:w="3181" w:type="dxa"/>
            <w:tcMar>
              <w:left w:w="105" w:type="dxa"/>
              <w:right w:w="105" w:type="dxa"/>
            </w:tcMar>
          </w:tcPr>
          <w:p w14:paraId="5095E178"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Acknowledgement sent within 48 hours and follow up meetings were set up with the government and the partner involved that eventually led to assisting the country and meeting this request.</w:t>
            </w:r>
            <w:r w:rsidRPr="00986D12">
              <w:rPr>
                <w:rFonts w:asciiTheme="minorHAnsi" w:hAnsiTheme="minorHAnsi" w:cstheme="minorHAnsi"/>
                <w:sz w:val="16"/>
                <w:szCs w:val="16"/>
              </w:rPr>
              <w:t xml:space="preserve"> </w:t>
            </w:r>
          </w:p>
        </w:tc>
        <w:tc>
          <w:tcPr>
            <w:tcW w:w="1134" w:type="dxa"/>
            <w:tcMar>
              <w:left w:w="105" w:type="dxa"/>
              <w:right w:w="105" w:type="dxa"/>
            </w:tcMar>
          </w:tcPr>
          <w:p w14:paraId="20F79EB9"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r w:rsidRPr="00986D12">
              <w:rPr>
                <w:rFonts w:asciiTheme="minorHAnsi" w:hAnsiTheme="minorHAnsi" w:cstheme="minorHAnsi"/>
                <w:sz w:val="16"/>
                <w:szCs w:val="16"/>
              </w:rPr>
              <w:t xml:space="preserve"> </w:t>
            </w:r>
          </w:p>
        </w:tc>
        <w:tc>
          <w:tcPr>
            <w:tcW w:w="1126" w:type="dxa"/>
            <w:tcMar>
              <w:left w:w="105" w:type="dxa"/>
              <w:right w:w="105" w:type="dxa"/>
            </w:tcMar>
          </w:tcPr>
          <w:p w14:paraId="5690E8C9"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r w:rsidRPr="00986D12">
              <w:rPr>
                <w:rFonts w:asciiTheme="minorHAnsi" w:hAnsiTheme="minorHAnsi" w:cstheme="minorHAnsi"/>
                <w:sz w:val="16"/>
                <w:szCs w:val="16"/>
              </w:rPr>
              <w:t xml:space="preserve"> </w:t>
            </w:r>
          </w:p>
        </w:tc>
      </w:tr>
      <w:tr w:rsidR="00617FC9" w:rsidRPr="00986D12" w14:paraId="0265BB15" w14:textId="77777777" w:rsidTr="00696175">
        <w:trPr>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67CA3105"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ARB</w:t>
            </w:r>
            <w:r w:rsidRPr="00986D12">
              <w:rPr>
                <w:rFonts w:asciiTheme="minorHAnsi" w:hAnsiTheme="minorHAnsi" w:cstheme="minorHAnsi"/>
                <w:sz w:val="16"/>
                <w:szCs w:val="16"/>
              </w:rPr>
              <w:t xml:space="preserve"> </w:t>
            </w:r>
          </w:p>
        </w:tc>
        <w:tc>
          <w:tcPr>
            <w:tcW w:w="3281" w:type="dxa"/>
            <w:tcMar>
              <w:left w:w="105" w:type="dxa"/>
              <w:right w:w="105" w:type="dxa"/>
            </w:tcMar>
          </w:tcPr>
          <w:p w14:paraId="52C77CD5"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2 MS requests to host events organized by the ITU Arab Regional Office in reply to a circular letter sent out inviting hosts for the regional events</w:t>
            </w:r>
          </w:p>
        </w:tc>
        <w:tc>
          <w:tcPr>
            <w:tcW w:w="3181" w:type="dxa"/>
            <w:tcMar>
              <w:left w:w="105" w:type="dxa"/>
              <w:right w:w="105" w:type="dxa"/>
            </w:tcMar>
          </w:tcPr>
          <w:p w14:paraId="4A0CE66C"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Acknowledged receiving the requests within 24 hours.</w:t>
            </w:r>
            <w:r w:rsidRPr="00986D12">
              <w:rPr>
                <w:rFonts w:asciiTheme="minorHAnsi" w:hAnsiTheme="minorHAnsi" w:cstheme="minorHAnsi"/>
                <w:sz w:val="16"/>
                <w:szCs w:val="16"/>
              </w:rPr>
              <w:t xml:space="preserve"> </w:t>
            </w:r>
          </w:p>
        </w:tc>
        <w:tc>
          <w:tcPr>
            <w:tcW w:w="1134" w:type="dxa"/>
            <w:tcMar>
              <w:left w:w="105" w:type="dxa"/>
              <w:right w:w="105" w:type="dxa"/>
            </w:tcMar>
          </w:tcPr>
          <w:p w14:paraId="6BF09E6A"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Low</w:t>
            </w:r>
            <w:r w:rsidRPr="00986D12">
              <w:rPr>
                <w:rFonts w:asciiTheme="minorHAnsi" w:hAnsiTheme="minorHAnsi" w:cstheme="minorHAnsi"/>
                <w:sz w:val="16"/>
                <w:szCs w:val="16"/>
              </w:rPr>
              <w:t xml:space="preserve"> </w:t>
            </w:r>
          </w:p>
        </w:tc>
        <w:tc>
          <w:tcPr>
            <w:tcW w:w="1126" w:type="dxa"/>
            <w:tcMar>
              <w:left w:w="105" w:type="dxa"/>
              <w:right w:w="105" w:type="dxa"/>
            </w:tcMar>
          </w:tcPr>
          <w:p w14:paraId="08FA38E7"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Low</w:t>
            </w:r>
            <w:r w:rsidRPr="00986D12">
              <w:rPr>
                <w:rFonts w:asciiTheme="minorHAnsi" w:hAnsiTheme="minorHAnsi" w:cstheme="minorHAnsi"/>
                <w:sz w:val="16"/>
                <w:szCs w:val="16"/>
              </w:rPr>
              <w:t xml:space="preserve"> </w:t>
            </w:r>
          </w:p>
        </w:tc>
      </w:tr>
      <w:tr w:rsidR="00617FC9" w:rsidRPr="00986D12" w14:paraId="6A80F5E2" w14:textId="77777777" w:rsidTr="006961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13C6BAD8"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ARB</w:t>
            </w:r>
            <w:r w:rsidRPr="00986D12">
              <w:rPr>
                <w:rFonts w:asciiTheme="minorHAnsi" w:hAnsiTheme="minorHAnsi" w:cstheme="minorHAnsi"/>
                <w:sz w:val="16"/>
                <w:szCs w:val="16"/>
              </w:rPr>
              <w:t xml:space="preserve"> </w:t>
            </w:r>
          </w:p>
        </w:tc>
        <w:tc>
          <w:tcPr>
            <w:tcW w:w="3281" w:type="dxa"/>
            <w:tcMar>
              <w:left w:w="105" w:type="dxa"/>
              <w:right w:w="105" w:type="dxa"/>
            </w:tcMar>
          </w:tcPr>
          <w:p w14:paraId="49FABC60"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1 MS request to organize a webinar on the metaverse organized within the work of the ITU-T focus group on the metaverse</w:t>
            </w:r>
            <w:r w:rsidRPr="00986D12">
              <w:rPr>
                <w:rFonts w:asciiTheme="minorHAnsi" w:hAnsiTheme="minorHAnsi" w:cstheme="minorHAnsi"/>
                <w:sz w:val="16"/>
                <w:szCs w:val="16"/>
              </w:rPr>
              <w:t xml:space="preserve"> </w:t>
            </w:r>
          </w:p>
        </w:tc>
        <w:tc>
          <w:tcPr>
            <w:tcW w:w="3181" w:type="dxa"/>
            <w:tcMar>
              <w:left w:w="105" w:type="dxa"/>
              <w:right w:w="105" w:type="dxa"/>
            </w:tcMar>
          </w:tcPr>
          <w:p w14:paraId="3319796E"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Acknowledged within 24 hours and coordinated closely with the government and the other partners to contribute to its organization.</w:t>
            </w:r>
          </w:p>
        </w:tc>
        <w:tc>
          <w:tcPr>
            <w:tcW w:w="1134" w:type="dxa"/>
            <w:tcMar>
              <w:left w:w="105" w:type="dxa"/>
              <w:right w:w="105" w:type="dxa"/>
            </w:tcMar>
          </w:tcPr>
          <w:p w14:paraId="73544088"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Low</w:t>
            </w:r>
            <w:r w:rsidRPr="00986D12">
              <w:rPr>
                <w:rFonts w:asciiTheme="minorHAnsi" w:hAnsiTheme="minorHAnsi" w:cstheme="minorHAnsi"/>
                <w:sz w:val="16"/>
                <w:szCs w:val="16"/>
              </w:rPr>
              <w:t xml:space="preserve"> </w:t>
            </w:r>
          </w:p>
        </w:tc>
        <w:tc>
          <w:tcPr>
            <w:tcW w:w="1126" w:type="dxa"/>
            <w:tcMar>
              <w:left w:w="105" w:type="dxa"/>
              <w:right w:w="105" w:type="dxa"/>
            </w:tcMar>
          </w:tcPr>
          <w:p w14:paraId="023C9DDE"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Low</w:t>
            </w:r>
            <w:r w:rsidRPr="00986D12">
              <w:rPr>
                <w:rFonts w:asciiTheme="minorHAnsi" w:hAnsiTheme="minorHAnsi" w:cstheme="minorHAnsi"/>
                <w:sz w:val="16"/>
                <w:szCs w:val="16"/>
              </w:rPr>
              <w:t xml:space="preserve"> </w:t>
            </w:r>
          </w:p>
        </w:tc>
      </w:tr>
      <w:tr w:rsidR="00617FC9" w:rsidRPr="00986D12" w14:paraId="544873E3" w14:textId="77777777" w:rsidTr="00696175">
        <w:trPr>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7065CDB2"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ARB</w:t>
            </w:r>
            <w:r w:rsidRPr="00986D12">
              <w:rPr>
                <w:rFonts w:asciiTheme="minorHAnsi" w:hAnsiTheme="minorHAnsi" w:cstheme="minorHAnsi"/>
                <w:sz w:val="16"/>
                <w:szCs w:val="16"/>
              </w:rPr>
              <w:t xml:space="preserve"> </w:t>
            </w:r>
          </w:p>
        </w:tc>
        <w:tc>
          <w:tcPr>
            <w:tcW w:w="3281" w:type="dxa"/>
            <w:tcMar>
              <w:left w:w="105" w:type="dxa"/>
              <w:right w:w="105" w:type="dxa"/>
            </w:tcMar>
          </w:tcPr>
          <w:p w14:paraId="0C911A68"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2 MS requests to develop Digital Innovation Profiles (DIP)</w:t>
            </w:r>
          </w:p>
        </w:tc>
        <w:tc>
          <w:tcPr>
            <w:tcW w:w="3181" w:type="dxa"/>
            <w:tcMar>
              <w:left w:w="105" w:type="dxa"/>
              <w:right w:w="105" w:type="dxa"/>
            </w:tcMar>
          </w:tcPr>
          <w:p w14:paraId="35AEBB42"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 xml:space="preserve">Acknowledged within 48 hours and coordinated to </w:t>
            </w:r>
            <w:proofErr w:type="gramStart"/>
            <w:r w:rsidRPr="00986D12">
              <w:rPr>
                <w:rFonts w:asciiTheme="minorHAnsi" w:hAnsiTheme="minorHAnsi" w:cstheme="minorHAnsi"/>
                <w:sz w:val="16"/>
                <w:szCs w:val="16"/>
                <w:lang w:val="en-US"/>
              </w:rPr>
              <w:t>setup</w:t>
            </w:r>
            <w:proofErr w:type="gramEnd"/>
            <w:r w:rsidRPr="00986D12">
              <w:rPr>
                <w:rFonts w:asciiTheme="minorHAnsi" w:hAnsiTheme="minorHAnsi" w:cstheme="minorHAnsi"/>
                <w:sz w:val="16"/>
                <w:szCs w:val="16"/>
                <w:lang w:val="en-US"/>
              </w:rPr>
              <w:t xml:space="preserve"> an introduction meeting on the DIP process followed by another kickoff meeting. Eventually, these requests were fulfilled.</w:t>
            </w:r>
          </w:p>
        </w:tc>
        <w:tc>
          <w:tcPr>
            <w:tcW w:w="1134" w:type="dxa"/>
            <w:tcMar>
              <w:left w:w="105" w:type="dxa"/>
              <w:right w:w="105" w:type="dxa"/>
            </w:tcMar>
          </w:tcPr>
          <w:p w14:paraId="0B52A4A7"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r w:rsidRPr="00986D12">
              <w:rPr>
                <w:rFonts w:asciiTheme="minorHAnsi" w:hAnsiTheme="minorHAnsi" w:cstheme="minorHAnsi"/>
                <w:sz w:val="16"/>
                <w:szCs w:val="16"/>
              </w:rPr>
              <w:t xml:space="preserve"> </w:t>
            </w:r>
          </w:p>
        </w:tc>
        <w:tc>
          <w:tcPr>
            <w:tcW w:w="1126" w:type="dxa"/>
            <w:tcMar>
              <w:left w:w="105" w:type="dxa"/>
              <w:right w:w="105" w:type="dxa"/>
            </w:tcMar>
          </w:tcPr>
          <w:p w14:paraId="7C834DB1"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r w:rsidRPr="00986D12">
              <w:rPr>
                <w:rFonts w:asciiTheme="minorHAnsi" w:hAnsiTheme="minorHAnsi" w:cstheme="minorHAnsi"/>
                <w:sz w:val="16"/>
                <w:szCs w:val="16"/>
              </w:rPr>
              <w:t xml:space="preserve"> </w:t>
            </w:r>
          </w:p>
        </w:tc>
      </w:tr>
      <w:tr w:rsidR="00617FC9" w:rsidRPr="00986D12" w14:paraId="598D944F" w14:textId="77777777" w:rsidTr="006961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7A92BD94"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ASP</w:t>
            </w:r>
            <w:r w:rsidRPr="00986D12">
              <w:rPr>
                <w:rFonts w:asciiTheme="minorHAnsi" w:hAnsiTheme="minorHAnsi" w:cstheme="minorHAnsi"/>
                <w:sz w:val="16"/>
                <w:szCs w:val="16"/>
              </w:rPr>
              <w:t xml:space="preserve"> </w:t>
            </w:r>
          </w:p>
        </w:tc>
        <w:tc>
          <w:tcPr>
            <w:tcW w:w="3281" w:type="dxa"/>
            <w:tcMar>
              <w:left w:w="105" w:type="dxa"/>
              <w:right w:w="105" w:type="dxa"/>
            </w:tcMar>
          </w:tcPr>
          <w:p w14:paraId="6A7FC91B"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5 MS requests for digital inclusion, policy and regulation, and capacity development</w:t>
            </w:r>
          </w:p>
        </w:tc>
        <w:tc>
          <w:tcPr>
            <w:tcW w:w="3181" w:type="dxa"/>
            <w:tcMar>
              <w:left w:w="105" w:type="dxa"/>
              <w:right w:w="105" w:type="dxa"/>
            </w:tcMar>
          </w:tcPr>
          <w:p w14:paraId="4352F1D7"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Acknowledgement sent within 2-3 days, and the TAs implemented in approximately 40 days.</w:t>
            </w:r>
            <w:r w:rsidRPr="00986D12">
              <w:rPr>
                <w:rFonts w:asciiTheme="minorHAnsi" w:hAnsiTheme="minorHAnsi" w:cstheme="minorHAnsi"/>
                <w:sz w:val="16"/>
                <w:szCs w:val="16"/>
              </w:rPr>
              <w:t xml:space="preserve"> </w:t>
            </w:r>
          </w:p>
        </w:tc>
        <w:tc>
          <w:tcPr>
            <w:tcW w:w="1134" w:type="dxa"/>
            <w:tcMar>
              <w:left w:w="105" w:type="dxa"/>
              <w:right w:w="105" w:type="dxa"/>
            </w:tcMar>
          </w:tcPr>
          <w:p w14:paraId="6014A78F"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r w:rsidRPr="00986D12">
              <w:rPr>
                <w:rFonts w:asciiTheme="minorHAnsi" w:hAnsiTheme="minorHAnsi" w:cstheme="minorHAnsi"/>
                <w:sz w:val="16"/>
                <w:szCs w:val="16"/>
              </w:rPr>
              <w:t xml:space="preserve"> </w:t>
            </w:r>
          </w:p>
        </w:tc>
        <w:tc>
          <w:tcPr>
            <w:tcW w:w="1126" w:type="dxa"/>
            <w:tcMar>
              <w:left w:w="105" w:type="dxa"/>
              <w:right w:w="105" w:type="dxa"/>
            </w:tcMar>
          </w:tcPr>
          <w:p w14:paraId="136D0CB7"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Low</w:t>
            </w:r>
            <w:r w:rsidRPr="00986D12">
              <w:rPr>
                <w:rFonts w:asciiTheme="minorHAnsi" w:hAnsiTheme="minorHAnsi" w:cstheme="minorHAnsi"/>
                <w:sz w:val="16"/>
                <w:szCs w:val="16"/>
              </w:rPr>
              <w:t xml:space="preserve"> </w:t>
            </w:r>
          </w:p>
        </w:tc>
      </w:tr>
      <w:tr w:rsidR="00617FC9" w:rsidRPr="00986D12" w14:paraId="42FC255F" w14:textId="77777777" w:rsidTr="00696175">
        <w:trPr>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277F6DA6"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ASP</w:t>
            </w:r>
            <w:r w:rsidRPr="00986D12">
              <w:rPr>
                <w:rFonts w:asciiTheme="minorHAnsi" w:hAnsiTheme="minorHAnsi" w:cstheme="minorHAnsi"/>
                <w:sz w:val="16"/>
                <w:szCs w:val="16"/>
              </w:rPr>
              <w:t xml:space="preserve"> </w:t>
            </w:r>
          </w:p>
        </w:tc>
        <w:tc>
          <w:tcPr>
            <w:tcW w:w="3281" w:type="dxa"/>
            <w:tcMar>
              <w:left w:w="105" w:type="dxa"/>
              <w:right w:w="105" w:type="dxa"/>
            </w:tcMar>
          </w:tcPr>
          <w:p w14:paraId="5E9E2FB3"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4 MS requests for emergency telecom and cybersecurity support</w:t>
            </w:r>
          </w:p>
        </w:tc>
        <w:tc>
          <w:tcPr>
            <w:tcW w:w="3181" w:type="dxa"/>
            <w:tcMar>
              <w:left w:w="105" w:type="dxa"/>
              <w:right w:w="105" w:type="dxa"/>
            </w:tcMar>
          </w:tcPr>
          <w:p w14:paraId="7598E148"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Acknowledgement sent within 24 hours, and the TAs implemented in approximately 15 days.</w:t>
            </w:r>
          </w:p>
        </w:tc>
        <w:tc>
          <w:tcPr>
            <w:tcW w:w="1134" w:type="dxa"/>
            <w:tcMar>
              <w:left w:w="105" w:type="dxa"/>
              <w:right w:w="105" w:type="dxa"/>
            </w:tcMar>
          </w:tcPr>
          <w:p w14:paraId="05077FA5"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r w:rsidRPr="00986D12">
              <w:rPr>
                <w:rFonts w:asciiTheme="minorHAnsi" w:hAnsiTheme="minorHAnsi" w:cstheme="minorHAnsi"/>
                <w:sz w:val="16"/>
                <w:szCs w:val="16"/>
              </w:rPr>
              <w:t xml:space="preserve"> </w:t>
            </w:r>
          </w:p>
        </w:tc>
        <w:tc>
          <w:tcPr>
            <w:tcW w:w="1126" w:type="dxa"/>
            <w:tcMar>
              <w:left w:w="105" w:type="dxa"/>
              <w:right w:w="105" w:type="dxa"/>
            </w:tcMar>
          </w:tcPr>
          <w:p w14:paraId="0BB8936B"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r w:rsidRPr="00986D12">
              <w:rPr>
                <w:rFonts w:asciiTheme="minorHAnsi" w:hAnsiTheme="minorHAnsi" w:cstheme="minorHAnsi"/>
                <w:sz w:val="16"/>
                <w:szCs w:val="16"/>
              </w:rPr>
              <w:t xml:space="preserve"> </w:t>
            </w:r>
          </w:p>
        </w:tc>
      </w:tr>
      <w:tr w:rsidR="00617FC9" w:rsidRPr="00986D12" w14:paraId="5798101B" w14:textId="77777777" w:rsidTr="006961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5E327B83"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ASP</w:t>
            </w:r>
            <w:r w:rsidRPr="00986D12">
              <w:rPr>
                <w:rFonts w:asciiTheme="minorHAnsi" w:hAnsiTheme="minorHAnsi" w:cstheme="minorHAnsi"/>
                <w:sz w:val="16"/>
                <w:szCs w:val="16"/>
              </w:rPr>
              <w:t xml:space="preserve"> </w:t>
            </w:r>
          </w:p>
        </w:tc>
        <w:tc>
          <w:tcPr>
            <w:tcW w:w="3281" w:type="dxa"/>
            <w:tcMar>
              <w:left w:w="105" w:type="dxa"/>
              <w:right w:w="105" w:type="dxa"/>
            </w:tcMar>
          </w:tcPr>
          <w:p w14:paraId="51B92DCD"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3 MS requests for network and infrastructure, digital services, ICT statistics and e-waste</w:t>
            </w:r>
            <w:r w:rsidRPr="00986D12">
              <w:rPr>
                <w:rFonts w:asciiTheme="minorHAnsi" w:hAnsiTheme="minorHAnsi" w:cstheme="minorHAnsi"/>
                <w:sz w:val="16"/>
                <w:szCs w:val="16"/>
              </w:rPr>
              <w:t xml:space="preserve"> </w:t>
            </w:r>
          </w:p>
        </w:tc>
        <w:tc>
          <w:tcPr>
            <w:tcW w:w="3181" w:type="dxa"/>
            <w:tcMar>
              <w:left w:w="105" w:type="dxa"/>
              <w:right w:w="105" w:type="dxa"/>
            </w:tcMar>
          </w:tcPr>
          <w:p w14:paraId="481EE9D0"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Acknowledgement sent within 2-3 days, and the TAs implemented in approximately 40 days.</w:t>
            </w:r>
          </w:p>
        </w:tc>
        <w:tc>
          <w:tcPr>
            <w:tcW w:w="1134" w:type="dxa"/>
            <w:tcMar>
              <w:left w:w="105" w:type="dxa"/>
              <w:right w:w="105" w:type="dxa"/>
            </w:tcMar>
          </w:tcPr>
          <w:p w14:paraId="64FCB052"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High</w:t>
            </w:r>
            <w:r w:rsidRPr="00986D12">
              <w:rPr>
                <w:rFonts w:asciiTheme="minorHAnsi" w:hAnsiTheme="minorHAnsi" w:cstheme="minorHAnsi"/>
                <w:sz w:val="16"/>
                <w:szCs w:val="16"/>
              </w:rPr>
              <w:t xml:space="preserve"> </w:t>
            </w:r>
          </w:p>
        </w:tc>
        <w:tc>
          <w:tcPr>
            <w:tcW w:w="1126" w:type="dxa"/>
            <w:tcMar>
              <w:left w:w="105" w:type="dxa"/>
              <w:right w:w="105" w:type="dxa"/>
            </w:tcMar>
          </w:tcPr>
          <w:p w14:paraId="4D0518DF"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Low</w:t>
            </w:r>
            <w:r w:rsidRPr="00986D12">
              <w:rPr>
                <w:rFonts w:asciiTheme="minorHAnsi" w:hAnsiTheme="minorHAnsi" w:cstheme="minorHAnsi"/>
                <w:sz w:val="16"/>
                <w:szCs w:val="16"/>
              </w:rPr>
              <w:t xml:space="preserve"> </w:t>
            </w:r>
          </w:p>
        </w:tc>
      </w:tr>
      <w:tr w:rsidR="00617FC9" w:rsidRPr="00986D12" w14:paraId="5111CB87" w14:textId="77777777" w:rsidTr="00696175">
        <w:trPr>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7FAEC7A0"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CIS</w:t>
            </w:r>
            <w:r w:rsidRPr="00986D12">
              <w:rPr>
                <w:rFonts w:asciiTheme="minorHAnsi" w:hAnsiTheme="minorHAnsi" w:cstheme="minorHAnsi"/>
                <w:sz w:val="16"/>
                <w:szCs w:val="16"/>
              </w:rPr>
              <w:t xml:space="preserve"> </w:t>
            </w:r>
          </w:p>
        </w:tc>
        <w:tc>
          <w:tcPr>
            <w:tcW w:w="3281" w:type="dxa"/>
            <w:tcMar>
              <w:left w:w="105" w:type="dxa"/>
              <w:right w:w="105" w:type="dxa"/>
            </w:tcMar>
          </w:tcPr>
          <w:p w14:paraId="6F2D53F0"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1 MS request related to Statistics</w:t>
            </w:r>
          </w:p>
        </w:tc>
        <w:tc>
          <w:tcPr>
            <w:tcW w:w="3181" w:type="dxa"/>
            <w:tcMar>
              <w:left w:w="105" w:type="dxa"/>
              <w:right w:w="105" w:type="dxa"/>
            </w:tcMar>
          </w:tcPr>
          <w:p w14:paraId="38FA001F"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 xml:space="preserve">Acknowledgement sent in 2 days. The required information presented </w:t>
            </w:r>
            <w:proofErr w:type="gramStart"/>
            <w:r w:rsidRPr="00986D12">
              <w:rPr>
                <w:rFonts w:asciiTheme="minorHAnsi" w:hAnsiTheme="minorHAnsi" w:cstheme="minorHAnsi"/>
                <w:sz w:val="16"/>
                <w:szCs w:val="16"/>
                <w:lang w:val="en-US"/>
              </w:rPr>
              <w:t>in the course of</w:t>
            </w:r>
            <w:proofErr w:type="gramEnd"/>
            <w:r w:rsidRPr="00986D12">
              <w:rPr>
                <w:rFonts w:asciiTheme="minorHAnsi" w:hAnsiTheme="minorHAnsi" w:cstheme="minorHAnsi"/>
                <w:sz w:val="16"/>
                <w:szCs w:val="16"/>
                <w:lang w:val="en-US"/>
              </w:rPr>
              <w:t xml:space="preserve"> two months.</w:t>
            </w:r>
          </w:p>
        </w:tc>
        <w:tc>
          <w:tcPr>
            <w:tcW w:w="1134" w:type="dxa"/>
            <w:tcMar>
              <w:left w:w="105" w:type="dxa"/>
              <w:right w:w="105" w:type="dxa"/>
            </w:tcMar>
          </w:tcPr>
          <w:p w14:paraId="69E36852"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Low</w:t>
            </w:r>
            <w:r w:rsidRPr="00986D12">
              <w:rPr>
                <w:rFonts w:asciiTheme="minorHAnsi" w:hAnsiTheme="minorHAnsi" w:cstheme="minorHAnsi"/>
                <w:sz w:val="16"/>
                <w:szCs w:val="16"/>
              </w:rPr>
              <w:t xml:space="preserve"> </w:t>
            </w:r>
          </w:p>
        </w:tc>
        <w:tc>
          <w:tcPr>
            <w:tcW w:w="1126" w:type="dxa"/>
            <w:tcMar>
              <w:left w:w="105" w:type="dxa"/>
              <w:right w:w="105" w:type="dxa"/>
            </w:tcMar>
          </w:tcPr>
          <w:p w14:paraId="5426016E"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Medium</w:t>
            </w:r>
            <w:r w:rsidRPr="00986D12">
              <w:rPr>
                <w:rFonts w:asciiTheme="minorHAnsi" w:hAnsiTheme="minorHAnsi" w:cstheme="minorHAnsi"/>
                <w:sz w:val="16"/>
                <w:szCs w:val="16"/>
              </w:rPr>
              <w:t xml:space="preserve"> </w:t>
            </w:r>
          </w:p>
        </w:tc>
      </w:tr>
      <w:tr w:rsidR="00617FC9" w:rsidRPr="00986D12" w14:paraId="6117A12E" w14:textId="77777777" w:rsidTr="0069617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32B9C978"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CIS</w:t>
            </w:r>
            <w:r w:rsidRPr="00986D12">
              <w:rPr>
                <w:rFonts w:asciiTheme="minorHAnsi" w:hAnsiTheme="minorHAnsi" w:cstheme="minorHAnsi"/>
                <w:sz w:val="16"/>
                <w:szCs w:val="16"/>
              </w:rPr>
              <w:t xml:space="preserve"> </w:t>
            </w:r>
          </w:p>
        </w:tc>
        <w:tc>
          <w:tcPr>
            <w:tcW w:w="3281" w:type="dxa"/>
            <w:tcMar>
              <w:left w:w="105" w:type="dxa"/>
              <w:right w:w="105" w:type="dxa"/>
            </w:tcMar>
          </w:tcPr>
          <w:p w14:paraId="1C72C8C1"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 xml:space="preserve">All MS requests were received as part of the OP-24 consultation process in Q3 2023 and were planned according to be implemented in </w:t>
            </w:r>
            <w:proofErr w:type="gramStart"/>
            <w:r w:rsidRPr="00986D12">
              <w:rPr>
                <w:rFonts w:asciiTheme="minorHAnsi" w:hAnsiTheme="minorHAnsi" w:cstheme="minorHAnsi"/>
                <w:sz w:val="16"/>
                <w:szCs w:val="16"/>
                <w:lang w:val="en-US"/>
              </w:rPr>
              <w:t>the OP</w:t>
            </w:r>
            <w:proofErr w:type="gramEnd"/>
            <w:r w:rsidRPr="00986D12">
              <w:rPr>
                <w:rFonts w:asciiTheme="minorHAnsi" w:hAnsiTheme="minorHAnsi" w:cstheme="minorHAnsi"/>
                <w:sz w:val="16"/>
                <w:szCs w:val="16"/>
                <w:lang w:val="en-US"/>
              </w:rPr>
              <w:t>-24</w:t>
            </w:r>
          </w:p>
        </w:tc>
        <w:tc>
          <w:tcPr>
            <w:tcW w:w="3181" w:type="dxa"/>
            <w:tcMar>
              <w:left w:w="105" w:type="dxa"/>
              <w:right w:w="105" w:type="dxa"/>
            </w:tcMar>
          </w:tcPr>
          <w:p w14:paraId="7A8C4484"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Coordination with Member States done during the preparatory phase, as well as during organisation and implementation of the activity. The duration of activities varies from one to six months, depending on the complexity of the assistance.</w:t>
            </w:r>
          </w:p>
        </w:tc>
        <w:tc>
          <w:tcPr>
            <w:tcW w:w="1134" w:type="dxa"/>
            <w:tcMar>
              <w:left w:w="105" w:type="dxa"/>
              <w:right w:w="105" w:type="dxa"/>
            </w:tcMar>
          </w:tcPr>
          <w:p w14:paraId="722D62D4"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Various levels of complexity</w:t>
            </w:r>
            <w:r w:rsidRPr="00986D12">
              <w:rPr>
                <w:rFonts w:asciiTheme="minorHAnsi" w:hAnsiTheme="minorHAnsi" w:cstheme="minorHAnsi"/>
                <w:sz w:val="16"/>
                <w:szCs w:val="16"/>
              </w:rPr>
              <w:t xml:space="preserve"> </w:t>
            </w:r>
          </w:p>
        </w:tc>
        <w:tc>
          <w:tcPr>
            <w:tcW w:w="1126" w:type="dxa"/>
            <w:tcMar>
              <w:left w:w="105" w:type="dxa"/>
              <w:right w:w="105" w:type="dxa"/>
            </w:tcMar>
          </w:tcPr>
          <w:p w14:paraId="523547FD"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According to planned OP</w:t>
            </w:r>
            <w:r w:rsidRPr="00986D12">
              <w:rPr>
                <w:rFonts w:asciiTheme="minorHAnsi" w:hAnsiTheme="minorHAnsi" w:cstheme="minorHAnsi"/>
                <w:sz w:val="16"/>
                <w:szCs w:val="16"/>
              </w:rPr>
              <w:t xml:space="preserve"> </w:t>
            </w:r>
          </w:p>
        </w:tc>
      </w:tr>
      <w:tr w:rsidR="00617FC9" w:rsidRPr="00986D12" w14:paraId="3ACF7EF0" w14:textId="77777777" w:rsidTr="00696175">
        <w:trPr>
          <w:jc w:val="center"/>
        </w:trPr>
        <w:tc>
          <w:tcPr>
            <w:cnfStyle w:val="001000000000" w:firstRow="0" w:lastRow="0" w:firstColumn="1" w:lastColumn="0" w:oddVBand="0" w:evenVBand="0" w:oddHBand="0" w:evenHBand="0" w:firstRowFirstColumn="0" w:firstRowLastColumn="0" w:lastRowFirstColumn="0" w:lastRowLastColumn="0"/>
            <w:tcW w:w="901" w:type="dxa"/>
            <w:tcMar>
              <w:left w:w="105" w:type="dxa"/>
              <w:right w:w="105" w:type="dxa"/>
            </w:tcMar>
          </w:tcPr>
          <w:p w14:paraId="628F4D9B"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lang w:val="en-US"/>
              </w:rPr>
              <w:t>EUR</w:t>
            </w:r>
          </w:p>
        </w:tc>
        <w:tc>
          <w:tcPr>
            <w:tcW w:w="3281" w:type="dxa"/>
            <w:tcMar>
              <w:left w:w="105" w:type="dxa"/>
              <w:right w:w="105" w:type="dxa"/>
            </w:tcMar>
          </w:tcPr>
          <w:p w14:paraId="2EA122BA"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eastAsia="Avenir Nxt2 W1G" w:hAnsiTheme="minorHAnsi" w:cstheme="minorHAnsi"/>
                <w:sz w:val="16"/>
                <w:szCs w:val="16"/>
              </w:rPr>
            </w:pPr>
            <w:r w:rsidRPr="00986D12">
              <w:rPr>
                <w:rFonts w:asciiTheme="minorHAnsi" w:eastAsia="Avenir Nxt2 W1G" w:hAnsiTheme="minorHAnsi" w:cstheme="minorHAnsi"/>
                <w:sz w:val="16"/>
                <w:szCs w:val="16"/>
                <w:lang w:val="en-US"/>
              </w:rPr>
              <w:t xml:space="preserve">All MS requests were received through RDF 2023 </w:t>
            </w:r>
            <w:hyperlink r:id="rId67">
              <w:r w:rsidRPr="00986D12">
                <w:rPr>
                  <w:rStyle w:val="Hyperlink"/>
                  <w:rFonts w:asciiTheme="minorHAnsi" w:eastAsia="Avenir Nxt2 W1G" w:hAnsiTheme="minorHAnsi" w:cstheme="minorHAnsi"/>
                  <w:sz w:val="16"/>
                  <w:szCs w:val="16"/>
                  <w:lang w:val="en-US"/>
                </w:rPr>
                <w:t>process</w:t>
              </w:r>
            </w:hyperlink>
            <w:r w:rsidRPr="00986D12">
              <w:rPr>
                <w:rFonts w:asciiTheme="minorHAnsi" w:eastAsia="Avenir Nxt2 W1G" w:hAnsiTheme="minorHAnsi" w:cstheme="minorHAnsi"/>
                <w:sz w:val="16"/>
                <w:szCs w:val="16"/>
                <w:lang w:val="en-US"/>
              </w:rPr>
              <w:t xml:space="preserve"> and supplemented by the OP-24 consultation process in Q3 2023</w:t>
            </w:r>
          </w:p>
        </w:tc>
        <w:tc>
          <w:tcPr>
            <w:tcW w:w="3181" w:type="dxa"/>
            <w:tcMar>
              <w:left w:w="105" w:type="dxa"/>
              <w:right w:w="105" w:type="dxa"/>
            </w:tcMar>
          </w:tcPr>
          <w:p w14:paraId="76BE173A"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The duration of implementation depends on the complexity of the technical assistance requested by the Member State and varies between 3 to 9 months.</w:t>
            </w:r>
          </w:p>
        </w:tc>
        <w:tc>
          <w:tcPr>
            <w:tcW w:w="1134" w:type="dxa"/>
            <w:tcMar>
              <w:left w:w="105" w:type="dxa"/>
              <w:right w:w="105" w:type="dxa"/>
            </w:tcMar>
          </w:tcPr>
          <w:p w14:paraId="758E0E38"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Various levels of complexity</w:t>
            </w:r>
            <w:r w:rsidRPr="00986D12">
              <w:rPr>
                <w:rFonts w:asciiTheme="minorHAnsi" w:hAnsiTheme="minorHAnsi" w:cstheme="minorHAnsi"/>
                <w:sz w:val="16"/>
                <w:szCs w:val="16"/>
              </w:rPr>
              <w:t xml:space="preserve"> </w:t>
            </w:r>
          </w:p>
        </w:tc>
        <w:tc>
          <w:tcPr>
            <w:tcW w:w="1126" w:type="dxa"/>
            <w:tcMar>
              <w:left w:w="105" w:type="dxa"/>
              <w:right w:w="105" w:type="dxa"/>
            </w:tcMar>
          </w:tcPr>
          <w:p w14:paraId="65C467D0"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lang w:val="en-US"/>
              </w:rPr>
              <w:t>Varying degrees of urgency</w:t>
            </w:r>
            <w:r w:rsidRPr="00986D12">
              <w:rPr>
                <w:rFonts w:asciiTheme="minorHAnsi" w:hAnsiTheme="minorHAnsi" w:cstheme="minorHAnsi"/>
                <w:sz w:val="16"/>
                <w:szCs w:val="16"/>
              </w:rPr>
              <w:t xml:space="preserve"> </w:t>
            </w:r>
          </w:p>
        </w:tc>
      </w:tr>
    </w:tbl>
    <w:p w14:paraId="45459800" w14:textId="77777777" w:rsidR="00617FC9" w:rsidRPr="00986D12" w:rsidRDefault="00617FC9" w:rsidP="00617FC9">
      <w:pPr>
        <w:rPr>
          <w:rFonts w:asciiTheme="minorHAnsi" w:hAnsiTheme="minorHAnsi" w:cstheme="minorHAnsi"/>
          <w:sz w:val="16"/>
          <w:szCs w:val="16"/>
        </w:rPr>
      </w:pPr>
      <w:r w:rsidRPr="00986D12">
        <w:rPr>
          <w:rFonts w:asciiTheme="minorHAnsi" w:hAnsiTheme="minorHAnsi" w:cstheme="minorHAnsi"/>
          <w:sz w:val="16"/>
          <w:szCs w:val="16"/>
        </w:rPr>
        <w:t xml:space="preserve">Note: </w:t>
      </w:r>
      <w:r w:rsidRPr="00986D12">
        <w:rPr>
          <w:rFonts w:asciiTheme="minorHAnsi" w:hAnsiTheme="minorHAnsi" w:cstheme="minorHAnsi"/>
          <w:sz w:val="16"/>
          <w:szCs w:val="16"/>
          <w:lang w:val="en-US"/>
        </w:rPr>
        <w:t>Complexity refers to the intricacy, technical difficulty, risk, or uncertainty involved in the task, regardless of how long it takes</w:t>
      </w:r>
    </w:p>
    <w:p w14:paraId="19E51789" w14:textId="77777777" w:rsidR="00617FC9" w:rsidRPr="0046236F" w:rsidRDefault="00617FC9" w:rsidP="00617FC9">
      <w:pPr>
        <w:pStyle w:val="KPItitle"/>
        <w:jc w:val="both"/>
        <w:rPr>
          <w:rFonts w:asciiTheme="minorHAnsi" w:hAnsiTheme="minorHAnsi" w:cstheme="minorHAnsi"/>
          <w:sz w:val="24"/>
          <w:szCs w:val="24"/>
        </w:rPr>
      </w:pPr>
      <w:bookmarkStart w:id="108" w:name="_Toc224213048"/>
      <w:bookmarkStart w:id="109" w:name="_Toc224236479"/>
      <w:r w:rsidRPr="0046236F">
        <w:rPr>
          <w:rFonts w:asciiTheme="minorHAnsi" w:hAnsiTheme="minorHAnsi" w:cstheme="minorHAnsi"/>
          <w:sz w:val="24"/>
          <w:szCs w:val="24"/>
        </w:rPr>
        <w:lastRenderedPageBreak/>
        <w:t>KPI 4 — Feedback scores on the overall satisfaction with the activities of the Regional and Area Offices by their Membership</w:t>
      </w:r>
      <w:bookmarkEnd w:id="108"/>
      <w:bookmarkEnd w:id="109"/>
    </w:p>
    <w:p w14:paraId="04C4ACF4"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Overall satisfaction with the activities of the Regional and Area Offices is positive, with strong signals in areas related to effectiveness, collaboration and information dissemination.</w:t>
      </w:r>
    </w:p>
    <w:p w14:paraId="082BB960"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Membership Agreement that ITU is effective in delivering on its mandate and impact on the ground through Regional and Area Offices is high at </w:t>
      </w:r>
      <w:r w:rsidRPr="0046236F" w:rsidDel="00FD7201">
        <w:rPr>
          <w:rFonts w:asciiTheme="minorHAnsi" w:hAnsiTheme="minorHAnsi" w:cstheme="minorHAnsi"/>
          <w:szCs w:val="24"/>
        </w:rPr>
        <w:t>71</w:t>
      </w:r>
      <w:r w:rsidRPr="0046236F">
        <w:rPr>
          <w:rFonts w:asciiTheme="minorHAnsi" w:hAnsiTheme="minorHAnsi" w:cstheme="minorHAnsi"/>
          <w:szCs w:val="24"/>
        </w:rPr>
        <w:t xml:space="preserve">% (Q1). Satisfaction with the current level of activities is also positive at </w:t>
      </w:r>
      <w:r w:rsidRPr="0046236F" w:rsidDel="000B4D3F">
        <w:rPr>
          <w:rFonts w:asciiTheme="minorHAnsi" w:hAnsiTheme="minorHAnsi" w:cstheme="minorHAnsi"/>
          <w:szCs w:val="24"/>
        </w:rPr>
        <w:t>60</w:t>
      </w:r>
      <w:r w:rsidRPr="0046236F">
        <w:rPr>
          <w:rFonts w:asciiTheme="minorHAnsi" w:hAnsiTheme="minorHAnsi" w:cstheme="minorHAnsi"/>
          <w:szCs w:val="24"/>
        </w:rPr>
        <w:t xml:space="preserve">% (Q2), indicating broad approval while also suggesting expectations for continued scaling and deepening of engagement. Further, consultation levels are high, with </w:t>
      </w:r>
      <w:r w:rsidRPr="0046236F" w:rsidDel="000B4D3F">
        <w:rPr>
          <w:rFonts w:asciiTheme="minorHAnsi" w:hAnsiTheme="minorHAnsi" w:cstheme="minorHAnsi"/>
          <w:szCs w:val="24"/>
        </w:rPr>
        <w:t>74</w:t>
      </w:r>
      <w:r w:rsidRPr="0046236F">
        <w:rPr>
          <w:rFonts w:asciiTheme="minorHAnsi" w:hAnsiTheme="minorHAnsi" w:cstheme="minorHAnsi"/>
          <w:szCs w:val="24"/>
        </w:rPr>
        <w:t>% reporting engagement with Regional and/or Area Offices in 2024–2025 (Q10). A majority indicate that lack of physical proximity does not negatively affect support (Q16), although a meaningful minority report some impact, pointing to differing regional contexts.</w:t>
      </w:r>
    </w:p>
    <w:p w14:paraId="10735C36"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Interviews with Regional Telecommunication Organizations (RTOs) corroborate the positive assessment emerging from the Membership Survey. Across regions, interview participants expressed satisfaction with the role played by Regional and Area Offices in supporting regional dialogue, participating in regional meetings and facilitating coordination with Member States and regional institutions. Interviewees highlighted regular interaction with regional offices and described cooperation as constructive and responsive. While participants also pointed to areas where improvements could strengthen delivery—particularly regarding resources, technical expertise and coordination mechanisms—the overall tenor of the interviews confirms the favourable perceptions reflected in the Membership Survey.</w:t>
      </w:r>
    </w:p>
    <w:p w14:paraId="34A55045"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Collaboration dynamics are particularly strong. Willingness to collaborate reaches </w:t>
      </w:r>
      <w:r w:rsidRPr="0046236F" w:rsidDel="000B4D3F">
        <w:rPr>
          <w:rFonts w:asciiTheme="minorHAnsi" w:hAnsiTheme="minorHAnsi" w:cstheme="minorHAnsi"/>
          <w:szCs w:val="24"/>
        </w:rPr>
        <w:t>82</w:t>
      </w:r>
      <w:r w:rsidRPr="0046236F">
        <w:rPr>
          <w:rFonts w:asciiTheme="minorHAnsi" w:hAnsiTheme="minorHAnsi" w:cstheme="minorHAnsi"/>
          <w:szCs w:val="24"/>
        </w:rPr>
        <w:t xml:space="preserve">% when referring to Membership entities (Q9_a) and </w:t>
      </w:r>
      <w:r w:rsidRPr="0046236F" w:rsidDel="000B4D3F">
        <w:rPr>
          <w:rFonts w:asciiTheme="minorHAnsi" w:hAnsiTheme="minorHAnsi" w:cstheme="minorHAnsi"/>
          <w:szCs w:val="24"/>
        </w:rPr>
        <w:t>60</w:t>
      </w:r>
      <w:r w:rsidRPr="0046236F">
        <w:rPr>
          <w:rFonts w:asciiTheme="minorHAnsi" w:hAnsiTheme="minorHAnsi" w:cstheme="minorHAnsi"/>
          <w:szCs w:val="24"/>
        </w:rPr>
        <w:t>% when referring to partners (Q9_b). These results indicate a solid foundation for partnership-based delivery, especially within the Membership itself. Feedback from Regional Telecommunication Organizations provides contextual confirmation of these collaboration patterns. Interviewees describe regular operational interaction between regional offices and regional organizations, including participation of ITU regional staff in regional meetings, technical discussions and joint activities. Such interaction supports continuous dialogue with Member States and helps align regional initiatives with global ITU processes.</w:t>
      </w:r>
    </w:p>
    <w:p w14:paraId="450539F0"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Perceived effectiveness across support functions is highest for dissemination of information and data at </w:t>
      </w:r>
      <w:r w:rsidRPr="0046236F" w:rsidDel="000B4D3F">
        <w:rPr>
          <w:rFonts w:asciiTheme="minorHAnsi" w:hAnsiTheme="minorHAnsi" w:cstheme="minorHAnsi"/>
          <w:szCs w:val="24"/>
        </w:rPr>
        <w:t>73</w:t>
      </w:r>
      <w:r w:rsidRPr="0046236F">
        <w:rPr>
          <w:rFonts w:asciiTheme="minorHAnsi" w:hAnsiTheme="minorHAnsi" w:cstheme="minorHAnsi"/>
          <w:szCs w:val="24"/>
        </w:rPr>
        <w:t xml:space="preserve">% (Q12_c) and the use of technological platforms to disseminate relevant information at 70% (Q12_b). Building awareness, skills and capacity reach 67% (Q12_h), while technical expertise stands at </w:t>
      </w:r>
      <w:r w:rsidRPr="0046236F" w:rsidDel="000B4D3F">
        <w:rPr>
          <w:rFonts w:asciiTheme="minorHAnsi" w:hAnsiTheme="minorHAnsi" w:cstheme="minorHAnsi"/>
          <w:szCs w:val="24"/>
        </w:rPr>
        <w:t>66</w:t>
      </w:r>
      <w:r w:rsidRPr="0046236F">
        <w:rPr>
          <w:rFonts w:asciiTheme="minorHAnsi" w:hAnsiTheme="minorHAnsi" w:cstheme="minorHAnsi"/>
          <w:szCs w:val="24"/>
        </w:rPr>
        <w:t xml:space="preserve">% (Q12_g). Communication and advocacy record </w:t>
      </w:r>
      <w:r w:rsidRPr="0046236F" w:rsidDel="000B4D3F">
        <w:rPr>
          <w:rFonts w:asciiTheme="minorHAnsi" w:hAnsiTheme="minorHAnsi" w:cstheme="minorHAnsi"/>
          <w:szCs w:val="24"/>
        </w:rPr>
        <w:t>64</w:t>
      </w:r>
      <w:r w:rsidRPr="0046236F">
        <w:rPr>
          <w:rFonts w:asciiTheme="minorHAnsi" w:hAnsiTheme="minorHAnsi" w:cstheme="minorHAnsi"/>
          <w:szCs w:val="24"/>
        </w:rPr>
        <w:t xml:space="preserve">% (Q12_d), and provision of platforms for policy discussion </w:t>
      </w:r>
      <w:r w:rsidRPr="0046236F" w:rsidDel="000B4D3F">
        <w:rPr>
          <w:rFonts w:asciiTheme="minorHAnsi" w:hAnsiTheme="minorHAnsi" w:cstheme="minorHAnsi"/>
          <w:szCs w:val="24"/>
        </w:rPr>
        <w:t>61</w:t>
      </w:r>
      <w:r w:rsidRPr="0046236F">
        <w:rPr>
          <w:rFonts w:asciiTheme="minorHAnsi" w:hAnsiTheme="minorHAnsi" w:cstheme="minorHAnsi"/>
          <w:szCs w:val="24"/>
        </w:rPr>
        <w:t>% (Q12_f). Interviews with regional organizations similarly highlight the role of regional offices in facilitating dialogue, organizing regional activities and supporting knowledge sharing among stakeholders.</w:t>
      </w:r>
    </w:p>
    <w:p w14:paraId="748C81FA"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Support for strategic planning at national and regional level stands at </w:t>
      </w:r>
      <w:r w:rsidRPr="0046236F" w:rsidDel="000B4D3F">
        <w:rPr>
          <w:rFonts w:asciiTheme="minorHAnsi" w:hAnsiTheme="minorHAnsi" w:cstheme="minorHAnsi"/>
          <w:szCs w:val="24"/>
        </w:rPr>
        <w:t>52</w:t>
      </w:r>
      <w:r w:rsidRPr="0046236F">
        <w:rPr>
          <w:rFonts w:asciiTheme="minorHAnsi" w:hAnsiTheme="minorHAnsi" w:cstheme="minorHAnsi"/>
          <w:szCs w:val="24"/>
        </w:rPr>
        <w:t xml:space="preserve">% (Q12_a), and alignment with national or organisational ICT priorities at </w:t>
      </w:r>
      <w:r w:rsidRPr="0046236F" w:rsidDel="000B4D3F">
        <w:rPr>
          <w:rFonts w:asciiTheme="minorHAnsi" w:hAnsiTheme="minorHAnsi" w:cstheme="minorHAnsi"/>
          <w:szCs w:val="24"/>
        </w:rPr>
        <w:t>55</w:t>
      </w:r>
      <w:r w:rsidRPr="0046236F">
        <w:rPr>
          <w:rFonts w:asciiTheme="minorHAnsi" w:hAnsiTheme="minorHAnsi" w:cstheme="minorHAnsi"/>
          <w:szCs w:val="24"/>
        </w:rPr>
        <w:t xml:space="preserve">% (Q12_i). Partnerships and resource mobilization record 55% agreement (Q12_e), indicating still positive but relatively more moderate assessments in these areas. Interview feedback provides additional context for these results. </w:t>
      </w:r>
    </w:p>
    <w:p w14:paraId="4D635333"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Regional organizations emphasize that successful implementation of regional initiatives often depends on the availability of predictable financial resources and effective partnership mechanisms. In some regions, initiatives adopted through conference resolutions or regional planning processes may face implementation constraints when funding mechanisms are insufficient or when resources are not secured early in the implementation cycle. Interviewees also underline that stronger technical capacity in regional offices – particularly in emerging areas such as cybersecurity, artificial </w:t>
      </w:r>
      <w:r w:rsidRPr="0046236F">
        <w:rPr>
          <w:rFonts w:asciiTheme="minorHAnsi" w:hAnsiTheme="minorHAnsi" w:cstheme="minorHAnsi"/>
          <w:szCs w:val="24"/>
        </w:rPr>
        <w:lastRenderedPageBreak/>
        <w:t>intelligence and spectrum management – can improve alignment between regional priorities and operational delivery. In addition, regional organizations stress the value of structured cooperation between ITU regional offices and regional institutions to translate agreed regional strategies into concrete projects and activities. These observations suggest that effective execution of agreed priorities depends not only on coordination mechanisms but also on adequate resourcing, technical expertise and sustained institutional partnerships.</w:t>
      </w:r>
    </w:p>
    <w:p w14:paraId="767B9D45"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Perceived ease of access to expertise, even without physical presence, reaches </w:t>
      </w:r>
      <w:r w:rsidRPr="0046236F" w:rsidDel="000B4D3F">
        <w:rPr>
          <w:rFonts w:asciiTheme="minorHAnsi" w:hAnsiTheme="minorHAnsi" w:cstheme="minorHAnsi"/>
          <w:szCs w:val="24"/>
        </w:rPr>
        <w:t>52</w:t>
      </w:r>
      <w:r w:rsidRPr="0046236F">
        <w:rPr>
          <w:rFonts w:asciiTheme="minorHAnsi" w:hAnsiTheme="minorHAnsi" w:cstheme="minorHAnsi"/>
          <w:szCs w:val="24"/>
        </w:rPr>
        <w:t xml:space="preserve">% (Q14). Measures seen as strengthening regional presence include better availability of data on staffing, financials and activity implementation, which receives 72% agreement </w:t>
      </w:r>
      <w:r w:rsidRPr="0046236F" w:rsidDel="000B4D3F">
        <w:rPr>
          <w:rFonts w:asciiTheme="minorHAnsi" w:hAnsiTheme="minorHAnsi" w:cstheme="minorHAnsi"/>
          <w:szCs w:val="24"/>
        </w:rPr>
        <w:t>(</w:t>
      </w:r>
      <w:r w:rsidRPr="0046236F">
        <w:rPr>
          <w:rFonts w:asciiTheme="minorHAnsi" w:hAnsiTheme="minorHAnsi" w:cstheme="minorHAnsi"/>
          <w:szCs w:val="24"/>
        </w:rPr>
        <w:t xml:space="preserve">Q5_a), and increased projects and activities in countries without ITU offices, at </w:t>
      </w:r>
      <w:r w:rsidRPr="0046236F" w:rsidDel="000B4D3F">
        <w:rPr>
          <w:rFonts w:asciiTheme="minorHAnsi" w:hAnsiTheme="minorHAnsi" w:cstheme="minorHAnsi"/>
          <w:szCs w:val="24"/>
        </w:rPr>
        <w:t>67</w:t>
      </w:r>
      <w:r w:rsidRPr="0046236F">
        <w:rPr>
          <w:rFonts w:asciiTheme="minorHAnsi" w:hAnsiTheme="minorHAnsi" w:cstheme="minorHAnsi"/>
          <w:szCs w:val="24"/>
        </w:rPr>
        <w:t>% (Q5_e). Opening new Area Offices records 49% agreement (Q5_d), indicating relatively limited support for structural expansion.</w:t>
      </w:r>
    </w:p>
    <w:p w14:paraId="7F4D66C9"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Alignment of co-financed activities with national or regional priorities reaches 43% (Q15), suggesting scope for strengthening coherence and communication in externally funded initiatives. Interview feedback echoes this theme, with regional organizations emphasizing the importance of ensuring that ITU initiatives are aligned with regional strategies and national development priorities.</w:t>
      </w:r>
    </w:p>
    <w:p w14:paraId="576D1DA3" w14:textId="77777777" w:rsidR="00617FC9" w:rsidRPr="0046236F" w:rsidRDefault="00617FC9" w:rsidP="00617FC9">
      <w:pPr>
        <w:pStyle w:val="paragraph"/>
        <w:jc w:val="both"/>
        <w:rPr>
          <w:rFonts w:asciiTheme="minorHAnsi" w:eastAsia="Aptos" w:hAnsiTheme="minorHAnsi" w:cstheme="minorHAnsi"/>
          <w:kern w:val="2"/>
          <w:sz w:val="24"/>
          <w:szCs w:val="24"/>
          <w:lang w:eastAsia="en-US"/>
          <w14:ligatures w14:val="standardContextual"/>
        </w:rPr>
      </w:pPr>
      <w:r w:rsidRPr="0046236F">
        <w:rPr>
          <w:rFonts w:asciiTheme="minorHAnsi" w:eastAsia="Aptos" w:hAnsiTheme="minorHAnsi" w:cstheme="minorHAnsi"/>
          <w:kern w:val="2"/>
          <w:sz w:val="24"/>
          <w:szCs w:val="24"/>
          <w:lang w:eastAsia="en-US"/>
          <w14:ligatures w14:val="standardContextual"/>
        </w:rPr>
        <w:t>Open-ended responses underline expectations for deeper engagement during global and regional events, stronger in-country presence and clearer communication of value added. Across responses, recurring themes include the importance of sustained dialogue with Member States and continued cooperation with regional organizations.</w:t>
      </w:r>
    </w:p>
    <w:p w14:paraId="1016D05B"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5643FA3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Taken together, KPI 4 reflects overall satisfaction with the effectiveness, collaboration and core service functions of Regional and Area Offices. Areas related to strategic planning support, resource mobilization and alignment of externally funded initiatives show </w:t>
      </w:r>
      <w:proofErr w:type="gramStart"/>
      <w:r w:rsidRPr="0046236F">
        <w:rPr>
          <w:rFonts w:asciiTheme="minorHAnsi" w:hAnsiTheme="minorHAnsi" w:cstheme="minorHAnsi"/>
          <w:szCs w:val="24"/>
        </w:rPr>
        <w:t>positive</w:t>
      </w:r>
      <w:proofErr w:type="gramEnd"/>
      <w:r w:rsidRPr="0046236F">
        <w:rPr>
          <w:rFonts w:asciiTheme="minorHAnsi" w:hAnsiTheme="minorHAnsi" w:cstheme="minorHAnsi"/>
          <w:szCs w:val="24"/>
        </w:rPr>
        <w:t xml:space="preserve"> yet relatively more moderate assessments suggest potential directions for further strengthening regional presence and impact.</w:t>
      </w:r>
    </w:p>
    <w:p w14:paraId="08E3E56F" w14:textId="77777777" w:rsidR="00617FC9" w:rsidRPr="0046236F" w:rsidRDefault="00617FC9" w:rsidP="00617FC9">
      <w:pPr>
        <w:pStyle w:val="KPItitle"/>
        <w:jc w:val="both"/>
        <w:rPr>
          <w:rFonts w:asciiTheme="minorHAnsi" w:hAnsiTheme="minorHAnsi" w:cstheme="minorHAnsi"/>
          <w:sz w:val="24"/>
          <w:szCs w:val="24"/>
        </w:rPr>
      </w:pPr>
      <w:bookmarkStart w:id="110" w:name="_Toc224213049"/>
      <w:bookmarkStart w:id="111" w:name="_Toc224236480"/>
      <w:r w:rsidRPr="0046236F">
        <w:rPr>
          <w:rFonts w:asciiTheme="minorHAnsi" w:hAnsiTheme="minorHAnsi" w:cstheme="minorHAnsi"/>
          <w:sz w:val="24"/>
          <w:szCs w:val="24"/>
        </w:rPr>
        <w:t>KPI 5 — Feedback scores from Regional and Area Offices regarding resource adequacy</w:t>
      </w:r>
      <w:bookmarkEnd w:id="110"/>
      <w:bookmarkEnd w:id="111"/>
    </w:p>
    <w:p w14:paraId="29E57CB0"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Feedback reflects a consistent signal that additional resources would strengthen regional presence, alongside more moderate assessments of current adequacy.</w:t>
      </w:r>
    </w:p>
    <w:p w14:paraId="63ED299A"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Within the Internal Assessment, strong agreement is recorded for allocating more human resources (68%) (Q9_f) and more financial resources (66%) (Q9_g). Support for reallocation is more moderate, with 52% agreement for human resources (Q9_h) and 54% for financial resources (Q9_i). These results indicate that strengthening regional presence is perceived primarily through additional allocations rather than redistribution.</w:t>
      </w:r>
    </w:p>
    <w:p w14:paraId="1C61E598"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Perceptions of adequacy of extrabudgetary and co-financed activities stand at 42% agreement (Q17), indicating that externally funded activities are not uniformly seen as sufficient to meet needs and priorities.</w:t>
      </w:r>
    </w:p>
    <w:p w14:paraId="72B1BA3A"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Membership Survey results show similar patterns. Agreement that financial resources are adequate stands at 34% (Q3_a), and human resources at 35% (Q3_b). Products and services provided by headquarters receive higher agreement at 44% (Q3_c), suggesting comparatively stronger perceptions of headquarters-delivered outputs than of regional staffing and financing levels.</w:t>
      </w:r>
    </w:p>
    <w:p w14:paraId="27424440"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lastRenderedPageBreak/>
        <w:t>Support for additional allocations is again strong from the Membership perspective. Sixty per cent agree that allocating more human resources would strengthen regional presence (Q5_h), and 63% agree regarding financial resources (Q5_i). Reallocation measures receive 50% (Q5_j) and 52% (Q5_k) agreement, reinforcing the pattern observed above i.e., less emphasis on redistribution.</w:t>
      </w:r>
    </w:p>
    <w:p w14:paraId="3441046C"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Regarding strategic and operational adequacy, the responses are positive, 61% agree that regional presence is integrated into the Human Resources Strategic Plan and Recruitment Strategy (Q6_a). Fifty-three per cent agree that staffing levels are adequate relative to workload (Q6_b), and 54% that financial allocations per office are adequate (Q6_c). Technological platforms receive the strongest adequacy assessment at 67% (Q6_d). Financial and administrative conditions provided by host countries reach 49% agreement (Q6_e), and recruitment processes 48% (Q6_g).</w:t>
      </w:r>
    </w:p>
    <w:p w14:paraId="3D536D6A"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Perceived willingness of partners to collaborate reaches 60% (Q9_b), indicating that resource adequacy is considered within a broader partnership context.</w:t>
      </w:r>
    </w:p>
    <w:p w14:paraId="44994E9A"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486954A5"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Overall, KPI 5 reflects that current resource levels are viewed as moderate rather than fully adequate, while strong support exists for increasing human and financial allocations to Regional and Area Offices. Technological platforms are comparatively well regarded, whereas staffing levels, and financial envelopes emerge as the primary areas that could benefit from strengthening.</w:t>
      </w:r>
    </w:p>
    <w:p w14:paraId="0BE10A99" w14:textId="77777777" w:rsidR="00617FC9" w:rsidRPr="0046236F" w:rsidRDefault="00617FC9" w:rsidP="00617FC9">
      <w:pPr>
        <w:pStyle w:val="KPItitle"/>
        <w:jc w:val="both"/>
        <w:rPr>
          <w:rFonts w:asciiTheme="minorHAnsi" w:eastAsia="Avenir Nxt2 W1G" w:hAnsiTheme="minorHAnsi" w:cstheme="minorHAnsi"/>
          <w:sz w:val="24"/>
          <w:szCs w:val="24"/>
        </w:rPr>
      </w:pPr>
      <w:bookmarkStart w:id="112" w:name="_Toc224213050"/>
      <w:bookmarkStart w:id="113" w:name="_Toc224236481"/>
      <w:r w:rsidRPr="0046236F">
        <w:rPr>
          <w:rFonts w:asciiTheme="minorHAnsi" w:hAnsiTheme="minorHAnsi" w:cstheme="minorHAnsi"/>
          <w:sz w:val="24"/>
          <w:szCs w:val="24"/>
        </w:rPr>
        <w:t>KPI 6 — The number of regional initiatives successfully implemented with allocated resources</w:t>
      </w:r>
      <w:bookmarkEnd w:id="112"/>
      <w:bookmarkEnd w:id="113"/>
    </w:p>
    <w:p w14:paraId="53603C17" w14:textId="77777777" w:rsidR="00617FC9" w:rsidRPr="0046236F" w:rsidRDefault="00617FC9" w:rsidP="00617FC9">
      <w:pPr>
        <w:jc w:val="both"/>
        <w:rPr>
          <w:rFonts w:asciiTheme="minorHAnsi" w:hAnsiTheme="minorHAnsi" w:cstheme="minorHAnsi"/>
          <w:szCs w:val="24"/>
        </w:rPr>
      </w:pPr>
      <w:r w:rsidRPr="0046236F">
        <w:rPr>
          <w:rFonts w:asciiTheme="minorHAnsi" w:eastAsia="Avenir Nxt2 W1G" w:hAnsiTheme="minorHAnsi" w:cstheme="minorHAnsi"/>
          <w:color w:val="000000" w:themeColor="text1"/>
          <w:szCs w:val="24"/>
        </w:rPr>
        <w:t xml:space="preserve">Evidence from operational reporting between 2023 and 2025 indicates that Regional Initiatives under the Kigali Action Plan (KAP) were implemented through a substantial portfolio of projects and activities across all regions. Implementation can be assessed by analysing projects and activities recorded in the BDT operational plan (OP) system between 2023 and 2025 and mapping them to the expected outputs of Regional Initiatives. The mapping from projects is provided in the table below. BDT OP activities implemented (from 2023 to 2025) to address the Kigali Action Plan including the Regional Initiatives are detailed in the document WTDC-25/2. </w:t>
      </w:r>
    </w:p>
    <w:p w14:paraId="2DEE1426" w14:textId="28A518CC" w:rsidR="00617FC9" w:rsidRPr="00986D12" w:rsidRDefault="00617FC9" w:rsidP="00617FC9">
      <w:pPr>
        <w:jc w:val="center"/>
        <w:rPr>
          <w:rFonts w:asciiTheme="minorHAnsi" w:hAnsiTheme="minorHAnsi" w:cstheme="minorHAnsi"/>
          <w:b/>
        </w:rPr>
      </w:pPr>
      <w:r w:rsidRPr="00986D12">
        <w:rPr>
          <w:rFonts w:asciiTheme="minorHAnsi" w:hAnsiTheme="minorHAnsi" w:cstheme="minorHAnsi"/>
          <w:b/>
        </w:rPr>
        <w:t>Projects contributing to Regional Initiatives</w:t>
      </w:r>
      <w:r w:rsidR="00D81F57">
        <w:rPr>
          <w:rFonts w:asciiTheme="minorHAnsi" w:hAnsiTheme="minorHAnsi" w:cstheme="minorHAnsi"/>
          <w:b/>
          <w:vertAlign w:val="superscript"/>
        </w:rPr>
        <w:br/>
      </w:r>
    </w:p>
    <w:tbl>
      <w:tblPr>
        <w:tblStyle w:val="TableGrid"/>
        <w:tblW w:w="5000" w:type="pct"/>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145"/>
        <w:gridCol w:w="3478"/>
      </w:tblGrid>
      <w:tr w:rsidR="00617FC9" w:rsidRPr="00986D12" w14:paraId="55D7D9A0" w14:textId="77777777" w:rsidTr="00696175">
        <w:trPr>
          <w:tblHeade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5B3D7" w:themeFill="accent1" w:themeFillTint="99"/>
            <w:tcMar>
              <w:left w:w="90" w:type="dxa"/>
              <w:right w:w="90" w:type="dxa"/>
            </w:tcMar>
          </w:tcPr>
          <w:p w14:paraId="2187CED2" w14:textId="77777777" w:rsidR="00617FC9" w:rsidRPr="00986D12" w:rsidRDefault="00617FC9" w:rsidP="00696175">
            <w:pPr>
              <w:pStyle w:val="Tabletitle0"/>
              <w:rPr>
                <w:rFonts w:asciiTheme="minorHAnsi" w:hAnsiTheme="minorHAnsi" w:cstheme="minorHAnsi"/>
                <w:sz w:val="16"/>
                <w:szCs w:val="16"/>
              </w:rPr>
            </w:pPr>
            <w:r w:rsidRPr="00986D12">
              <w:rPr>
                <w:rFonts w:asciiTheme="minorHAnsi" w:hAnsiTheme="minorHAnsi" w:cstheme="minorHAnsi"/>
                <w:sz w:val="16"/>
                <w:szCs w:val="16"/>
              </w:rPr>
              <w:t>Regional Initiatives</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95B3D7" w:themeFill="accent1" w:themeFillTint="99"/>
            <w:tcMar>
              <w:left w:w="90" w:type="dxa"/>
              <w:right w:w="90" w:type="dxa"/>
            </w:tcMar>
          </w:tcPr>
          <w:p w14:paraId="72162008" w14:textId="77777777" w:rsidR="00617FC9" w:rsidRPr="00986D12" w:rsidRDefault="00617FC9" w:rsidP="00696175">
            <w:pPr>
              <w:pStyle w:val="Tabletitle0"/>
              <w:rPr>
                <w:rFonts w:asciiTheme="minorHAnsi" w:hAnsiTheme="minorHAnsi" w:cstheme="minorHAnsi"/>
                <w:sz w:val="16"/>
                <w:szCs w:val="16"/>
              </w:rPr>
            </w:pPr>
            <w:r w:rsidRPr="00986D12">
              <w:rPr>
                <w:rFonts w:asciiTheme="minorHAnsi" w:hAnsiTheme="minorHAnsi" w:cstheme="minorHAnsi"/>
                <w:sz w:val="16"/>
                <w:szCs w:val="16"/>
              </w:rPr>
              <w:t>No of Projects associated</w:t>
            </w:r>
          </w:p>
        </w:tc>
      </w:tr>
      <w:tr w:rsidR="00617FC9" w:rsidRPr="00986D12" w14:paraId="6BE25091"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54C4BFBE" w14:textId="77777777" w:rsidR="00617FC9" w:rsidRPr="00986D12" w:rsidRDefault="00617FC9" w:rsidP="00696175">
            <w:pPr>
              <w:pStyle w:val="Texttable"/>
              <w:rPr>
                <w:rFonts w:asciiTheme="minorHAnsi" w:hAnsiTheme="minorHAnsi" w:cstheme="minorHAnsi"/>
                <w:b/>
                <w:bCs/>
                <w:sz w:val="16"/>
                <w:szCs w:val="16"/>
              </w:rPr>
            </w:pPr>
            <w:r w:rsidRPr="00986D12">
              <w:rPr>
                <w:rFonts w:asciiTheme="minorHAnsi" w:hAnsiTheme="minorHAnsi" w:cstheme="minorHAnsi"/>
                <w:b/>
                <w:bCs/>
                <w:sz w:val="16"/>
                <w:szCs w:val="16"/>
              </w:rPr>
              <w:t>Africa</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1AFCB617" w14:textId="77777777" w:rsidR="00617FC9" w:rsidRPr="00986D12" w:rsidRDefault="00617FC9" w:rsidP="00696175">
            <w:pPr>
              <w:pStyle w:val="Texttable"/>
              <w:rPr>
                <w:rFonts w:asciiTheme="minorHAnsi" w:hAnsiTheme="minorHAnsi" w:cstheme="minorHAnsi"/>
                <w:sz w:val="16"/>
                <w:szCs w:val="16"/>
              </w:rPr>
            </w:pPr>
          </w:p>
        </w:tc>
      </w:tr>
      <w:tr w:rsidR="00617FC9" w:rsidRPr="00986D12" w14:paraId="01476753"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6439BE10"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AFR 1: Supporting digital transformation to usher in a rapid transition to a digital economy while accelerating innovation in Africa</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163D6187"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10 ongoing</w:t>
            </w:r>
          </w:p>
          <w:p w14:paraId="4BD3393B"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6 implemented</w:t>
            </w:r>
          </w:p>
        </w:tc>
      </w:tr>
      <w:tr w:rsidR="00617FC9" w:rsidRPr="00986D12" w14:paraId="4009FB20"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2B539B4B"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AFR 2: Implementation and expansion of broadband infrastructures, connectivity and emerging technologies</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4179524E"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3 ongoing</w:t>
            </w:r>
          </w:p>
          <w:p w14:paraId="6657594E"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4 implemented</w:t>
            </w:r>
          </w:p>
        </w:tc>
      </w:tr>
      <w:tr w:rsidR="00617FC9" w:rsidRPr="00986D12" w14:paraId="3DA86A26"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vAlign w:val="center"/>
          </w:tcPr>
          <w:p w14:paraId="59F3C2C8"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AFR 3: Building trust, safety and security in the use of telecommunications/information and communication technologies and protection of personal data</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7784496C"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3 ongoing</w:t>
            </w:r>
          </w:p>
          <w:p w14:paraId="29019B1D"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2 implemented</w:t>
            </w:r>
          </w:p>
        </w:tc>
      </w:tr>
      <w:tr w:rsidR="00617FC9" w:rsidRPr="00986D12" w14:paraId="5341A39E"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00FCF9A4"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AFR 4: Fostering emerging technologies and innovation ecosystems</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0401C726"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5 ongoing</w:t>
            </w:r>
          </w:p>
        </w:tc>
      </w:tr>
      <w:tr w:rsidR="00617FC9" w:rsidRPr="00986D12" w14:paraId="5E79F84C"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182ECD2F" w14:textId="77777777" w:rsidR="00617FC9" w:rsidRPr="00986D12" w:rsidRDefault="00617FC9" w:rsidP="00696175">
            <w:pPr>
              <w:pStyle w:val="Texttable"/>
              <w:rPr>
                <w:rFonts w:asciiTheme="minorHAnsi" w:hAnsiTheme="minorHAnsi" w:cstheme="minorHAnsi"/>
                <w:b/>
                <w:bCs/>
                <w:sz w:val="16"/>
                <w:szCs w:val="16"/>
              </w:rPr>
            </w:pPr>
            <w:r w:rsidRPr="00986D12">
              <w:rPr>
                <w:rFonts w:asciiTheme="minorHAnsi" w:hAnsiTheme="minorHAnsi" w:cstheme="minorHAnsi"/>
                <w:b/>
                <w:bCs/>
                <w:sz w:val="16"/>
                <w:szCs w:val="16"/>
              </w:rPr>
              <w:t>Americas</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56824410" w14:textId="77777777" w:rsidR="00617FC9" w:rsidRPr="00986D12" w:rsidRDefault="00617FC9" w:rsidP="00696175">
            <w:pPr>
              <w:pStyle w:val="Texttable"/>
              <w:rPr>
                <w:rFonts w:asciiTheme="minorHAnsi" w:hAnsiTheme="minorHAnsi" w:cstheme="minorHAnsi"/>
                <w:b/>
                <w:bCs/>
                <w:sz w:val="16"/>
                <w:szCs w:val="16"/>
              </w:rPr>
            </w:pPr>
          </w:p>
        </w:tc>
      </w:tr>
      <w:tr w:rsidR="00617FC9" w:rsidRPr="00986D12" w14:paraId="5E4093EA"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08375753"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AMS 1: Deployment of modern, resilient, secure and sustainable telecommunication/information and communication technology infrastructure</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4E1DCB37"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11 ongoing</w:t>
            </w:r>
          </w:p>
          <w:p w14:paraId="6809E26E"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5 implemented</w:t>
            </w:r>
          </w:p>
        </w:tc>
      </w:tr>
      <w:tr w:rsidR="00617FC9" w:rsidRPr="00986D12" w14:paraId="12E36FDE"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6E775ECF"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AMS 2: Enhancement and expansion of digital-literacy, digital-skills and digital-inclusion programmes, especially among vulnerable populations</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747D0D21"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5 ongoing</w:t>
            </w:r>
          </w:p>
          <w:p w14:paraId="7C6D9469"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5 implemented</w:t>
            </w:r>
          </w:p>
        </w:tc>
      </w:tr>
      <w:tr w:rsidR="00617FC9" w:rsidRPr="00986D12" w14:paraId="75672161"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3A474488"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AMS 3: Effective support for digital transformation and innovation ecosystems through scalable, funded and sustainable connectivity projects</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5B1CE7AD"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9 ongoing</w:t>
            </w:r>
          </w:p>
          <w:p w14:paraId="7EF0C29E"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2 implemented</w:t>
            </w:r>
          </w:p>
        </w:tc>
      </w:tr>
      <w:tr w:rsidR="00617FC9" w:rsidRPr="00986D12" w14:paraId="72DB2FD6"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10787B5B"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lastRenderedPageBreak/>
              <w:t>AMS 4: Development of enabling policy and regulatory environments to connect the unconnected through accessible and affordable telecommunications /information and communication technologies that support achievement of the Sustainable Development Goals and progress towards the digital economy</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792101EF"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6 ongoing</w:t>
            </w:r>
          </w:p>
          <w:p w14:paraId="025430A7"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4 implemented</w:t>
            </w:r>
          </w:p>
        </w:tc>
      </w:tr>
      <w:tr w:rsidR="00617FC9" w:rsidRPr="00986D12" w14:paraId="43FE1DE7"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5DC71549" w14:textId="77777777" w:rsidR="00617FC9" w:rsidRPr="00986D12" w:rsidRDefault="00617FC9" w:rsidP="00696175">
            <w:pPr>
              <w:pStyle w:val="Texttable"/>
              <w:rPr>
                <w:rFonts w:asciiTheme="minorHAnsi" w:hAnsiTheme="minorHAnsi" w:cstheme="minorHAnsi"/>
                <w:b/>
                <w:bCs/>
                <w:sz w:val="16"/>
                <w:szCs w:val="16"/>
              </w:rPr>
            </w:pPr>
            <w:r w:rsidRPr="00986D12">
              <w:rPr>
                <w:rFonts w:asciiTheme="minorHAnsi" w:hAnsiTheme="minorHAnsi" w:cstheme="minorHAnsi"/>
                <w:b/>
                <w:bCs/>
                <w:sz w:val="16"/>
                <w:szCs w:val="16"/>
              </w:rPr>
              <w:t>Arab States</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39887BB2" w14:textId="77777777" w:rsidR="00617FC9" w:rsidRPr="00986D12" w:rsidRDefault="00617FC9" w:rsidP="00696175">
            <w:pPr>
              <w:pStyle w:val="Texttable"/>
              <w:rPr>
                <w:rFonts w:asciiTheme="minorHAnsi" w:hAnsiTheme="minorHAnsi" w:cstheme="minorHAnsi"/>
                <w:b/>
                <w:bCs/>
                <w:sz w:val="16"/>
                <w:szCs w:val="16"/>
              </w:rPr>
            </w:pPr>
          </w:p>
        </w:tc>
      </w:tr>
      <w:tr w:rsidR="00617FC9" w:rsidRPr="00986D12" w14:paraId="4B1BE2C8"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06CDF047"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ARB 1: Sustainable digital economy through digital transformation</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2587809A"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2 ongoing</w:t>
            </w:r>
          </w:p>
          <w:p w14:paraId="5A5D5F3F"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2 implemented</w:t>
            </w:r>
          </w:p>
        </w:tc>
      </w:tr>
      <w:tr w:rsidR="00617FC9" w:rsidRPr="00986D12" w14:paraId="6C99803C"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07D7E5E8"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ARB 2: Enhancing confidence, security and privacy in the use of telecommunications/ information and communication technologies in the era of new and emerging digital technologies</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009BA132"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2 ongoing</w:t>
            </w:r>
          </w:p>
          <w:p w14:paraId="6D839935"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 implemented</w:t>
            </w:r>
          </w:p>
        </w:tc>
      </w:tr>
      <w:tr w:rsidR="00617FC9" w:rsidRPr="00986D12" w14:paraId="53ECFCB5"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57D97E73"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ARB 3: Developing digital infrastructure for smart sustainable cities and communities</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4DD4D6F8"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 ongoing</w:t>
            </w:r>
          </w:p>
          <w:p w14:paraId="7947D616"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2 implemented</w:t>
            </w:r>
          </w:p>
        </w:tc>
      </w:tr>
      <w:tr w:rsidR="00617FC9" w:rsidRPr="00986D12" w14:paraId="6D68A14D"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45A78931"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ARB 4: Building capacities and encouraging digital innovation, entrepreneurship and future foresight</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4746E3AF"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2 ongoing</w:t>
            </w:r>
          </w:p>
          <w:p w14:paraId="059983F9"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 implemented</w:t>
            </w:r>
          </w:p>
        </w:tc>
      </w:tr>
      <w:tr w:rsidR="00617FC9" w:rsidRPr="00986D12" w14:paraId="681EE112"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6200E980"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ARB 5: Developing means of digital regulation</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580ACE4E"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 ongoing</w:t>
            </w:r>
          </w:p>
          <w:p w14:paraId="31997B60"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 implemented</w:t>
            </w:r>
          </w:p>
        </w:tc>
      </w:tr>
      <w:tr w:rsidR="00617FC9" w:rsidRPr="00986D12" w14:paraId="0E6F5163"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03AD6F85" w14:textId="77777777" w:rsidR="00617FC9" w:rsidRPr="00986D12" w:rsidRDefault="00617FC9" w:rsidP="00696175">
            <w:pPr>
              <w:pStyle w:val="Texttable"/>
              <w:keepNext/>
              <w:rPr>
                <w:rFonts w:asciiTheme="minorHAnsi" w:hAnsiTheme="minorHAnsi" w:cstheme="minorHAnsi"/>
                <w:b/>
                <w:bCs/>
                <w:sz w:val="16"/>
                <w:szCs w:val="16"/>
              </w:rPr>
            </w:pPr>
            <w:r w:rsidRPr="00986D12">
              <w:rPr>
                <w:rFonts w:asciiTheme="minorHAnsi" w:hAnsiTheme="minorHAnsi" w:cstheme="minorHAnsi"/>
                <w:b/>
                <w:bCs/>
                <w:sz w:val="16"/>
                <w:szCs w:val="16"/>
              </w:rPr>
              <w:t>Asia-Pacific</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2F9BFE16" w14:textId="77777777" w:rsidR="00617FC9" w:rsidRPr="00986D12" w:rsidRDefault="00617FC9" w:rsidP="00696175">
            <w:pPr>
              <w:pStyle w:val="Texttable"/>
              <w:rPr>
                <w:rFonts w:asciiTheme="minorHAnsi" w:hAnsiTheme="minorHAnsi" w:cstheme="minorHAnsi"/>
                <w:b/>
                <w:bCs/>
                <w:sz w:val="16"/>
                <w:szCs w:val="16"/>
              </w:rPr>
            </w:pPr>
          </w:p>
        </w:tc>
      </w:tr>
      <w:tr w:rsidR="00617FC9" w:rsidRPr="00986D12" w14:paraId="77051169"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5F91E9B4"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ASP 1: Addressing special needs of least developed countries, small island developing states, including Pacific Island countries, and landlocked developing countries</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7BBF74B4"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9 ongoing</w:t>
            </w:r>
          </w:p>
          <w:p w14:paraId="7AED272E"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 implemented</w:t>
            </w:r>
          </w:p>
        </w:tc>
      </w:tr>
      <w:tr w:rsidR="00617FC9" w:rsidRPr="00986D12" w14:paraId="2D410036"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1879D32C"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ASP 2: Harnessing information and communication technologies to support the digital economy and inclusive digital societies</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14A6F35D"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8 ongoing</w:t>
            </w:r>
          </w:p>
          <w:p w14:paraId="63D2E8FC"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2 implemented</w:t>
            </w:r>
          </w:p>
        </w:tc>
      </w:tr>
      <w:tr w:rsidR="00617FC9" w:rsidRPr="00986D12" w14:paraId="3630962A"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31B1EA57"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ASP 3: Fostering development of infrastructure to enhance digital connectivity and connecting the unconnected</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1177D377"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6 ongoing</w:t>
            </w:r>
          </w:p>
          <w:p w14:paraId="3CF83720"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 closed</w:t>
            </w:r>
          </w:p>
          <w:p w14:paraId="196797A0"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 implemented</w:t>
            </w:r>
          </w:p>
        </w:tc>
      </w:tr>
      <w:tr w:rsidR="00617FC9" w:rsidRPr="00986D12" w14:paraId="73BAEB4F"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00FD9637"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ASP 4: Enabling policy and regulatory environments to accelerate digital transformation</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1B785E00"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7 ongoing</w:t>
            </w:r>
          </w:p>
        </w:tc>
      </w:tr>
      <w:tr w:rsidR="00617FC9" w:rsidRPr="00986D12" w14:paraId="408D7731"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64E21BB6"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ASP 5: Contributing to a secure and resilient information and communication technology environment</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514E0DD3"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11 ongoing</w:t>
            </w:r>
          </w:p>
          <w:p w14:paraId="3A754965"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3 implemented</w:t>
            </w:r>
          </w:p>
        </w:tc>
      </w:tr>
      <w:tr w:rsidR="00617FC9" w:rsidRPr="00986D12" w14:paraId="0217C747"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0E2261EE" w14:textId="77777777" w:rsidR="00617FC9" w:rsidRPr="00986D12" w:rsidRDefault="00617FC9" w:rsidP="00696175">
            <w:pPr>
              <w:pStyle w:val="Texttable"/>
              <w:rPr>
                <w:rFonts w:asciiTheme="minorHAnsi" w:hAnsiTheme="minorHAnsi" w:cstheme="minorHAnsi"/>
                <w:b/>
                <w:bCs/>
                <w:sz w:val="16"/>
                <w:szCs w:val="16"/>
              </w:rPr>
            </w:pPr>
            <w:r w:rsidRPr="00986D12">
              <w:rPr>
                <w:rFonts w:asciiTheme="minorHAnsi" w:hAnsiTheme="minorHAnsi" w:cstheme="minorHAnsi"/>
                <w:b/>
                <w:bCs/>
                <w:sz w:val="16"/>
                <w:szCs w:val="16"/>
              </w:rPr>
              <w:t>CIS</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581393BE" w14:textId="77777777" w:rsidR="00617FC9" w:rsidRPr="00986D12" w:rsidRDefault="00617FC9" w:rsidP="00696175">
            <w:pPr>
              <w:pStyle w:val="Texttable"/>
              <w:rPr>
                <w:rFonts w:asciiTheme="minorHAnsi" w:hAnsiTheme="minorHAnsi" w:cstheme="minorHAnsi"/>
                <w:b/>
                <w:bCs/>
                <w:sz w:val="16"/>
                <w:szCs w:val="16"/>
              </w:rPr>
            </w:pPr>
          </w:p>
        </w:tc>
      </w:tr>
      <w:tr w:rsidR="00617FC9" w:rsidRPr="00986D12" w14:paraId="69840678"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6544ADCE"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CIS 1: Developing infrastructure to promote innovation and partnerships in the introduction of new technologies</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16CCAED4"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4 ongoing</w:t>
            </w:r>
          </w:p>
          <w:p w14:paraId="455BB037"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 implemented</w:t>
            </w:r>
          </w:p>
        </w:tc>
      </w:tr>
      <w:tr w:rsidR="00617FC9" w:rsidRPr="00986D12" w14:paraId="00350A81"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08F9174B"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CIS 2: Cybersecurity and personal data protection</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56FF48B9"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3 ongoing</w:t>
            </w:r>
          </w:p>
          <w:p w14:paraId="1A95CF0E"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 implemented</w:t>
            </w:r>
          </w:p>
        </w:tc>
      </w:tr>
      <w:tr w:rsidR="00617FC9" w:rsidRPr="00986D12" w14:paraId="04148563"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0DE0B61B"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CIS 3: Creating an enabling legal and regulatory environment to accelerate digital transformation</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00B6E8FB"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 ongoing</w:t>
            </w:r>
          </w:p>
        </w:tc>
      </w:tr>
      <w:tr w:rsidR="00617FC9" w:rsidRPr="00986D12" w14:paraId="526CB4E6"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224DE657"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 xml:space="preserve">CIS 4: Digital skills and information and communication technology accessibility for the public, </w:t>
            </w:r>
            <w:proofErr w:type="gramStart"/>
            <w:r w:rsidRPr="00986D12">
              <w:rPr>
                <w:rFonts w:asciiTheme="minorHAnsi" w:hAnsiTheme="minorHAnsi" w:cstheme="minorHAnsi"/>
                <w:sz w:val="16"/>
                <w:szCs w:val="16"/>
              </w:rPr>
              <w:t>in particular for</w:t>
            </w:r>
            <w:proofErr w:type="gramEnd"/>
            <w:r w:rsidRPr="00986D12">
              <w:rPr>
                <w:rFonts w:asciiTheme="minorHAnsi" w:hAnsiTheme="minorHAnsi" w:cstheme="minorHAnsi"/>
                <w:sz w:val="16"/>
                <w:szCs w:val="16"/>
              </w:rPr>
              <w:t xml:space="preserve"> persons with disabilities</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218A51B1"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 ongoing</w:t>
            </w:r>
          </w:p>
        </w:tc>
      </w:tr>
      <w:tr w:rsidR="00617FC9" w:rsidRPr="00986D12" w14:paraId="4C4F73A5"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2F64C997"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CIS 5: Development of smart cities and communities</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4896628C"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 ongoing</w:t>
            </w:r>
          </w:p>
        </w:tc>
      </w:tr>
      <w:tr w:rsidR="00617FC9" w:rsidRPr="00986D12" w14:paraId="5D6BEA7A"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1F14522A" w14:textId="77777777" w:rsidR="00617FC9" w:rsidRPr="00986D12" w:rsidRDefault="00617FC9" w:rsidP="00696175">
            <w:pPr>
              <w:pStyle w:val="Texttable"/>
              <w:rPr>
                <w:rFonts w:asciiTheme="minorHAnsi" w:hAnsiTheme="minorHAnsi" w:cstheme="minorHAnsi"/>
                <w:b/>
                <w:bCs/>
                <w:sz w:val="16"/>
                <w:szCs w:val="16"/>
              </w:rPr>
            </w:pPr>
            <w:r w:rsidRPr="00986D12">
              <w:rPr>
                <w:rFonts w:asciiTheme="minorHAnsi" w:hAnsiTheme="minorHAnsi" w:cstheme="minorHAnsi"/>
                <w:b/>
                <w:bCs/>
                <w:sz w:val="16"/>
                <w:szCs w:val="16"/>
              </w:rPr>
              <w:t>Europe</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Mar>
              <w:left w:w="90" w:type="dxa"/>
              <w:right w:w="90" w:type="dxa"/>
            </w:tcMar>
          </w:tcPr>
          <w:p w14:paraId="69A0EB33" w14:textId="77777777" w:rsidR="00617FC9" w:rsidRPr="00986D12" w:rsidRDefault="00617FC9" w:rsidP="00696175">
            <w:pPr>
              <w:pStyle w:val="Texttable"/>
              <w:rPr>
                <w:rFonts w:asciiTheme="minorHAnsi" w:hAnsiTheme="minorHAnsi" w:cstheme="minorHAnsi"/>
                <w:b/>
                <w:bCs/>
                <w:sz w:val="16"/>
                <w:szCs w:val="16"/>
              </w:rPr>
            </w:pPr>
          </w:p>
        </w:tc>
      </w:tr>
      <w:tr w:rsidR="00617FC9" w:rsidRPr="00986D12" w14:paraId="0BDED1EC"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100F3A31"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EUR 1: Digital infrastructure development</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3338248C"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 implemented</w:t>
            </w:r>
          </w:p>
        </w:tc>
      </w:tr>
      <w:tr w:rsidR="00617FC9" w:rsidRPr="00986D12" w14:paraId="59D36D87"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FFFF" w:themeFill="background1"/>
            <w:tcMar>
              <w:left w:w="90" w:type="dxa"/>
              <w:right w:w="90" w:type="dxa"/>
            </w:tcMar>
          </w:tcPr>
          <w:p w14:paraId="7E281403"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EUR 2: Digital transformation for resilience</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FFFF" w:themeFill="background1"/>
            <w:tcMar>
              <w:left w:w="90" w:type="dxa"/>
              <w:right w:w="90" w:type="dxa"/>
            </w:tcMar>
          </w:tcPr>
          <w:p w14:paraId="6294A9A7"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2 ongoing</w:t>
            </w:r>
          </w:p>
          <w:p w14:paraId="7C3D6187"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2 implemented</w:t>
            </w:r>
          </w:p>
        </w:tc>
      </w:tr>
      <w:tr w:rsidR="00617FC9" w:rsidRPr="00986D12" w14:paraId="058BFFD7"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1F1DCD0E"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EUR 3: Digital inclusion and skills development</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555052F9"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2 ongoing</w:t>
            </w:r>
          </w:p>
        </w:tc>
      </w:tr>
      <w:tr w:rsidR="00617FC9" w:rsidRPr="00986D12" w14:paraId="4322E392"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FFFF" w:themeFill="background1"/>
            <w:tcMar>
              <w:left w:w="90" w:type="dxa"/>
              <w:right w:w="90" w:type="dxa"/>
            </w:tcMar>
          </w:tcPr>
          <w:p w14:paraId="66E2855D"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EUR 4: Trust and confidence in the use of telecommunications/information and communication technologies</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FFFFFF" w:themeFill="background1"/>
            <w:tcMar>
              <w:left w:w="90" w:type="dxa"/>
              <w:right w:w="90" w:type="dxa"/>
            </w:tcMar>
          </w:tcPr>
          <w:p w14:paraId="1B232BB6"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2 ongoing</w:t>
            </w:r>
          </w:p>
          <w:p w14:paraId="2F50A050"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1 implemented</w:t>
            </w:r>
          </w:p>
        </w:tc>
      </w:tr>
      <w:tr w:rsidR="00617FC9" w:rsidRPr="00986D12" w14:paraId="783CB1CC" w14:textId="77777777" w:rsidTr="00696175">
        <w:trPr>
          <w:jc w:val="center"/>
        </w:trPr>
        <w:tc>
          <w:tcPr>
            <w:tcW w:w="5565"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2C812EF5"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EUR 5: Digital innovation ecosystems</w:t>
            </w:r>
          </w:p>
        </w:tc>
        <w:tc>
          <w:tcPr>
            <w:tcW w:w="315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BE5F1" w:themeFill="accent1" w:themeFillTint="33"/>
            <w:tcMar>
              <w:left w:w="90" w:type="dxa"/>
              <w:right w:w="90" w:type="dxa"/>
            </w:tcMar>
          </w:tcPr>
          <w:p w14:paraId="72F33B73"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3 ongoing</w:t>
            </w:r>
          </w:p>
        </w:tc>
      </w:tr>
    </w:tbl>
    <w:p w14:paraId="4B7DC53C" w14:textId="77777777" w:rsidR="00617FC9" w:rsidRPr="00986D12" w:rsidRDefault="00617FC9" w:rsidP="00617FC9">
      <w:pPr>
        <w:pStyle w:val="Notes"/>
        <w:rPr>
          <w:rFonts w:asciiTheme="minorHAnsi" w:hAnsiTheme="minorHAnsi" w:cstheme="minorHAnsi"/>
        </w:rPr>
      </w:pPr>
      <w:r w:rsidRPr="00986D12">
        <w:rPr>
          <w:rFonts w:asciiTheme="minorHAnsi" w:hAnsiTheme="minorHAnsi" w:cstheme="minorHAnsi"/>
        </w:rPr>
        <w:t>Note: A project can address the needs of more than 1 Regional Initiative and can cut across more than 1 region.</w:t>
      </w:r>
    </w:p>
    <w:p w14:paraId="33047ED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lastRenderedPageBreak/>
        <w:t>The document analysis indicates that Regional Initiatives are effectively operationalized through a wide portfolio of activities and projects in the regions and across thematic priorities. It also notes that projects and activities may contribute simultaneously to several Regional Initiatives and may span multiple regions, reflecting the integrated nature of operational delivery.</w:t>
      </w:r>
    </w:p>
    <w:p w14:paraId="4E81E09B"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Perception-based evidence from the Membership Survey complements this operational picture. A total of 71%</w:t>
      </w:r>
      <w:r w:rsidRPr="0046236F" w:rsidDel="004E0341">
        <w:rPr>
          <w:rFonts w:asciiTheme="minorHAnsi" w:hAnsiTheme="minorHAnsi" w:cstheme="minorHAnsi"/>
          <w:szCs w:val="24"/>
        </w:rPr>
        <w:t xml:space="preserve"> </w:t>
      </w:r>
      <w:r w:rsidRPr="0046236F">
        <w:rPr>
          <w:rFonts w:asciiTheme="minorHAnsi" w:hAnsiTheme="minorHAnsi" w:cstheme="minorHAnsi"/>
          <w:szCs w:val="24"/>
        </w:rPr>
        <w:t>agree that ITU is effective in delivering on its mandate and impact on the ground through Regional and Area Offices (Q1). Some 60% consider the current level of activities satisfactory (Q2), indicating recognition of implemented initiatives. Engagement levels are also substantial, with 74% reporting consultation with Regional or Area Offices during 2024–2025 (Q10). Collaboration willingness reaches 82% with Membership entities (Q9_a) and 60% with partners (Q9_b), suggesting a strong foundation for implementing initiatives through cooperative engagement.</w:t>
      </w:r>
    </w:p>
    <w:p w14:paraId="67927B7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Perceived effectiveness of activities varies across functional areas. Dissemination of information and data receives 73% agreement (Q12_c), and the use of technological platforms 70% (Q12_b). Building awareness and capacity reaches 67% (Q12_h), technical expertise 66% (Q12_g), and communication and advocacy 64% (Q12_d). Platforms for policy discussion record 61% (Q12_f). Strategic planning support stands at 52% (Q12_a), partnerships and resource mobilization at 55% (Q12_e), and alignment with national ICT priorities at 55% (Q12_i).</w:t>
      </w:r>
    </w:p>
    <w:p w14:paraId="79985AC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Ease of accessing expertise records 52% agreement (Q14). A majority indicate that lack of proximity does not negatively impact support (Q16), suggesting that implemented initiatives are not wholly dependent on physical presence.</w:t>
      </w:r>
    </w:p>
    <w:p w14:paraId="64E055FE"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Support for strengthening implementation is strong. Some 72% agree that improved transparency on staffing, financial resources and activity implementation would strengthen regional activities (Q5_a). A total of 67% support increasing projects and activities in countries without ITU offices (Q5_e). Opening new Area Offices records 49% agreement (Q5_d), indicating limited support for structural expansion.</w:t>
      </w:r>
    </w:p>
    <w:p w14:paraId="0D4FE44B"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Alignment of co-financed activities with national or regional needs records 43% agreement (Q15), suggesting that externally funded initiatives are not uniformly perceived as fully aligned with national priorities.</w:t>
      </w:r>
    </w:p>
    <w:p w14:paraId="4CF5BDC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Open-ended responses highlight expectations for deeper engagement during events, stronger in-country coordination, improved communication and greater visibility of implemented initiatives. These responses point to a desire for clearer articulation of how Regional Initiatives translate into tangible outcomes at country level.</w:t>
      </w:r>
    </w:p>
    <w:p w14:paraId="0A7D6AE9" w14:textId="60B522AC"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Conclusion</w:t>
      </w:r>
    </w:p>
    <w:p w14:paraId="087B1F4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Taken together, operational reporting and perception-based evidence indicate that Regional Initiatives are being effectively implemented through a substantial number of projects and activities across all regions. Strong performance is visible in information dissemination, technological platforms and capacity building. At the same time, positive but relatively moderate perceptions regarding partnerships, strategic planning support and alignment of externally funded activities suggest opportunities to further strengthen the coherence and visibility of implementation in regions. </w:t>
      </w:r>
    </w:p>
    <w:p w14:paraId="766C785A" w14:textId="77777777" w:rsidR="00617FC9" w:rsidRPr="00663F4B" w:rsidRDefault="00617FC9" w:rsidP="00617FC9">
      <w:pPr>
        <w:pStyle w:val="Subtitle0"/>
        <w:rPr>
          <w:rFonts w:asciiTheme="minorHAnsi" w:hAnsiTheme="minorHAnsi" w:cstheme="minorHAnsi"/>
          <w:sz w:val="24"/>
          <w:szCs w:val="24"/>
        </w:rPr>
      </w:pPr>
      <w:r w:rsidRPr="00663F4B">
        <w:rPr>
          <w:rFonts w:asciiTheme="minorHAnsi" w:hAnsiTheme="minorHAnsi" w:cstheme="minorHAnsi"/>
          <w:sz w:val="24"/>
          <w:szCs w:val="24"/>
        </w:rPr>
        <w:lastRenderedPageBreak/>
        <w:t>Data Sources</w:t>
      </w:r>
    </w:p>
    <w:p w14:paraId="3A521B6B" w14:textId="77777777" w:rsidR="00617FC9" w:rsidRPr="00663F4B" w:rsidRDefault="00617FC9" w:rsidP="00D81F57">
      <w:pPr>
        <w:pStyle w:val="ListParagraph"/>
        <w:numPr>
          <w:ilvl w:val="0"/>
          <w:numId w:val="20"/>
        </w:numPr>
        <w:spacing w:before="60" w:after="60"/>
        <w:contextualSpacing w:val="0"/>
        <w:rPr>
          <w:rFonts w:asciiTheme="minorHAnsi" w:hAnsiTheme="minorHAnsi" w:cstheme="minorHAnsi"/>
          <w:sz w:val="24"/>
          <w:szCs w:val="24"/>
        </w:rPr>
      </w:pPr>
      <w:r w:rsidRPr="00663F4B">
        <w:rPr>
          <w:rFonts w:asciiTheme="minorHAnsi" w:hAnsiTheme="minorHAnsi" w:cstheme="minorHAnsi"/>
          <w:sz w:val="24"/>
          <w:szCs w:val="24"/>
        </w:rPr>
        <w:t xml:space="preserve">Report on the implementation of the Kigali Action Plan (KAP), WTDC-25 Document </w:t>
      </w:r>
      <w:hyperlink r:id="rId68">
        <w:r w:rsidRPr="00663F4B">
          <w:rPr>
            <w:rStyle w:val="Hyperlink"/>
            <w:rFonts w:asciiTheme="minorHAnsi" w:eastAsia="Avenir Nxt2 W1G" w:hAnsiTheme="minorHAnsi" w:cstheme="minorHAnsi"/>
            <w:sz w:val="24"/>
            <w:szCs w:val="24"/>
          </w:rPr>
          <w:t>WTDC-25/2</w:t>
        </w:r>
      </w:hyperlink>
    </w:p>
    <w:p w14:paraId="7AF2A21F" w14:textId="77777777" w:rsidR="00617FC9" w:rsidRPr="00663F4B" w:rsidRDefault="00617FC9" w:rsidP="00D81F57">
      <w:pPr>
        <w:pStyle w:val="ListParagraph"/>
        <w:numPr>
          <w:ilvl w:val="0"/>
          <w:numId w:val="20"/>
        </w:numPr>
        <w:spacing w:before="60" w:after="60"/>
        <w:contextualSpacing w:val="0"/>
        <w:rPr>
          <w:rFonts w:asciiTheme="minorHAnsi" w:hAnsiTheme="minorHAnsi" w:cstheme="minorHAnsi"/>
          <w:sz w:val="24"/>
          <w:szCs w:val="24"/>
        </w:rPr>
      </w:pPr>
      <w:r w:rsidRPr="00663F4B">
        <w:rPr>
          <w:rFonts w:asciiTheme="minorHAnsi" w:hAnsiTheme="minorHAnsi" w:cstheme="minorHAnsi"/>
          <w:sz w:val="24"/>
          <w:szCs w:val="24"/>
        </w:rPr>
        <w:t xml:space="preserve">Reporting on the implementation of the Kigali Action Plan (KAP), TDAG 2024 Document </w:t>
      </w:r>
      <w:hyperlink r:id="rId69">
        <w:r w:rsidRPr="00663F4B">
          <w:rPr>
            <w:rStyle w:val="Hyperlink"/>
            <w:rFonts w:asciiTheme="minorHAnsi" w:eastAsia="Avenir Nxt2 W1G" w:hAnsiTheme="minorHAnsi" w:cstheme="minorHAnsi"/>
            <w:sz w:val="24"/>
            <w:szCs w:val="24"/>
          </w:rPr>
          <w:t>TDAG-24/2</w:t>
        </w:r>
      </w:hyperlink>
    </w:p>
    <w:p w14:paraId="49427FB0" w14:textId="77777777" w:rsidR="00617FC9" w:rsidRPr="00663F4B" w:rsidRDefault="00617FC9" w:rsidP="00D81F57">
      <w:pPr>
        <w:pStyle w:val="ListParagraph"/>
        <w:numPr>
          <w:ilvl w:val="0"/>
          <w:numId w:val="20"/>
        </w:numPr>
        <w:spacing w:before="60" w:after="60"/>
        <w:contextualSpacing w:val="0"/>
        <w:rPr>
          <w:rFonts w:asciiTheme="minorHAnsi" w:hAnsiTheme="minorHAnsi" w:cstheme="minorHAnsi"/>
          <w:sz w:val="24"/>
          <w:szCs w:val="24"/>
        </w:rPr>
      </w:pPr>
      <w:r w:rsidRPr="00663F4B">
        <w:rPr>
          <w:rFonts w:asciiTheme="minorHAnsi" w:hAnsiTheme="minorHAnsi" w:cstheme="minorHAnsi"/>
          <w:sz w:val="24"/>
          <w:szCs w:val="24"/>
        </w:rPr>
        <w:t xml:space="preserve">ITU-D draft operational plan for 2026-2029 and 2024 performance report TDAG 2025 Document </w:t>
      </w:r>
      <w:hyperlink r:id="rId70">
        <w:r w:rsidRPr="00663F4B">
          <w:rPr>
            <w:rStyle w:val="Hyperlink"/>
            <w:rFonts w:asciiTheme="minorHAnsi" w:eastAsia="Avenir Nxt2 W1G" w:hAnsiTheme="minorHAnsi" w:cstheme="minorHAnsi"/>
            <w:sz w:val="24"/>
            <w:szCs w:val="24"/>
          </w:rPr>
          <w:t>TDAG-25/40</w:t>
        </w:r>
      </w:hyperlink>
    </w:p>
    <w:p w14:paraId="172969AB" w14:textId="77777777" w:rsidR="00617FC9" w:rsidRPr="00663F4B" w:rsidRDefault="00617FC9" w:rsidP="00D81F57">
      <w:pPr>
        <w:pStyle w:val="ListParagraph"/>
        <w:numPr>
          <w:ilvl w:val="0"/>
          <w:numId w:val="20"/>
        </w:numPr>
        <w:spacing w:before="60" w:after="60"/>
        <w:contextualSpacing w:val="0"/>
        <w:rPr>
          <w:rFonts w:asciiTheme="minorHAnsi" w:hAnsiTheme="minorHAnsi" w:cstheme="minorHAnsi"/>
          <w:sz w:val="24"/>
          <w:szCs w:val="24"/>
        </w:rPr>
      </w:pPr>
      <w:r w:rsidRPr="00663F4B">
        <w:rPr>
          <w:rFonts w:asciiTheme="minorHAnsi" w:hAnsiTheme="minorHAnsi" w:cstheme="minorHAnsi"/>
          <w:sz w:val="24"/>
          <w:szCs w:val="24"/>
        </w:rPr>
        <w:t xml:space="preserve">BDT Operational Plan dashboards as indicated in TDAG-24 and TDAG-25 Document </w:t>
      </w:r>
    </w:p>
    <w:p w14:paraId="2AC779B9" w14:textId="77777777" w:rsidR="00617FC9" w:rsidRPr="00663F4B" w:rsidRDefault="00617FC9" w:rsidP="00D81F57">
      <w:pPr>
        <w:pStyle w:val="ListParagraph"/>
        <w:numPr>
          <w:ilvl w:val="1"/>
          <w:numId w:val="20"/>
        </w:numPr>
        <w:spacing w:before="60" w:after="60"/>
        <w:contextualSpacing w:val="0"/>
        <w:rPr>
          <w:rFonts w:asciiTheme="minorHAnsi" w:eastAsia="Avenir Nxt2 W1G" w:hAnsiTheme="minorHAnsi" w:cstheme="minorHAnsi"/>
          <w:color w:val="000000" w:themeColor="text1"/>
          <w:sz w:val="24"/>
          <w:szCs w:val="24"/>
        </w:rPr>
      </w:pPr>
      <w:hyperlink r:id="rId71">
        <w:r w:rsidRPr="00663F4B">
          <w:rPr>
            <w:rStyle w:val="Hyperlink"/>
            <w:rFonts w:asciiTheme="minorHAnsi" w:eastAsia="Avenir Nxt2 W1G" w:hAnsiTheme="minorHAnsi" w:cstheme="minorHAnsi"/>
            <w:sz w:val="24"/>
            <w:szCs w:val="24"/>
          </w:rPr>
          <w:t>https://www.itu.int/en/ITU-D/Conferences/TDAG/Pages/dashboards/2025/Regional-Initiatives.aspx</w:t>
        </w:r>
      </w:hyperlink>
    </w:p>
    <w:p w14:paraId="41957550" w14:textId="77777777" w:rsidR="00617FC9" w:rsidRPr="00663F4B" w:rsidRDefault="00617FC9" w:rsidP="00D81F57">
      <w:pPr>
        <w:pStyle w:val="ListParagraph"/>
        <w:numPr>
          <w:ilvl w:val="1"/>
          <w:numId w:val="20"/>
        </w:numPr>
        <w:spacing w:before="60" w:after="60"/>
        <w:contextualSpacing w:val="0"/>
        <w:rPr>
          <w:rFonts w:asciiTheme="minorHAnsi" w:eastAsia="Avenir Nxt2 W1G" w:hAnsiTheme="minorHAnsi" w:cstheme="minorHAnsi"/>
          <w:color w:val="000000" w:themeColor="text1"/>
          <w:sz w:val="24"/>
          <w:szCs w:val="24"/>
        </w:rPr>
      </w:pPr>
      <w:hyperlink r:id="rId72">
        <w:r w:rsidRPr="00663F4B">
          <w:rPr>
            <w:rStyle w:val="Hyperlink"/>
            <w:rFonts w:asciiTheme="minorHAnsi" w:eastAsia="Avenir Nxt2 W1G" w:hAnsiTheme="minorHAnsi" w:cstheme="minorHAnsi"/>
            <w:sz w:val="24"/>
            <w:szCs w:val="24"/>
          </w:rPr>
          <w:t>https://www.itu.int/en/ITU-D/Conferences/TDAG/Pages/dashboards/2025/Operational-Plan-Reporting-Dashboard.aspx</w:t>
        </w:r>
      </w:hyperlink>
    </w:p>
    <w:p w14:paraId="1DC2665D" w14:textId="77777777" w:rsidR="00617FC9" w:rsidRPr="00663F4B" w:rsidRDefault="00617FC9" w:rsidP="00D81F57">
      <w:pPr>
        <w:pStyle w:val="ListParagraph"/>
        <w:numPr>
          <w:ilvl w:val="0"/>
          <w:numId w:val="20"/>
        </w:numPr>
        <w:spacing w:before="60" w:after="60"/>
        <w:contextualSpacing w:val="0"/>
        <w:rPr>
          <w:rFonts w:asciiTheme="minorHAnsi" w:hAnsiTheme="minorHAnsi" w:cstheme="minorHAnsi"/>
          <w:color w:val="000000" w:themeColor="text1"/>
          <w:sz w:val="24"/>
          <w:szCs w:val="24"/>
        </w:rPr>
      </w:pPr>
      <w:r w:rsidRPr="00663F4B">
        <w:rPr>
          <w:rFonts w:asciiTheme="minorHAnsi" w:hAnsiTheme="minorHAnsi" w:cstheme="minorHAnsi"/>
          <w:color w:val="000000" w:themeColor="text1"/>
          <w:sz w:val="24"/>
          <w:szCs w:val="24"/>
        </w:rPr>
        <w:t xml:space="preserve">Regional Development Forum reports </w:t>
      </w:r>
      <w:hyperlink r:id="rId73">
        <w:r w:rsidRPr="00663F4B">
          <w:rPr>
            <w:rStyle w:val="Hyperlink"/>
            <w:rFonts w:asciiTheme="minorHAnsi" w:eastAsia="Avenir Nxt2 W1G" w:hAnsiTheme="minorHAnsi" w:cstheme="minorHAnsi"/>
            <w:sz w:val="24"/>
            <w:szCs w:val="24"/>
          </w:rPr>
          <w:t>https://www.itu.int/itu-d/meetings/rdf/</w:t>
        </w:r>
      </w:hyperlink>
    </w:p>
    <w:p w14:paraId="45DDD1A1" w14:textId="77777777" w:rsidR="00617FC9" w:rsidRPr="00663F4B" w:rsidRDefault="00617FC9" w:rsidP="00D81F57">
      <w:pPr>
        <w:pStyle w:val="ListParagraph"/>
        <w:numPr>
          <w:ilvl w:val="0"/>
          <w:numId w:val="20"/>
        </w:numPr>
        <w:spacing w:before="60" w:after="60"/>
        <w:contextualSpacing w:val="0"/>
        <w:rPr>
          <w:rFonts w:asciiTheme="minorHAnsi" w:hAnsiTheme="minorHAnsi" w:cstheme="minorHAnsi"/>
          <w:sz w:val="24"/>
          <w:szCs w:val="24"/>
        </w:rPr>
      </w:pPr>
      <w:r w:rsidRPr="00663F4B">
        <w:rPr>
          <w:rFonts w:asciiTheme="minorHAnsi" w:hAnsiTheme="minorHAnsi" w:cstheme="minorHAnsi"/>
          <w:sz w:val="24"/>
          <w:szCs w:val="24"/>
        </w:rPr>
        <w:t>BDT OP system to track WTDC Action Plans (internal)</w:t>
      </w:r>
    </w:p>
    <w:p w14:paraId="69BFF124" w14:textId="77777777" w:rsidR="00617FC9" w:rsidRPr="0046236F" w:rsidRDefault="00617FC9" w:rsidP="00617FC9">
      <w:pPr>
        <w:pStyle w:val="KPItitle"/>
        <w:jc w:val="both"/>
        <w:rPr>
          <w:rFonts w:asciiTheme="minorHAnsi" w:eastAsia="Avenir Nxt2 W1G" w:hAnsiTheme="minorHAnsi" w:cstheme="minorHAnsi"/>
          <w:sz w:val="24"/>
          <w:szCs w:val="24"/>
        </w:rPr>
      </w:pPr>
      <w:bookmarkStart w:id="114" w:name="_Toc224213051"/>
      <w:bookmarkStart w:id="115" w:name="_Toc224236482"/>
      <w:r w:rsidRPr="0046236F">
        <w:rPr>
          <w:rFonts w:asciiTheme="minorHAnsi" w:hAnsiTheme="minorHAnsi" w:cstheme="minorHAnsi"/>
          <w:sz w:val="24"/>
          <w:szCs w:val="24"/>
        </w:rPr>
        <w:t>KPI</w:t>
      </w:r>
      <w:r w:rsidRPr="0046236F">
        <w:rPr>
          <w:rFonts w:asciiTheme="minorHAnsi" w:eastAsia="Avenir Nxt2 W1G" w:hAnsiTheme="minorHAnsi" w:cstheme="minorHAnsi"/>
          <w:sz w:val="24"/>
          <w:szCs w:val="24"/>
        </w:rPr>
        <w:t xml:space="preserve"> </w:t>
      </w:r>
      <w:r w:rsidRPr="0046236F">
        <w:rPr>
          <w:rFonts w:asciiTheme="minorHAnsi" w:hAnsiTheme="minorHAnsi" w:cstheme="minorHAnsi"/>
          <w:sz w:val="24"/>
          <w:szCs w:val="24"/>
        </w:rPr>
        <w:t>7</w:t>
      </w:r>
      <w:r w:rsidRPr="0046236F">
        <w:rPr>
          <w:rFonts w:asciiTheme="minorHAnsi" w:eastAsia="Avenir Nxt2 W1G" w:hAnsiTheme="minorHAnsi" w:cstheme="minorHAnsi"/>
          <w:sz w:val="24"/>
          <w:szCs w:val="24"/>
        </w:rPr>
        <w:t xml:space="preserve"> — </w:t>
      </w:r>
      <w:r w:rsidRPr="0046236F" w:rsidDel="001F2A97">
        <w:rPr>
          <w:rFonts w:asciiTheme="minorHAnsi" w:hAnsiTheme="minorHAnsi" w:cstheme="minorHAnsi"/>
          <w:sz w:val="24"/>
          <w:szCs w:val="24"/>
        </w:rPr>
        <w:t>Recommendations</w:t>
      </w:r>
      <w:r w:rsidRPr="0046236F">
        <w:rPr>
          <w:rFonts w:asciiTheme="minorHAnsi" w:hAnsiTheme="minorHAnsi" w:cstheme="minorHAnsi"/>
          <w:sz w:val="24"/>
          <w:szCs w:val="24"/>
        </w:rPr>
        <w:t xml:space="preserve"> on how to address any challenges in collecting data or demonstrating progress on KPIs with the reporting</w:t>
      </w:r>
      <w:bookmarkEnd w:id="114"/>
      <w:bookmarkEnd w:id="115"/>
    </w:p>
    <w:p w14:paraId="0392E240" w14:textId="77777777" w:rsidR="00617FC9" w:rsidRPr="0046236F" w:rsidRDefault="00617FC9" w:rsidP="00617FC9">
      <w:pPr>
        <w:pStyle w:val="paragraph"/>
        <w:jc w:val="both"/>
        <w:rPr>
          <w:rFonts w:asciiTheme="minorHAnsi" w:hAnsiTheme="minorHAnsi" w:cstheme="minorHAnsi"/>
          <w:sz w:val="24"/>
          <w:szCs w:val="24"/>
        </w:rPr>
      </w:pPr>
      <w:r w:rsidRPr="0046236F">
        <w:rPr>
          <w:rFonts w:asciiTheme="minorHAnsi" w:eastAsiaTheme="majorEastAsia" w:hAnsiTheme="minorHAnsi" w:cstheme="minorHAnsi"/>
          <w:sz w:val="24"/>
          <w:szCs w:val="24"/>
        </w:rPr>
        <w:t>Internal feedback highlights structural and informational constraints affecting reporting and performance monitoring. A little more than a third, or 35% agree that staff in Regional and Area Offices have access to detailed financial information on projects in a reasonable time (Q6). Disagreement reaches 32%, indicating that access to timely financial data remains a significant operational constraint for monitoring and reporting purposes.</w:t>
      </w:r>
    </w:p>
    <w:p w14:paraId="34FE6181" w14:textId="77777777" w:rsidR="00617FC9" w:rsidRPr="0046236F" w:rsidRDefault="00617FC9" w:rsidP="00617FC9">
      <w:pPr>
        <w:pStyle w:val="paragraph"/>
        <w:jc w:val="both"/>
        <w:rPr>
          <w:rFonts w:asciiTheme="minorHAnsi" w:hAnsiTheme="minorHAnsi" w:cstheme="minorHAnsi"/>
          <w:sz w:val="24"/>
          <w:szCs w:val="24"/>
        </w:rPr>
      </w:pPr>
      <w:r w:rsidRPr="0046236F">
        <w:rPr>
          <w:rFonts w:asciiTheme="minorHAnsi" w:eastAsiaTheme="majorEastAsia" w:hAnsiTheme="minorHAnsi" w:cstheme="minorHAnsi"/>
          <w:sz w:val="24"/>
          <w:szCs w:val="24"/>
        </w:rPr>
        <w:t>From the Membership perspective, 67% agree that evaluation of progress on relevant KPIs and identification of internal and external implementation challenges would enhance coordination and communication of activities, projects and initiatives (Q7_c). This reflects strong support for structured performance monitoring mechanisms and systematic tracking of challenges.</w:t>
      </w:r>
    </w:p>
    <w:p w14:paraId="1DEF6ACE" w14:textId="77777777" w:rsidR="00617FC9" w:rsidRPr="0046236F" w:rsidRDefault="00617FC9" w:rsidP="00617FC9">
      <w:pPr>
        <w:pStyle w:val="paragraph"/>
        <w:jc w:val="both"/>
        <w:rPr>
          <w:rFonts w:asciiTheme="minorHAnsi" w:hAnsiTheme="minorHAnsi" w:cstheme="minorHAnsi"/>
          <w:sz w:val="24"/>
          <w:szCs w:val="24"/>
        </w:rPr>
      </w:pPr>
      <w:r w:rsidRPr="0046236F">
        <w:rPr>
          <w:rFonts w:asciiTheme="minorHAnsi" w:eastAsiaTheme="majorEastAsia" w:hAnsiTheme="minorHAnsi" w:cstheme="minorHAnsi"/>
          <w:sz w:val="24"/>
          <w:szCs w:val="24"/>
        </w:rPr>
        <w:t>Further in the responses to the open ended Q18, membership stress on stronger regional presence with improved reporting, monitoring, and visibility of results:</w:t>
      </w:r>
    </w:p>
    <w:p w14:paraId="04E12B9E"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Calls for Regular reporting on project milestones, key performance indicators, and regional outcomes.</w:t>
      </w:r>
    </w:p>
    <w:p w14:paraId="4D530A83" w14:textId="77777777" w:rsidR="00617FC9" w:rsidRPr="0046236F" w:rsidRDefault="00617FC9" w:rsidP="00617FC9">
      <w:pPr>
        <w:pStyle w:val="Bulletlist"/>
        <w:jc w:val="both"/>
        <w:rPr>
          <w:rStyle w:val="eop"/>
          <w:rFonts w:asciiTheme="minorHAnsi" w:hAnsiTheme="minorHAnsi" w:cstheme="minorHAnsi"/>
          <w:sz w:val="24"/>
          <w:szCs w:val="24"/>
        </w:rPr>
      </w:pPr>
      <w:r w:rsidRPr="0046236F">
        <w:rPr>
          <w:rFonts w:asciiTheme="minorHAnsi" w:hAnsiTheme="minorHAnsi" w:cstheme="minorHAnsi"/>
          <w:sz w:val="24"/>
          <w:szCs w:val="24"/>
        </w:rPr>
        <w:t>Requests for structured and sustained engagement mechanisms and clearer follow up</w:t>
      </w:r>
      <w:r w:rsidRPr="0046236F">
        <w:rPr>
          <w:rFonts w:asciiTheme="minorHAnsi" w:hAnsiTheme="minorHAnsi" w:cstheme="minorHAnsi"/>
          <w:color w:val="000000"/>
          <w:sz w:val="24"/>
          <w:szCs w:val="24"/>
        </w:rPr>
        <w:t xml:space="preserve"> on initiatives.</w:t>
      </w:r>
    </w:p>
    <w:p w14:paraId="05C733B0"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Suggestions for a centralized information hub or dashboard per region to streamline access to information on ongoing programmes and outcomes.</w:t>
      </w:r>
    </w:p>
    <w:p w14:paraId="46169039" w14:textId="77777777" w:rsidR="00617FC9" w:rsidRPr="0046236F" w:rsidRDefault="00617FC9" w:rsidP="00617FC9">
      <w:pPr>
        <w:pStyle w:val="paragraph"/>
        <w:jc w:val="both"/>
        <w:rPr>
          <w:rFonts w:asciiTheme="minorHAnsi" w:hAnsiTheme="minorHAnsi" w:cstheme="minorHAnsi"/>
          <w:sz w:val="24"/>
          <w:szCs w:val="24"/>
        </w:rPr>
      </w:pPr>
      <w:r w:rsidRPr="0046236F">
        <w:rPr>
          <w:rFonts w:asciiTheme="minorHAnsi" w:eastAsiaTheme="majorEastAsia" w:hAnsiTheme="minorHAnsi" w:cstheme="minorHAnsi"/>
          <w:color w:val="000000"/>
          <w:sz w:val="24"/>
          <w:szCs w:val="24"/>
        </w:rPr>
        <w:t>Members value ITU activities and are requesting clearer tracking of results and suggesting that strengthening structured milestone reporting and KPI-linked dashboards would enhance visibility of progress and simplify data aggregation for reporting.</w:t>
      </w:r>
    </w:p>
    <w:p w14:paraId="6AA7B7C4"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lastRenderedPageBreak/>
        <w:t xml:space="preserve">Conclusion </w:t>
      </w:r>
    </w:p>
    <w:p w14:paraId="3F41CAF8" w14:textId="77777777" w:rsidR="00617FC9" w:rsidRPr="0046236F" w:rsidRDefault="00617FC9" w:rsidP="00617FC9">
      <w:pPr>
        <w:pStyle w:val="paragraph"/>
        <w:jc w:val="both"/>
        <w:rPr>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The combined results suggest that while the value of KPI-based evaluation and structured monitoring is widely recognised, operational constraints — particularly related to access to financial information — may limit the effectiveness of reporting processes. Overall, KPI 7 reflects strong conceptual support for performance evaluation and KPI tracking, alongside identifiable operational bottlenecks in financial data access that may constrain comprehensive reporting. Enhancing data accessibility, project-level financial transparency, and timely information flows are seen to be elements that could contribute to more robust KPI reporting. At the same time, maintaining systematic evaluation and structured identification of implementation challenges may help in better demonstrating progress.</w:t>
      </w:r>
    </w:p>
    <w:p w14:paraId="5A147418" w14:textId="77777777" w:rsidR="00617FC9" w:rsidRPr="0046236F" w:rsidRDefault="00617FC9" w:rsidP="00617FC9">
      <w:pPr>
        <w:pStyle w:val="KPItitle"/>
        <w:jc w:val="both"/>
        <w:rPr>
          <w:rFonts w:asciiTheme="minorHAnsi" w:hAnsiTheme="minorHAnsi" w:cstheme="minorHAnsi"/>
          <w:sz w:val="24"/>
          <w:szCs w:val="24"/>
        </w:rPr>
      </w:pPr>
      <w:bookmarkStart w:id="116" w:name="_Toc224213052"/>
      <w:bookmarkStart w:id="117" w:name="_Toc224236483"/>
      <w:r w:rsidRPr="0046236F">
        <w:rPr>
          <w:rFonts w:asciiTheme="minorHAnsi" w:hAnsiTheme="minorHAnsi" w:cstheme="minorHAnsi"/>
          <w:sz w:val="24"/>
          <w:szCs w:val="24"/>
        </w:rPr>
        <w:t>KPI 8 — Evaluate if the information/KPIs to report the actions and effectiveness by the Regional and Area Offices to align their work, activities, and outcomes with the ITU Strategic Plan 2023-2026 and Kigali Action Plan, including its thematic priorities and outcomes, outputs and regional initiatives, in line with the Strategic Plan, is effective</w:t>
      </w:r>
      <w:bookmarkEnd w:id="116"/>
      <w:bookmarkEnd w:id="117"/>
    </w:p>
    <w:p w14:paraId="5DB69B0D" w14:textId="77777777" w:rsidR="00617FC9" w:rsidRPr="0046236F" w:rsidRDefault="00617FC9" w:rsidP="00617FC9">
      <w:pPr>
        <w:pStyle w:val="paragraph"/>
        <w:jc w:val="both"/>
        <w:rPr>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Feedback from the Membership Survey indicates broad support for KPI-based reporting mechanisms as tools for monitoring progress and strengthening coordination across the Union’s activities. A total of 67% (Q.7_c) of Membership Survey respondents agree or strongly agree that evaluating progress on relevant KPIs, together with identifying internal and external implementation challenges, enhances synergies in the coordination and communication of activities, projects and initiatives.</w:t>
      </w:r>
    </w:p>
    <w:p w14:paraId="416735DD" w14:textId="77777777" w:rsidR="00617FC9" w:rsidRPr="0046236F" w:rsidRDefault="00617FC9" w:rsidP="00617FC9">
      <w:pPr>
        <w:pStyle w:val="paragraph"/>
        <w:jc w:val="both"/>
        <w:rPr>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The distribution of responses suggests that the KPI framework is widely perceived as contributing to improved coherence between Regional and Area Offices, the General Secretariat and the three Bureaux. Monitoring progress through structured indicators appears to support planning and coordination by providing a common reference point for assessing implementation and identifying challenges.</w:t>
      </w:r>
    </w:p>
    <w:p w14:paraId="2F8A2798" w14:textId="77777777" w:rsidR="00617FC9" w:rsidRPr="0046236F" w:rsidRDefault="00617FC9" w:rsidP="00617FC9">
      <w:pPr>
        <w:pStyle w:val="paragraph"/>
        <w:jc w:val="both"/>
        <w:rPr>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Insights from interviews with Regional Telecommunication Organizations (RTOs) reinforced this interpretation. Across regions, interviewees emphasized the importance of structured coordination mechanisms and alignment with regional institutions in translating global ITU strategies into concrete regional and national outcomes. In the Arab region, for example, the interview highlighted that alignment, expertise and structured cooperation with regional institutions are essential to ensure that global resolutions translate into tangible impact at regional and national level.</w:t>
      </w:r>
    </w:p>
    <w:p w14:paraId="621DB08F" w14:textId="77777777" w:rsidR="00617FC9" w:rsidRPr="0046236F" w:rsidRDefault="00617FC9" w:rsidP="00617FC9">
      <w:pPr>
        <w:pStyle w:val="paragraph"/>
        <w:jc w:val="both"/>
        <w:rPr>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Similarly, interviews with the Regional Commonwealth in the field of Communications underlined the importance of sustained dialogue and coordination mechanisms to keep initiatives aligned as priorities evolve. The interview identifies structured interaction between ITU and regional organizations as a key factor supporting continued alignment of regional activities with strategic objectives.</w:t>
      </w:r>
    </w:p>
    <w:p w14:paraId="280B3C96" w14:textId="77777777" w:rsidR="00617FC9" w:rsidRPr="0046236F" w:rsidRDefault="00617FC9" w:rsidP="00617FC9">
      <w:pPr>
        <w:pStyle w:val="paragraph"/>
        <w:jc w:val="both"/>
        <w:rPr>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Other regional interviews echoed comparable themes. The African Telecom Union interviewee’s feedback stressed the need for stronger transparency in monitoring implementation of initiatives and for measurable indicators that allow progress to be tracked more clearly. The interview also highlighted the importance of clearer coordination frameworks linking stakeholders, funding mechanisms and implementation processes</w:t>
      </w:r>
      <w:r w:rsidRPr="0046236F">
        <w:rPr>
          <w:rFonts w:asciiTheme="minorHAnsi" w:eastAsiaTheme="majorEastAsia" w:hAnsiTheme="minorHAnsi" w:cstheme="minorHAnsi"/>
          <w:color w:val="000000"/>
          <w:sz w:val="24"/>
          <w:szCs w:val="24"/>
        </w:rPr>
        <w:t>.</w:t>
      </w:r>
      <w:r w:rsidRPr="0046236F">
        <w:rPr>
          <w:rStyle w:val="eop"/>
          <w:rFonts w:asciiTheme="minorHAnsi" w:eastAsiaTheme="majorEastAsia" w:hAnsiTheme="minorHAnsi" w:cstheme="minorHAnsi"/>
          <w:color w:val="000000"/>
          <w:sz w:val="24"/>
          <w:szCs w:val="24"/>
        </w:rPr>
        <w:t xml:space="preserve"> </w:t>
      </w:r>
    </w:p>
    <w:p w14:paraId="522009C7" w14:textId="77777777" w:rsidR="00617FC9" w:rsidRPr="0046236F" w:rsidRDefault="00617FC9" w:rsidP="00617FC9">
      <w:pPr>
        <w:pStyle w:val="paragraph"/>
        <w:jc w:val="both"/>
        <w:rPr>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lastRenderedPageBreak/>
        <w:t>In the Americas and Asia-Pacific regions, the CITEL and APT representatives respectively emphasized the role of regional offices as facilitators of coordination between ITU and regional organizations and highlight the value of structured cooperation in ensuring that initiatives reflect evolving national and regional priorities. These observations suggest that effective monitoring and reporting frameworks, including KPIs, contribute to maintaining alignment between ITU activities and regional development agendas.</w:t>
      </w:r>
      <w:r w:rsidRPr="0046236F">
        <w:rPr>
          <w:rStyle w:val="eop"/>
          <w:rFonts w:asciiTheme="minorHAnsi" w:eastAsiaTheme="majorEastAsia" w:hAnsiTheme="minorHAnsi" w:cstheme="minorHAnsi"/>
          <w:sz w:val="24"/>
          <w:szCs w:val="24"/>
        </w:rPr>
        <w:t xml:space="preserve"> </w:t>
      </w:r>
    </w:p>
    <w:p w14:paraId="3223F57B"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288D2F86" w14:textId="77777777" w:rsidR="00617FC9" w:rsidRPr="0046236F" w:rsidRDefault="00617FC9" w:rsidP="00617FC9">
      <w:pPr>
        <w:pStyle w:val="paragraph"/>
        <w:jc w:val="both"/>
        <w:rPr>
          <w:rStyle w:val="eop"/>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Taken together, survey evidence and interview insights indicate that KPI-based reporting is regarded as an effective mechanism for monitoring implementation and supporting alignment with the Strategic Plan and the Kigali Action Plan. Membership responses demonstrate confidence in the role of structured indicators in tracking progress and identifying challenges, while interviews with regional organizations highlight the importance of transparent monitoring, measurable indicators and sustained coordination to ensure that global strategic priorities translate into meaningful regional and national outcomes.</w:t>
      </w:r>
    </w:p>
    <w:p w14:paraId="4B64F83A" w14:textId="77777777" w:rsidR="00617FC9" w:rsidRPr="0046236F" w:rsidRDefault="00617FC9" w:rsidP="00617FC9">
      <w:pPr>
        <w:pStyle w:val="KPItitle"/>
        <w:jc w:val="both"/>
        <w:rPr>
          <w:rFonts w:asciiTheme="minorHAnsi" w:eastAsia="Avenir Nxt2 W1G" w:hAnsiTheme="minorHAnsi" w:cstheme="minorHAnsi"/>
          <w:sz w:val="24"/>
          <w:szCs w:val="24"/>
        </w:rPr>
      </w:pPr>
      <w:bookmarkStart w:id="118" w:name="_Toc224213053"/>
      <w:bookmarkStart w:id="119" w:name="_Toc224236484"/>
      <w:r w:rsidRPr="0046236F">
        <w:rPr>
          <w:rFonts w:asciiTheme="minorHAnsi" w:hAnsiTheme="minorHAnsi" w:cstheme="minorHAnsi"/>
          <w:sz w:val="24"/>
          <w:szCs w:val="24"/>
        </w:rPr>
        <w:t>KPI</w:t>
      </w:r>
      <w:r w:rsidRPr="0046236F">
        <w:rPr>
          <w:rFonts w:asciiTheme="minorHAnsi" w:eastAsia="Avenir Nxt2 W1G" w:hAnsiTheme="minorHAnsi" w:cstheme="minorHAnsi"/>
          <w:sz w:val="24"/>
          <w:szCs w:val="24"/>
        </w:rPr>
        <w:t xml:space="preserve"> </w:t>
      </w:r>
      <w:r w:rsidRPr="0046236F">
        <w:rPr>
          <w:rFonts w:asciiTheme="minorHAnsi" w:hAnsiTheme="minorHAnsi" w:cstheme="minorHAnsi"/>
          <w:sz w:val="24"/>
          <w:szCs w:val="24"/>
        </w:rPr>
        <w:t>9</w:t>
      </w:r>
      <w:r w:rsidRPr="0046236F">
        <w:rPr>
          <w:rFonts w:asciiTheme="minorHAnsi" w:eastAsia="Avenir Nxt2 W1G" w:hAnsiTheme="minorHAnsi" w:cstheme="minorHAnsi"/>
          <w:sz w:val="24"/>
          <w:szCs w:val="24"/>
        </w:rPr>
        <w:t xml:space="preserve"> — </w:t>
      </w:r>
      <w:r w:rsidRPr="0046236F">
        <w:rPr>
          <w:rFonts w:asciiTheme="minorHAnsi" w:hAnsiTheme="minorHAnsi" w:cstheme="minorHAnsi"/>
          <w:sz w:val="24"/>
          <w:szCs w:val="24"/>
        </w:rPr>
        <w:t>Assess staff engagement and specific steps taken in the development of the Telecommunication Development Advisory Group (TDAG) KPIs</w:t>
      </w:r>
      <w:bookmarkEnd w:id="118"/>
      <w:bookmarkEnd w:id="119"/>
    </w:p>
    <w:p w14:paraId="7B93AD05" w14:textId="77777777" w:rsidR="00617FC9" w:rsidRPr="0046236F" w:rsidRDefault="00617FC9" w:rsidP="00617FC9">
      <w:pPr>
        <w:pStyle w:val="paragraph"/>
        <w:jc w:val="both"/>
        <w:rPr>
          <w:rFonts w:asciiTheme="minorHAnsi" w:hAnsiTheme="minorHAnsi" w:cstheme="minorHAnsi"/>
          <w:sz w:val="24"/>
          <w:szCs w:val="24"/>
        </w:rPr>
      </w:pPr>
      <w:r w:rsidRPr="0046236F">
        <w:rPr>
          <w:rFonts w:asciiTheme="minorHAnsi" w:eastAsiaTheme="majorEastAsia" w:hAnsiTheme="minorHAnsi" w:cstheme="minorHAnsi"/>
          <w:sz w:val="24"/>
          <w:szCs w:val="24"/>
        </w:rPr>
        <w:t>Evidence from the Internal Assessment indicates that staff engagement in the development of TDAG KPIs is generally perceived as contributing positively to coordination and communication across the organization. Sixty-nine per cent</w:t>
      </w:r>
      <w:r w:rsidRPr="0046236F" w:rsidDel="004E14D8">
        <w:rPr>
          <w:rFonts w:asciiTheme="minorHAnsi" w:eastAsiaTheme="majorEastAsia" w:hAnsiTheme="minorHAnsi" w:cstheme="minorHAnsi"/>
          <w:sz w:val="24"/>
          <w:szCs w:val="24"/>
        </w:rPr>
        <w:t xml:space="preserve"> </w:t>
      </w:r>
      <w:r w:rsidRPr="0046236F">
        <w:rPr>
          <w:rFonts w:asciiTheme="minorHAnsi" w:eastAsiaTheme="majorEastAsia" w:hAnsiTheme="minorHAnsi" w:cstheme="minorHAnsi"/>
          <w:sz w:val="24"/>
          <w:szCs w:val="24"/>
        </w:rPr>
        <w:t>of respondents agree that staff engagement in the development of TDAG KPIs enhances synergies in the coordination and communication of activities, projects and initiatives (Q26_a). This level of agreement suggests that the involvement of staff in the formulation of performance indicators is seen as an important mechanism for strengthening alignment between operational activities and institutional priorities.</w:t>
      </w:r>
      <w:r w:rsidRPr="0046236F">
        <w:rPr>
          <w:rStyle w:val="eop"/>
          <w:rFonts w:asciiTheme="minorHAnsi" w:eastAsiaTheme="majorEastAsia" w:hAnsiTheme="minorHAnsi" w:cstheme="minorHAnsi"/>
          <w:sz w:val="24"/>
          <w:szCs w:val="24"/>
        </w:rPr>
        <w:t xml:space="preserve"> </w:t>
      </w:r>
    </w:p>
    <w:p w14:paraId="6B61A4DB" w14:textId="77777777" w:rsidR="00617FC9" w:rsidRPr="0046236F" w:rsidRDefault="00617FC9" w:rsidP="00617FC9">
      <w:pPr>
        <w:pStyle w:val="paragraph"/>
        <w:jc w:val="both"/>
        <w:rPr>
          <w:rStyle w:val="eop"/>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Open-ended responses from the Internal Assessment provide additional insight into how such engagement could be strengthened. Several responses emphasize that staff working in Regional and Area Offices possess detailed knowledge of regional contexts and operational constraints, and therefore their participation in defining KPIs can improve the relevance and feasibility of performance targets. Respondents also highlight that stronger communication between headquarters units and regional offices during KPI development could help ensure that indicators reflect both strategic objectives and operational realities.</w:t>
      </w:r>
      <w:r w:rsidRPr="0046236F">
        <w:rPr>
          <w:rStyle w:val="eop"/>
          <w:rFonts w:asciiTheme="minorHAnsi" w:eastAsiaTheme="majorEastAsia" w:hAnsiTheme="minorHAnsi" w:cstheme="minorHAnsi"/>
          <w:sz w:val="24"/>
          <w:szCs w:val="24"/>
        </w:rPr>
        <w:t xml:space="preserve"> </w:t>
      </w:r>
    </w:p>
    <w:p w14:paraId="1BFE5222" w14:textId="77777777" w:rsidR="00617FC9" w:rsidRPr="0046236F" w:rsidRDefault="00617FC9" w:rsidP="00617FC9">
      <w:pPr>
        <w:pStyle w:val="paragraph"/>
        <w:jc w:val="both"/>
        <w:rPr>
          <w:rStyle w:val="eop"/>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Another recurring theme in these responses concerns the importance of linking KPI development with broader planning and reporting processes. Respondents note that when staff are actively involved in defining indicators, they are more likely to understand how KPIs relate to programme implementation and how progress should be monitored. This engagement can therefore improve not only the relevance of the indicators themselves but also the effectiveness of internal coordination during implementation.</w:t>
      </w:r>
      <w:r w:rsidRPr="0046236F">
        <w:rPr>
          <w:rStyle w:val="eop"/>
          <w:rFonts w:asciiTheme="minorHAnsi" w:eastAsiaTheme="majorEastAsia" w:hAnsiTheme="minorHAnsi" w:cstheme="minorHAnsi"/>
          <w:sz w:val="24"/>
          <w:szCs w:val="24"/>
        </w:rPr>
        <w:t xml:space="preserve"> </w:t>
      </w:r>
    </w:p>
    <w:p w14:paraId="06A19D79" w14:textId="77777777" w:rsidR="00617FC9" w:rsidRPr="0046236F" w:rsidRDefault="00617FC9" w:rsidP="00617FC9">
      <w:pPr>
        <w:pStyle w:val="paragraph"/>
        <w:jc w:val="both"/>
        <w:rPr>
          <w:rStyle w:val="eop"/>
          <w:rFonts w:asciiTheme="minorHAnsi" w:eastAsiaTheme="majorEastAsia" w:hAnsiTheme="minorHAnsi" w:cstheme="minorHAnsi"/>
          <w:color w:val="000000"/>
          <w:sz w:val="24"/>
          <w:szCs w:val="24"/>
        </w:rPr>
      </w:pPr>
      <w:r w:rsidRPr="0046236F">
        <w:rPr>
          <w:rFonts w:asciiTheme="minorHAnsi" w:eastAsiaTheme="majorEastAsia" w:hAnsiTheme="minorHAnsi" w:cstheme="minorHAnsi"/>
          <w:sz w:val="24"/>
          <w:szCs w:val="24"/>
        </w:rPr>
        <w:t xml:space="preserve">Insights from open-ended responses in the Membership Survey highlight expectations for greater transparency and clarity regarding institutional priorities and outcomes. Several respondents indicate that clearer articulation of objectives and measurable indicators could strengthen understanding of regional activities and help demonstrate the impact of ITU initiatives. These </w:t>
      </w:r>
      <w:r w:rsidRPr="0046236F">
        <w:rPr>
          <w:rFonts w:asciiTheme="minorHAnsi" w:eastAsiaTheme="majorEastAsia" w:hAnsiTheme="minorHAnsi" w:cstheme="minorHAnsi"/>
          <w:sz w:val="24"/>
          <w:szCs w:val="24"/>
        </w:rPr>
        <w:lastRenderedPageBreak/>
        <w:t>comments suggest that well-designed KPIs can also contribute to improved communication with external stakeholders</w:t>
      </w:r>
      <w:r w:rsidRPr="0046236F">
        <w:rPr>
          <w:rFonts w:asciiTheme="minorHAnsi" w:eastAsiaTheme="majorEastAsia" w:hAnsiTheme="minorHAnsi" w:cstheme="minorHAnsi"/>
          <w:color w:val="000000"/>
          <w:sz w:val="24"/>
          <w:szCs w:val="24"/>
        </w:rPr>
        <w:t>.</w:t>
      </w:r>
      <w:r w:rsidRPr="0046236F">
        <w:rPr>
          <w:rStyle w:val="eop"/>
          <w:rFonts w:asciiTheme="minorHAnsi" w:eastAsiaTheme="majorEastAsia" w:hAnsiTheme="minorHAnsi" w:cstheme="minorHAnsi"/>
          <w:color w:val="000000"/>
          <w:sz w:val="24"/>
          <w:szCs w:val="24"/>
        </w:rPr>
        <w:t xml:space="preserve"> </w:t>
      </w:r>
    </w:p>
    <w:p w14:paraId="0122EA80" w14:textId="77777777" w:rsidR="00617FC9" w:rsidRPr="0046236F" w:rsidRDefault="00617FC9" w:rsidP="00617FC9">
      <w:pPr>
        <w:pStyle w:val="paragraph"/>
        <w:jc w:val="both"/>
        <w:rPr>
          <w:rFonts w:asciiTheme="minorHAnsi" w:eastAsiaTheme="majorEastAsia" w:hAnsiTheme="minorHAnsi" w:cstheme="minorHAnsi"/>
          <w:color w:val="000000"/>
          <w:sz w:val="24"/>
          <w:szCs w:val="24"/>
        </w:rPr>
      </w:pPr>
      <w:r w:rsidRPr="0046236F">
        <w:rPr>
          <w:rFonts w:asciiTheme="minorHAnsi" w:eastAsiaTheme="majorEastAsia" w:hAnsiTheme="minorHAnsi" w:cstheme="minorHAnsi"/>
          <w:sz w:val="24"/>
          <w:szCs w:val="24"/>
        </w:rPr>
        <w:t>Interviews with Regional Telecommunication Organizations provide additional context regarding the importance of structured planning and performance frameworks. Interviewees emphasize that clear objectives and measurable outcomes are essential for effective collaboration with regional partners. Some also highlight that consultation with regional stakeholders during planning processes can improve alignment between ITU initiatives and regional priorities, thereby strengthening the relevance and impact of regional programmes.</w:t>
      </w:r>
      <w:r w:rsidRPr="0046236F">
        <w:rPr>
          <w:rStyle w:val="eop"/>
          <w:rFonts w:asciiTheme="minorHAnsi" w:eastAsiaTheme="majorEastAsia" w:hAnsiTheme="minorHAnsi" w:cstheme="minorHAnsi"/>
          <w:sz w:val="24"/>
          <w:szCs w:val="24"/>
        </w:rPr>
        <w:t xml:space="preserve"> </w:t>
      </w:r>
    </w:p>
    <w:p w14:paraId="338AE52D"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7286BD6C" w14:textId="77777777" w:rsidR="00617FC9" w:rsidRPr="0046236F" w:rsidRDefault="00617FC9" w:rsidP="00617FC9">
      <w:pPr>
        <w:pStyle w:val="paragraph"/>
        <w:jc w:val="both"/>
        <w:rPr>
          <w:rStyle w:val="eop"/>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Taken together, the evidence indicates that staff engagement in the development of TDAG KPIs plays a constructive role in strengthening coordination and communication across ITU’s regional presence. The Internal Assessment results demonstrate broad recognition of the value of this engagement, while qualitative feedback from surveys and interviews highlights opportunities to further enhance the process through stronger consultation mechanisms and clearer communication of objectives.</w:t>
      </w:r>
      <w:r w:rsidRPr="0046236F">
        <w:rPr>
          <w:rStyle w:val="eop"/>
          <w:rFonts w:asciiTheme="minorHAnsi" w:eastAsiaTheme="majorEastAsia" w:hAnsiTheme="minorHAnsi" w:cstheme="minorHAnsi"/>
          <w:sz w:val="24"/>
          <w:szCs w:val="24"/>
        </w:rPr>
        <w:t xml:space="preserve"> </w:t>
      </w:r>
    </w:p>
    <w:p w14:paraId="361DC7EA" w14:textId="77777777" w:rsidR="00617FC9" w:rsidRPr="0046236F" w:rsidRDefault="00617FC9" w:rsidP="00617FC9">
      <w:pPr>
        <w:pStyle w:val="paragraph"/>
        <w:jc w:val="both"/>
        <w:rPr>
          <w:rStyle w:val="eop"/>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Overall, the findings suggest that involving staff in the development of KPIs contributes to more realistic performance frameworks and improved institutional alignment. At the same time, the findings also indicate that expanding consultation mechanisms — both internally with regional offices and externally with regional stakeholders — could further strengthen the relevance, transparency and effectiveness of KPI-based planning and monitoring.</w:t>
      </w:r>
    </w:p>
    <w:p w14:paraId="2F8B3EFD" w14:textId="77777777" w:rsidR="00617FC9" w:rsidRPr="0046236F" w:rsidRDefault="00617FC9" w:rsidP="00617FC9">
      <w:pPr>
        <w:pStyle w:val="KPItitle"/>
        <w:jc w:val="both"/>
        <w:rPr>
          <w:rFonts w:asciiTheme="minorHAnsi" w:hAnsiTheme="minorHAnsi" w:cstheme="minorHAnsi"/>
          <w:sz w:val="24"/>
          <w:szCs w:val="24"/>
        </w:rPr>
      </w:pPr>
      <w:bookmarkStart w:id="120" w:name="_Toc224213054"/>
      <w:bookmarkStart w:id="121" w:name="_Toc224236485"/>
      <w:r w:rsidRPr="0046236F">
        <w:rPr>
          <w:rFonts w:asciiTheme="minorHAnsi" w:hAnsiTheme="minorHAnsi" w:cstheme="minorHAnsi"/>
          <w:sz w:val="24"/>
          <w:szCs w:val="24"/>
        </w:rPr>
        <w:t>KPI 10 — Document the challenges staff faced to participate at events, such as logistical barriers to engagement or associated costs for Regional and Area Office staff participation</w:t>
      </w:r>
      <w:bookmarkEnd w:id="120"/>
      <w:bookmarkEnd w:id="121"/>
    </w:p>
    <w:p w14:paraId="0BFC47BB"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Evidence from institutional documentation, survey results and qualitative responses indicates that participation of Regional and Area Office staff in regional and global events is recognised as an important mechanism for engagement with stakeholders and coordination of ITU activities. At the same time, several operational and logistical barriers affect the ability of staff to participate effectively in such events.</w:t>
      </w:r>
    </w:p>
    <w:p w14:paraId="68587FE9"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Documented operational evidence identifies a range of logistical and financial constraints affecting participation. Travel-related challenges include limited flight availability, complex travel routes, visa processing delays and situations where United Nations Laissez-Passer documents are not accepted by host countries or airlines. Accommodation costs in certain locations may exceed the applicable Daily Subsistence Allowance, while local transportation options can also be limited. Operational constraints also include short lead times between mission approval and travel and coordination challenges between headquarters and regional offices when planning missions and engagements.</w:t>
      </w:r>
    </w:p>
    <w:p w14:paraId="26300994"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Cost considerations represent an additional operational factor affecting participation. For missions scheduled between January and June 2025, estimated travel costs associated with Regional and Area Office participation amounted to 319 261 CHF. The distribution of these costs varies across regions, as indicated in the table below. These figures illustrate the financial scale of travel required to sustain regional engagement activities and highlight how cost pressures may affect participation in missions and events. </w:t>
      </w:r>
    </w:p>
    <w:p w14:paraId="1BEC36E1" w14:textId="77777777" w:rsidR="00617FC9" w:rsidRPr="0046236F" w:rsidRDefault="00617FC9" w:rsidP="00617FC9">
      <w:pPr>
        <w:pStyle w:val="Subtitle0"/>
        <w:jc w:val="center"/>
        <w:rPr>
          <w:rFonts w:asciiTheme="minorHAnsi" w:hAnsiTheme="minorHAnsi" w:cstheme="minorHAnsi"/>
          <w:color w:val="000000"/>
          <w:sz w:val="24"/>
          <w:szCs w:val="24"/>
        </w:rPr>
      </w:pPr>
      <w:r w:rsidRPr="0046236F">
        <w:rPr>
          <w:rFonts w:asciiTheme="minorHAnsi" w:hAnsiTheme="minorHAnsi" w:cstheme="minorHAnsi"/>
          <w:sz w:val="24"/>
          <w:szCs w:val="24"/>
          <w:lang w:val="en-US"/>
        </w:rPr>
        <w:lastRenderedPageBreak/>
        <w:t>Regional distribution of travel costs for missions scheduled between</w:t>
      </w:r>
      <w:r w:rsidRPr="0046236F">
        <w:rPr>
          <w:rFonts w:asciiTheme="minorHAnsi" w:hAnsiTheme="minorHAnsi" w:cstheme="minorHAnsi"/>
          <w:color w:val="000000"/>
          <w:sz w:val="24"/>
          <w:szCs w:val="24"/>
        </w:rPr>
        <w:br/>
      </w:r>
      <w:r w:rsidRPr="0046236F">
        <w:rPr>
          <w:rFonts w:asciiTheme="minorHAnsi" w:hAnsiTheme="minorHAnsi" w:cstheme="minorHAnsi"/>
          <w:color w:val="000000"/>
          <w:sz w:val="24"/>
          <w:szCs w:val="24"/>
          <w:lang w:val="en-US"/>
        </w:rPr>
        <w:t>January and June 2025</w:t>
      </w:r>
    </w:p>
    <w:tbl>
      <w:tblPr>
        <w:tblW w:w="5804" w:type="dxa"/>
        <w:jc w:val="center"/>
        <w:tblBorders>
          <w:top w:val="single" w:sz="6" w:space="0" w:color="CCC0D9" w:themeColor="accent4" w:themeTint="66"/>
          <w:left w:val="single" w:sz="6" w:space="0" w:color="CCC0D9" w:themeColor="accent4" w:themeTint="66"/>
          <w:bottom w:val="single" w:sz="6" w:space="0" w:color="CCC0D9" w:themeColor="accent4" w:themeTint="66"/>
          <w:right w:val="single" w:sz="6" w:space="0" w:color="CCC0D9" w:themeColor="accent4" w:themeTint="66"/>
          <w:insideH w:val="single" w:sz="6" w:space="0" w:color="CCC0D9" w:themeColor="accent4" w:themeTint="66"/>
          <w:insideV w:val="single" w:sz="6" w:space="0" w:color="CCC0D9" w:themeColor="accent4" w:themeTint="66"/>
        </w:tblBorders>
        <w:tblCellMar>
          <w:left w:w="0" w:type="dxa"/>
          <w:right w:w="0" w:type="dxa"/>
        </w:tblCellMar>
        <w:tblLook w:val="04A0" w:firstRow="1" w:lastRow="0" w:firstColumn="1" w:lastColumn="0" w:noHBand="0" w:noVBand="1"/>
      </w:tblPr>
      <w:tblGrid>
        <w:gridCol w:w="4670"/>
        <w:gridCol w:w="1134"/>
      </w:tblGrid>
      <w:tr w:rsidR="00617FC9" w:rsidRPr="00986D12" w14:paraId="28F1F7D4" w14:textId="77777777" w:rsidTr="00696175">
        <w:trPr>
          <w:trHeight w:val="300"/>
          <w:jc w:val="center"/>
        </w:trPr>
        <w:tc>
          <w:tcPr>
            <w:tcW w:w="4670" w:type="dxa"/>
            <w:shd w:val="clear" w:color="auto" w:fill="C1E4F5"/>
            <w:tcMar>
              <w:left w:w="108" w:type="dxa"/>
              <w:right w:w="108" w:type="dxa"/>
            </w:tcMar>
            <w:hideMark/>
          </w:tcPr>
          <w:p w14:paraId="50020D7C" w14:textId="77777777" w:rsidR="00617FC9" w:rsidRPr="00986D12" w:rsidRDefault="00617FC9" w:rsidP="00696175">
            <w:pPr>
              <w:pStyle w:val="Texttable"/>
              <w:keepNext/>
              <w:rPr>
                <w:rFonts w:asciiTheme="minorHAnsi" w:hAnsiTheme="minorHAnsi" w:cstheme="minorHAnsi"/>
                <w:b/>
                <w:color w:val="FFFFFF"/>
                <w:lang w:eastAsia="en-GB"/>
              </w:rPr>
            </w:pPr>
            <w:r w:rsidRPr="00986D12">
              <w:rPr>
                <w:rFonts w:asciiTheme="minorHAnsi" w:hAnsiTheme="minorHAnsi" w:cstheme="minorHAnsi"/>
                <w:lang w:val="en-US" w:eastAsia="en-GB"/>
              </w:rPr>
              <w:t>ARB (Arab States)</w:t>
            </w:r>
            <w:r w:rsidRPr="00986D12">
              <w:rPr>
                <w:rFonts w:asciiTheme="minorHAnsi" w:hAnsiTheme="minorHAnsi" w:cstheme="minorHAnsi"/>
                <w:b/>
                <w:lang w:eastAsia="en-GB"/>
              </w:rPr>
              <w:t> </w:t>
            </w:r>
          </w:p>
        </w:tc>
        <w:tc>
          <w:tcPr>
            <w:tcW w:w="1134" w:type="dxa"/>
            <w:shd w:val="clear" w:color="auto" w:fill="C1E4F5"/>
            <w:tcMar>
              <w:left w:w="108" w:type="dxa"/>
              <w:right w:w="108" w:type="dxa"/>
            </w:tcMar>
            <w:hideMark/>
          </w:tcPr>
          <w:p w14:paraId="79CC2D47" w14:textId="77777777" w:rsidR="00617FC9" w:rsidRPr="00986D12" w:rsidRDefault="00617FC9" w:rsidP="00696175">
            <w:pPr>
              <w:pStyle w:val="Texttable"/>
              <w:keepNext/>
              <w:jc w:val="center"/>
              <w:rPr>
                <w:rFonts w:asciiTheme="minorHAnsi" w:hAnsiTheme="minorHAnsi" w:cstheme="minorHAnsi"/>
                <w:b/>
                <w:color w:val="FFFFFF"/>
                <w:lang w:eastAsia="en-GB"/>
              </w:rPr>
            </w:pPr>
            <w:r w:rsidRPr="00986D12">
              <w:rPr>
                <w:rFonts w:asciiTheme="minorHAnsi" w:hAnsiTheme="minorHAnsi" w:cstheme="minorHAnsi"/>
                <w:lang w:eastAsia="en-GB"/>
              </w:rPr>
              <w:t>31.3%</w:t>
            </w:r>
          </w:p>
        </w:tc>
      </w:tr>
      <w:tr w:rsidR="00617FC9" w:rsidRPr="00986D12" w14:paraId="23B69A60" w14:textId="77777777" w:rsidTr="00696175">
        <w:trPr>
          <w:trHeight w:val="300"/>
          <w:jc w:val="center"/>
        </w:trPr>
        <w:tc>
          <w:tcPr>
            <w:tcW w:w="4670" w:type="dxa"/>
            <w:shd w:val="clear" w:color="auto" w:fill="FFFFFF"/>
            <w:tcMar>
              <w:left w:w="108" w:type="dxa"/>
              <w:right w:w="108" w:type="dxa"/>
            </w:tcMar>
            <w:hideMark/>
          </w:tcPr>
          <w:p w14:paraId="65BD3D61" w14:textId="77777777" w:rsidR="00617FC9" w:rsidRPr="00986D12" w:rsidRDefault="00617FC9" w:rsidP="00696175">
            <w:pPr>
              <w:pStyle w:val="Texttable"/>
              <w:keepNext/>
              <w:rPr>
                <w:rFonts w:asciiTheme="minorHAnsi" w:hAnsiTheme="minorHAnsi" w:cstheme="minorHAnsi"/>
                <w:b/>
                <w:color w:val="FFFFFF"/>
                <w:lang w:eastAsia="en-GB"/>
              </w:rPr>
            </w:pPr>
            <w:r w:rsidRPr="00986D12">
              <w:rPr>
                <w:rFonts w:asciiTheme="minorHAnsi" w:hAnsiTheme="minorHAnsi" w:cstheme="minorHAnsi"/>
                <w:lang w:val="en-US" w:eastAsia="en-GB"/>
              </w:rPr>
              <w:t>AMS (Americas)</w:t>
            </w:r>
            <w:r w:rsidRPr="00986D12">
              <w:rPr>
                <w:rFonts w:asciiTheme="minorHAnsi" w:hAnsiTheme="minorHAnsi" w:cstheme="minorHAnsi"/>
                <w:b/>
                <w:lang w:eastAsia="en-GB"/>
              </w:rPr>
              <w:t> </w:t>
            </w:r>
          </w:p>
        </w:tc>
        <w:tc>
          <w:tcPr>
            <w:tcW w:w="1134" w:type="dxa"/>
            <w:shd w:val="clear" w:color="auto" w:fill="FFFFFF"/>
            <w:tcMar>
              <w:left w:w="108" w:type="dxa"/>
              <w:right w:w="108" w:type="dxa"/>
            </w:tcMar>
            <w:hideMark/>
          </w:tcPr>
          <w:p w14:paraId="27E8A960" w14:textId="77777777" w:rsidR="00617FC9" w:rsidRPr="00986D12" w:rsidRDefault="00617FC9" w:rsidP="00696175">
            <w:pPr>
              <w:pStyle w:val="Texttable"/>
              <w:keepNext/>
              <w:jc w:val="center"/>
              <w:rPr>
                <w:rFonts w:asciiTheme="minorHAnsi" w:hAnsiTheme="minorHAnsi" w:cstheme="minorHAnsi"/>
                <w:lang w:eastAsia="en-GB"/>
              </w:rPr>
            </w:pPr>
            <w:r w:rsidRPr="00986D12">
              <w:rPr>
                <w:rFonts w:asciiTheme="minorHAnsi" w:hAnsiTheme="minorHAnsi" w:cstheme="minorHAnsi"/>
                <w:lang w:val="en-US" w:eastAsia="en-GB"/>
              </w:rPr>
              <w:t>23.3%</w:t>
            </w:r>
          </w:p>
        </w:tc>
      </w:tr>
      <w:tr w:rsidR="00617FC9" w:rsidRPr="00986D12" w14:paraId="51B3A84D" w14:textId="77777777" w:rsidTr="00696175">
        <w:trPr>
          <w:trHeight w:val="300"/>
          <w:jc w:val="center"/>
        </w:trPr>
        <w:tc>
          <w:tcPr>
            <w:tcW w:w="4670" w:type="dxa"/>
            <w:shd w:val="clear" w:color="auto" w:fill="C1E4F5"/>
            <w:tcMar>
              <w:left w:w="108" w:type="dxa"/>
              <w:right w:w="108" w:type="dxa"/>
            </w:tcMar>
            <w:hideMark/>
          </w:tcPr>
          <w:p w14:paraId="2F4D07D4" w14:textId="77777777" w:rsidR="00617FC9" w:rsidRPr="00986D12" w:rsidRDefault="00617FC9" w:rsidP="00696175">
            <w:pPr>
              <w:pStyle w:val="Texttable"/>
              <w:rPr>
                <w:rFonts w:asciiTheme="minorHAnsi" w:hAnsiTheme="minorHAnsi" w:cstheme="minorHAnsi"/>
                <w:b/>
                <w:color w:val="FFFFFF"/>
                <w:lang w:eastAsia="en-GB"/>
              </w:rPr>
            </w:pPr>
            <w:r w:rsidRPr="00986D12">
              <w:rPr>
                <w:rFonts w:asciiTheme="minorHAnsi" w:hAnsiTheme="minorHAnsi" w:cstheme="minorHAnsi"/>
                <w:lang w:val="en-US" w:eastAsia="en-GB"/>
              </w:rPr>
              <w:t>ASP (Asia-Pacific)</w:t>
            </w:r>
            <w:r w:rsidRPr="00986D12">
              <w:rPr>
                <w:rFonts w:asciiTheme="minorHAnsi" w:hAnsiTheme="minorHAnsi" w:cstheme="minorHAnsi"/>
                <w:b/>
                <w:lang w:eastAsia="en-GB"/>
              </w:rPr>
              <w:t> </w:t>
            </w:r>
          </w:p>
        </w:tc>
        <w:tc>
          <w:tcPr>
            <w:tcW w:w="1134" w:type="dxa"/>
            <w:shd w:val="clear" w:color="auto" w:fill="C1E4F5"/>
            <w:tcMar>
              <w:left w:w="108" w:type="dxa"/>
              <w:right w:w="108" w:type="dxa"/>
            </w:tcMar>
            <w:hideMark/>
          </w:tcPr>
          <w:p w14:paraId="39321746"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val="en-US" w:eastAsia="en-GB"/>
              </w:rPr>
              <w:t>15.8%</w:t>
            </w:r>
          </w:p>
        </w:tc>
      </w:tr>
      <w:tr w:rsidR="00617FC9" w:rsidRPr="00986D12" w14:paraId="462EF3FB" w14:textId="77777777" w:rsidTr="00696175">
        <w:trPr>
          <w:trHeight w:val="300"/>
          <w:jc w:val="center"/>
        </w:trPr>
        <w:tc>
          <w:tcPr>
            <w:tcW w:w="4670" w:type="dxa"/>
            <w:shd w:val="clear" w:color="auto" w:fill="FFFFFF"/>
            <w:tcMar>
              <w:left w:w="108" w:type="dxa"/>
              <w:right w:w="108" w:type="dxa"/>
            </w:tcMar>
            <w:hideMark/>
          </w:tcPr>
          <w:p w14:paraId="744C83F0" w14:textId="77777777" w:rsidR="00617FC9" w:rsidRPr="00986D12" w:rsidRDefault="00617FC9" w:rsidP="00696175">
            <w:pPr>
              <w:pStyle w:val="Texttable"/>
              <w:rPr>
                <w:rFonts w:asciiTheme="minorHAnsi" w:hAnsiTheme="minorHAnsi" w:cstheme="minorHAnsi"/>
                <w:b/>
                <w:color w:val="FFFFFF"/>
                <w:lang w:eastAsia="en-GB"/>
              </w:rPr>
            </w:pPr>
            <w:r w:rsidRPr="00986D12">
              <w:rPr>
                <w:rFonts w:asciiTheme="minorHAnsi" w:hAnsiTheme="minorHAnsi" w:cstheme="minorHAnsi"/>
                <w:lang w:val="en-US" w:eastAsia="en-GB"/>
              </w:rPr>
              <w:t>AFR (Africa)</w:t>
            </w:r>
            <w:r w:rsidRPr="00986D12">
              <w:rPr>
                <w:rFonts w:asciiTheme="minorHAnsi" w:hAnsiTheme="minorHAnsi" w:cstheme="minorHAnsi"/>
                <w:b/>
                <w:lang w:eastAsia="en-GB"/>
              </w:rPr>
              <w:t> </w:t>
            </w:r>
          </w:p>
        </w:tc>
        <w:tc>
          <w:tcPr>
            <w:tcW w:w="1134" w:type="dxa"/>
            <w:shd w:val="clear" w:color="auto" w:fill="FFFFFF"/>
            <w:tcMar>
              <w:left w:w="108" w:type="dxa"/>
              <w:right w:w="108" w:type="dxa"/>
            </w:tcMar>
            <w:hideMark/>
          </w:tcPr>
          <w:p w14:paraId="366E7298"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12.1%</w:t>
            </w:r>
          </w:p>
        </w:tc>
      </w:tr>
      <w:tr w:rsidR="00617FC9" w:rsidRPr="00986D12" w14:paraId="4F48AC71" w14:textId="77777777" w:rsidTr="00696175">
        <w:trPr>
          <w:trHeight w:val="300"/>
          <w:jc w:val="center"/>
        </w:trPr>
        <w:tc>
          <w:tcPr>
            <w:tcW w:w="4670" w:type="dxa"/>
            <w:shd w:val="clear" w:color="auto" w:fill="C1E4F5"/>
            <w:tcMar>
              <w:left w:w="108" w:type="dxa"/>
              <w:right w:w="108" w:type="dxa"/>
            </w:tcMar>
            <w:hideMark/>
          </w:tcPr>
          <w:p w14:paraId="1252B7F5" w14:textId="77777777" w:rsidR="00617FC9" w:rsidRPr="00986D12" w:rsidRDefault="00617FC9" w:rsidP="00696175">
            <w:pPr>
              <w:pStyle w:val="Texttable"/>
              <w:rPr>
                <w:rFonts w:asciiTheme="minorHAnsi" w:hAnsiTheme="minorHAnsi" w:cstheme="minorHAnsi"/>
                <w:b/>
                <w:color w:val="FFFFFF"/>
                <w:lang w:eastAsia="en-GB"/>
              </w:rPr>
            </w:pPr>
            <w:r w:rsidRPr="00986D12">
              <w:rPr>
                <w:rFonts w:asciiTheme="minorHAnsi" w:hAnsiTheme="minorHAnsi" w:cstheme="minorHAnsi"/>
                <w:lang w:val="en-US" w:eastAsia="en-GB"/>
              </w:rPr>
              <w:t>EUR (Europe)</w:t>
            </w:r>
            <w:r w:rsidRPr="00986D12">
              <w:rPr>
                <w:rFonts w:asciiTheme="minorHAnsi" w:hAnsiTheme="minorHAnsi" w:cstheme="minorHAnsi"/>
                <w:b/>
                <w:lang w:eastAsia="en-GB"/>
              </w:rPr>
              <w:t> </w:t>
            </w:r>
          </w:p>
        </w:tc>
        <w:tc>
          <w:tcPr>
            <w:tcW w:w="1134" w:type="dxa"/>
            <w:shd w:val="clear" w:color="auto" w:fill="C1E4F5"/>
            <w:tcMar>
              <w:left w:w="108" w:type="dxa"/>
              <w:right w:w="108" w:type="dxa"/>
            </w:tcMar>
            <w:hideMark/>
          </w:tcPr>
          <w:p w14:paraId="0A67E855"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10.7%</w:t>
            </w:r>
          </w:p>
        </w:tc>
      </w:tr>
      <w:tr w:rsidR="00617FC9" w:rsidRPr="00986D12" w14:paraId="5D3B1D23" w14:textId="77777777" w:rsidTr="00696175">
        <w:trPr>
          <w:trHeight w:val="195"/>
          <w:jc w:val="center"/>
        </w:trPr>
        <w:tc>
          <w:tcPr>
            <w:tcW w:w="4670" w:type="dxa"/>
            <w:tcMar>
              <w:left w:w="108" w:type="dxa"/>
              <w:right w:w="108" w:type="dxa"/>
            </w:tcMar>
            <w:hideMark/>
          </w:tcPr>
          <w:p w14:paraId="320C414B" w14:textId="77777777" w:rsidR="00617FC9" w:rsidRPr="00986D12" w:rsidRDefault="00617FC9" w:rsidP="00696175">
            <w:pPr>
              <w:pStyle w:val="Texttable"/>
              <w:rPr>
                <w:rFonts w:asciiTheme="minorHAnsi" w:hAnsiTheme="minorHAnsi" w:cstheme="minorHAnsi"/>
                <w:b/>
                <w:lang w:eastAsia="en-GB"/>
              </w:rPr>
            </w:pPr>
            <w:r w:rsidRPr="00986D12">
              <w:rPr>
                <w:rFonts w:asciiTheme="minorHAnsi" w:hAnsiTheme="minorHAnsi" w:cstheme="minorHAnsi"/>
                <w:lang w:val="en-US" w:eastAsia="en-GB"/>
              </w:rPr>
              <w:t>CIS (Commonwealth of Independent States)</w:t>
            </w:r>
            <w:r w:rsidRPr="00986D12">
              <w:rPr>
                <w:rFonts w:asciiTheme="minorHAnsi" w:hAnsiTheme="minorHAnsi" w:cstheme="minorHAnsi"/>
                <w:b/>
                <w:lang w:eastAsia="en-GB"/>
              </w:rPr>
              <w:t> </w:t>
            </w:r>
          </w:p>
        </w:tc>
        <w:tc>
          <w:tcPr>
            <w:tcW w:w="1134" w:type="dxa"/>
            <w:tcMar>
              <w:left w:w="108" w:type="dxa"/>
              <w:right w:w="108" w:type="dxa"/>
            </w:tcMar>
            <w:hideMark/>
          </w:tcPr>
          <w:p w14:paraId="1B31B6B6"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6.8%</w:t>
            </w:r>
          </w:p>
        </w:tc>
      </w:tr>
    </w:tbl>
    <w:p w14:paraId="3FD9AA52" w14:textId="77777777" w:rsidR="00617FC9" w:rsidRPr="00986D12" w:rsidRDefault="00617FC9" w:rsidP="00617FC9">
      <w:pPr>
        <w:pStyle w:val="Notes"/>
        <w:rPr>
          <w:rFonts w:asciiTheme="minorHAnsi" w:hAnsiTheme="minorHAnsi" w:cstheme="minorHAnsi"/>
          <w:sz w:val="18"/>
          <w:szCs w:val="18"/>
        </w:rPr>
      </w:pPr>
      <w:r w:rsidRPr="00986D12">
        <w:rPr>
          <w:rFonts w:asciiTheme="minorHAnsi" w:hAnsiTheme="minorHAnsi" w:cstheme="minorHAnsi"/>
          <w:lang w:val="en-US"/>
        </w:rPr>
        <w:t>Source:</w:t>
      </w:r>
      <w:r w:rsidRPr="00986D12">
        <w:rPr>
          <w:rFonts w:asciiTheme="minorHAnsi" w:hAnsiTheme="minorHAnsi" w:cstheme="minorHAnsi"/>
        </w:rPr>
        <w:t xml:space="preserve"> </w:t>
      </w:r>
      <w:r w:rsidRPr="00986D12">
        <w:rPr>
          <w:rFonts w:asciiTheme="minorHAnsi" w:hAnsiTheme="minorHAnsi" w:cstheme="minorHAnsi"/>
          <w:lang w:val="en-US"/>
        </w:rPr>
        <w:t>Internal data collected from relevant staff.</w:t>
      </w:r>
    </w:p>
    <w:p w14:paraId="1C67E721"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Open-ended responses from the Internal Assessment provide additional qualitative evidence on operational constraints affecting participation. Across multiple responses, recurring themes point to limited staffing capacity and resource constraints affecting the ability of Regional and Area Offices to participate consistently in regional and national engagements. Responses also highlight coordination challenges between headquarters and regional offices when organising regional events, suggesting that regional offices are sometimes involved only at later stages of planning. These recurring observations indicate that operational capacity and coordination arrangements influence the ability of regional offices to engage fully in events and activities.</w:t>
      </w:r>
    </w:p>
    <w:p w14:paraId="591AA093"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Survey responses provide complementary perception-based evidence on the role of participation in events. Eighty-two per cent</w:t>
      </w:r>
      <w:r w:rsidRPr="0046236F" w:rsidDel="006B3589">
        <w:rPr>
          <w:rFonts w:asciiTheme="minorHAnsi" w:hAnsiTheme="minorHAnsi" w:cstheme="minorHAnsi"/>
          <w:szCs w:val="24"/>
          <w:lang w:eastAsia="en-GB"/>
        </w:rPr>
        <w:t xml:space="preserve"> </w:t>
      </w:r>
      <w:r w:rsidRPr="0046236F">
        <w:rPr>
          <w:rFonts w:asciiTheme="minorHAnsi" w:hAnsiTheme="minorHAnsi" w:cstheme="minorHAnsi"/>
          <w:szCs w:val="24"/>
          <w:lang w:eastAsia="en-GB"/>
        </w:rPr>
        <w:t>of Internal Assessment respondents agree or strongly agree that engagement of Regional and Area Office staff with regional stakeholders during global and regional events enhances synergies in coordination and communication of activities and initiatives (Q26_b). Sixty-nine per cent</w:t>
      </w:r>
      <w:r w:rsidRPr="0046236F" w:rsidDel="006B3589">
        <w:rPr>
          <w:rFonts w:asciiTheme="minorHAnsi" w:hAnsiTheme="minorHAnsi" w:cstheme="minorHAnsi"/>
          <w:szCs w:val="24"/>
          <w:lang w:eastAsia="en-GB"/>
        </w:rPr>
        <w:t xml:space="preserve"> </w:t>
      </w:r>
      <w:r w:rsidRPr="0046236F">
        <w:rPr>
          <w:rFonts w:asciiTheme="minorHAnsi" w:hAnsiTheme="minorHAnsi" w:cstheme="minorHAnsi"/>
          <w:szCs w:val="24"/>
          <w:lang w:eastAsia="en-GB"/>
        </w:rPr>
        <w:t xml:space="preserve">agree or strongly agree that participation in regional activities and global ITU-D, ITU-T and ITU-R events strengthens coordination mechanisms (Q26_f). At the same time, perceptions regarding the breadth of participation across the three Sectors are more mixed: 53% agree that Regional and Area Offices participate actively in the activities of all three Sectors, while 28% disagree (Q4). </w:t>
      </w:r>
    </w:p>
    <w:p w14:paraId="6D8EFB18"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Membership Survey responses point to expectations for measures to support participation. Seventy per cent</w:t>
      </w:r>
      <w:r w:rsidRPr="0046236F" w:rsidDel="006B3589">
        <w:rPr>
          <w:rFonts w:asciiTheme="minorHAnsi" w:hAnsiTheme="minorHAnsi" w:cstheme="minorHAnsi"/>
          <w:szCs w:val="24"/>
          <w:lang w:eastAsia="en-GB"/>
        </w:rPr>
        <w:t xml:space="preserve"> </w:t>
      </w:r>
      <w:r w:rsidRPr="0046236F">
        <w:rPr>
          <w:rFonts w:asciiTheme="minorHAnsi" w:hAnsiTheme="minorHAnsi" w:cstheme="minorHAnsi"/>
          <w:szCs w:val="24"/>
          <w:lang w:eastAsia="en-GB"/>
        </w:rPr>
        <w:t>of respondents agree or strongly agree that an action plan to enhance Regional and Area Office staff participation in events would strengthen the regional presence (Q5_l), while 71% agree that engagement with regional stakeholders at global events enhances coordination and communication of activities, projects and initiatives (Q7_a).</w:t>
      </w:r>
    </w:p>
    <w:p w14:paraId="2143C3CD"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3FBB6185"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Taken together, the evidence indicates that participation of Regional and Area Office staff in regional and global events is widely perceived as beneficial for coordination and stakeholder engagement. At the same time, operational documentation and qualitative feedback show that logistical barriers, financial constraints, staffing capacity and coordination arrangements continue to affect the ability of staff to participate consistently and effectively in regional and global engagements. Given the strong value placed on Regional and Area Office participation in regional and global events, and the operational and logistical barriers identified across documentation, surveys and interviews, it may be useful to explore ways to strengthen planning, coordination and practical support arrangements so that participation can be facilitated more consistently where needed.</w:t>
      </w:r>
    </w:p>
    <w:p w14:paraId="12990130"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lastRenderedPageBreak/>
        <w:t>Data Sources</w:t>
      </w:r>
    </w:p>
    <w:p w14:paraId="12CF480F" w14:textId="77777777" w:rsidR="00617FC9" w:rsidRPr="0046236F" w:rsidRDefault="00617FC9" w:rsidP="00BC7ABA">
      <w:pPr>
        <w:pStyle w:val="ListParagraph"/>
        <w:numPr>
          <w:ilvl w:val="0"/>
          <w:numId w:val="22"/>
        </w:numPr>
        <w:spacing w:before="60" w:after="60"/>
        <w:contextualSpacing w:val="0"/>
        <w:jc w:val="both"/>
        <w:rPr>
          <w:rFonts w:asciiTheme="minorHAnsi" w:hAnsiTheme="minorHAnsi" w:cstheme="minorHAnsi"/>
          <w:sz w:val="24"/>
          <w:szCs w:val="24"/>
          <w:lang w:val="en-US"/>
        </w:rPr>
      </w:pPr>
      <w:r w:rsidRPr="0046236F">
        <w:rPr>
          <w:rFonts w:asciiTheme="minorHAnsi" w:hAnsiTheme="minorHAnsi" w:cstheme="minorHAnsi"/>
          <w:sz w:val="24"/>
          <w:szCs w:val="24"/>
          <w:lang w:val="en-US"/>
        </w:rPr>
        <w:t>Internal data collected from relevant staff.</w:t>
      </w:r>
    </w:p>
    <w:p w14:paraId="350C3513" w14:textId="77777777" w:rsidR="00617FC9" w:rsidRPr="0046236F" w:rsidRDefault="00617FC9" w:rsidP="00617FC9">
      <w:pPr>
        <w:pStyle w:val="KPItitle"/>
        <w:jc w:val="both"/>
        <w:rPr>
          <w:rFonts w:asciiTheme="minorHAnsi" w:eastAsia="Avenir Nxt2 W1G" w:hAnsiTheme="minorHAnsi" w:cstheme="minorHAnsi"/>
          <w:sz w:val="24"/>
          <w:szCs w:val="24"/>
        </w:rPr>
      </w:pPr>
      <w:bookmarkStart w:id="122" w:name="_Toc224213055"/>
      <w:bookmarkStart w:id="123" w:name="_Toc224236486"/>
      <w:r w:rsidRPr="0046236F">
        <w:rPr>
          <w:rFonts w:asciiTheme="minorHAnsi" w:hAnsiTheme="minorHAnsi" w:cstheme="minorHAnsi"/>
          <w:sz w:val="24"/>
          <w:szCs w:val="24"/>
        </w:rPr>
        <w:t>KPI</w:t>
      </w:r>
      <w:r w:rsidRPr="0046236F">
        <w:rPr>
          <w:rFonts w:asciiTheme="minorHAnsi" w:eastAsia="Avenir Nxt2 W1G" w:hAnsiTheme="minorHAnsi" w:cstheme="minorHAnsi"/>
          <w:sz w:val="24"/>
          <w:szCs w:val="24"/>
        </w:rPr>
        <w:t xml:space="preserve"> </w:t>
      </w:r>
      <w:r w:rsidRPr="0046236F">
        <w:rPr>
          <w:rFonts w:asciiTheme="minorHAnsi" w:hAnsiTheme="minorHAnsi" w:cstheme="minorHAnsi"/>
          <w:sz w:val="24"/>
          <w:szCs w:val="24"/>
        </w:rPr>
        <w:t>11</w:t>
      </w:r>
      <w:r w:rsidRPr="0046236F">
        <w:rPr>
          <w:rFonts w:asciiTheme="minorHAnsi" w:eastAsia="Avenir Nxt2 W1G" w:hAnsiTheme="minorHAnsi" w:cstheme="minorHAnsi"/>
          <w:sz w:val="24"/>
          <w:szCs w:val="24"/>
        </w:rPr>
        <w:t xml:space="preserve"> — </w:t>
      </w:r>
      <w:r w:rsidRPr="0046236F">
        <w:rPr>
          <w:rFonts w:asciiTheme="minorHAnsi" w:hAnsiTheme="minorHAnsi" w:cstheme="minorHAnsi"/>
          <w:sz w:val="24"/>
          <w:szCs w:val="24"/>
        </w:rPr>
        <w:t xml:space="preserve">Provide </w:t>
      </w:r>
      <w:r w:rsidRPr="0046236F" w:rsidDel="001F2A97">
        <w:rPr>
          <w:rFonts w:asciiTheme="minorHAnsi" w:hAnsiTheme="minorHAnsi" w:cstheme="minorHAnsi"/>
          <w:sz w:val="24"/>
          <w:szCs w:val="24"/>
        </w:rPr>
        <w:t>recommendations</w:t>
      </w:r>
      <w:r w:rsidRPr="0046236F">
        <w:rPr>
          <w:rFonts w:asciiTheme="minorHAnsi" w:hAnsiTheme="minorHAnsi" w:cstheme="minorHAnsi"/>
          <w:sz w:val="24"/>
          <w:szCs w:val="24"/>
        </w:rPr>
        <w:t xml:space="preserve"> from Regional and Area Office staff on how to best maximise engagements with regional stakeholders during global events</w:t>
      </w:r>
      <w:bookmarkEnd w:id="122"/>
      <w:bookmarkEnd w:id="123"/>
    </w:p>
    <w:p w14:paraId="305CFAA3" w14:textId="77777777" w:rsidR="00617FC9" w:rsidRPr="0046236F" w:rsidRDefault="00617FC9" w:rsidP="00617FC9">
      <w:pPr>
        <w:pStyle w:val="paragraph"/>
        <w:jc w:val="both"/>
        <w:rPr>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Evidence from surveys, open-ended responses and interviews indicates that engagement with regional stakeholders during global events is widely regarded as an important mechanism for strengthening coordination and visibility of regional activities, while also revealing operational areas where engagement could be improved.</w:t>
      </w:r>
    </w:p>
    <w:p w14:paraId="7A0805CB" w14:textId="77777777" w:rsidR="00617FC9" w:rsidRPr="0046236F" w:rsidRDefault="00617FC9" w:rsidP="00617FC9">
      <w:pPr>
        <w:pStyle w:val="paragraph"/>
        <w:jc w:val="both"/>
        <w:rPr>
          <w:rFonts w:asciiTheme="minorHAnsi" w:hAnsiTheme="minorHAnsi" w:cstheme="minorHAnsi"/>
          <w:sz w:val="24"/>
          <w:szCs w:val="24"/>
        </w:rPr>
      </w:pPr>
      <w:r w:rsidRPr="0046236F">
        <w:rPr>
          <w:rFonts w:asciiTheme="minorHAnsi" w:eastAsiaTheme="majorEastAsia" w:hAnsiTheme="minorHAnsi" w:cstheme="minorHAnsi"/>
          <w:sz w:val="24"/>
          <w:szCs w:val="24"/>
        </w:rPr>
        <w:t>Survey results show strong support among Membership for participation mechanisms linked to global events. Seventy-one per cent</w:t>
      </w:r>
      <w:r w:rsidRPr="0046236F" w:rsidDel="006B3589">
        <w:rPr>
          <w:rFonts w:asciiTheme="minorHAnsi" w:eastAsiaTheme="majorEastAsia" w:hAnsiTheme="minorHAnsi" w:cstheme="minorHAnsi"/>
          <w:sz w:val="24"/>
          <w:szCs w:val="24"/>
        </w:rPr>
        <w:t xml:space="preserve"> </w:t>
      </w:r>
      <w:r w:rsidRPr="0046236F">
        <w:rPr>
          <w:rFonts w:asciiTheme="minorHAnsi" w:eastAsiaTheme="majorEastAsia" w:hAnsiTheme="minorHAnsi" w:cstheme="minorHAnsi"/>
          <w:sz w:val="24"/>
          <w:szCs w:val="24"/>
        </w:rPr>
        <w:t>of Membership Survey respondents agree that participation of members in regional activities and global ITU-D, ITU-T and ITU-R events enhances synergies in coordination and communication of activities, projects and initiatives (Q7_b). This indicates that global events are widely perceived as valuable platforms for engagement between ITU and regional stakeholders.</w:t>
      </w:r>
    </w:p>
    <w:p w14:paraId="20D340FF" w14:textId="77777777" w:rsidR="00617FC9" w:rsidRPr="0046236F" w:rsidRDefault="00617FC9" w:rsidP="00617FC9">
      <w:pPr>
        <w:pStyle w:val="paragraph"/>
        <w:jc w:val="both"/>
        <w:rPr>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At the same time, staff perceptions regarding the current level of participation across Sectors are more mixed. Fifty-three per cent of Internal Assessment respondents agree that Regional and Area Offices participate actively in the activities of all three Sectors, while 28% disagree (Q4). These results suggest that, although events provide important engagement opportunities, the extent to which Regional and Area Offices are fully integrated across sectoral activities during such events is not uniformly perceived.</w:t>
      </w:r>
    </w:p>
    <w:p w14:paraId="6371410A" w14:textId="77777777" w:rsidR="00617FC9" w:rsidRPr="0046236F" w:rsidRDefault="00617FC9" w:rsidP="00617FC9">
      <w:pPr>
        <w:pStyle w:val="paragraph"/>
        <w:jc w:val="both"/>
        <w:rPr>
          <w:rStyle w:val="eop"/>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 xml:space="preserve">Open-ended responses (Q27) from the Internal Assessment provide more specific </w:t>
      </w:r>
      <w:r w:rsidRPr="0046236F" w:rsidDel="001F2A97">
        <w:rPr>
          <w:rFonts w:asciiTheme="minorHAnsi" w:eastAsiaTheme="majorEastAsia" w:hAnsiTheme="minorHAnsi" w:cstheme="minorHAnsi"/>
          <w:sz w:val="24"/>
          <w:szCs w:val="24"/>
        </w:rPr>
        <w:t>recommendations</w:t>
      </w:r>
      <w:r w:rsidRPr="0046236F">
        <w:rPr>
          <w:rFonts w:asciiTheme="minorHAnsi" w:eastAsiaTheme="majorEastAsia" w:hAnsiTheme="minorHAnsi" w:cstheme="minorHAnsi"/>
          <w:sz w:val="24"/>
          <w:szCs w:val="24"/>
        </w:rPr>
        <w:t xml:space="preserve"> based on operational experience. A recurring theme is the need for earlier and more structured coordination between headquarters and regional offices when preparing global events. Several responses indicate that Regional Offices should be involved earlier in programme design and stakeholder outreach so that regional priorities and initiatives can be reflected in event agendas. Another commonly expressed recommendation concerns clearer definition of the roles of Regional and Area Office staff during global events. Respondents note that regional staff are often well positioned to facilitate connections with governments, regulators and regional organizations, but that this role is not always fully integrated into event planning.</w:t>
      </w:r>
      <w:r w:rsidRPr="0046236F">
        <w:rPr>
          <w:rStyle w:val="eop"/>
          <w:rFonts w:asciiTheme="minorHAnsi" w:eastAsiaTheme="majorEastAsia" w:hAnsiTheme="minorHAnsi" w:cstheme="minorHAnsi"/>
          <w:sz w:val="24"/>
          <w:szCs w:val="24"/>
        </w:rPr>
        <w:t xml:space="preserve"> </w:t>
      </w:r>
    </w:p>
    <w:p w14:paraId="0AD904A3" w14:textId="77777777" w:rsidR="00617FC9" w:rsidRPr="0046236F" w:rsidRDefault="00617FC9" w:rsidP="00617FC9">
      <w:pPr>
        <w:pStyle w:val="paragraph"/>
        <w:jc w:val="both"/>
        <w:rPr>
          <w:rStyle w:val="eop"/>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Additional patterns emerging from these responses highlight the importance of stronger follow up mechanisms after events. Staff note that engagement during global conferences is most effective when it is linked to subsequent regional activities, capacity-building programmes or policy dialogues. Without structured follow up, some opportunities for engagement risk remaining largely symbolic rather than translating into sustained cooperation. Respondents also emphasize the value of ensuring that global event sessions reflect regional priorities and development challenges, enabling stakeholders to see a clearer link between event discussions and regional initiatives.</w:t>
      </w:r>
      <w:r w:rsidRPr="0046236F">
        <w:rPr>
          <w:rStyle w:val="eop"/>
          <w:rFonts w:asciiTheme="minorHAnsi" w:eastAsiaTheme="majorEastAsia" w:hAnsiTheme="minorHAnsi" w:cstheme="minorHAnsi"/>
          <w:sz w:val="24"/>
          <w:szCs w:val="24"/>
        </w:rPr>
        <w:t xml:space="preserve"> </w:t>
      </w:r>
    </w:p>
    <w:p w14:paraId="42939930" w14:textId="77777777" w:rsidR="00617FC9" w:rsidRPr="0046236F" w:rsidRDefault="00617FC9" w:rsidP="00617FC9">
      <w:pPr>
        <w:pStyle w:val="paragraph"/>
        <w:jc w:val="both"/>
        <w:rPr>
          <w:rFonts w:asciiTheme="minorHAnsi" w:eastAsiaTheme="majorEastAsia" w:hAnsiTheme="minorHAnsi" w:cstheme="minorHAnsi"/>
          <w:color w:val="000000"/>
          <w:sz w:val="24"/>
          <w:szCs w:val="24"/>
        </w:rPr>
      </w:pPr>
      <w:r w:rsidRPr="0046236F">
        <w:rPr>
          <w:rFonts w:asciiTheme="minorHAnsi" w:eastAsiaTheme="majorEastAsia" w:hAnsiTheme="minorHAnsi" w:cstheme="minorHAnsi"/>
          <w:sz w:val="24"/>
          <w:szCs w:val="24"/>
        </w:rPr>
        <w:t xml:space="preserve">Interviews with Regional Telecommunication Organizations reinforce these observations and provide an external stakeholder perspective. Interviewees emphasize that global and regional events are valuable spaces for dialogue between ITU and regional actors, particularly when Regional Offices play an active convening role. At the same time, several interviewees note that engagement </w:t>
      </w:r>
      <w:r w:rsidRPr="0046236F">
        <w:rPr>
          <w:rFonts w:asciiTheme="minorHAnsi" w:eastAsiaTheme="majorEastAsia" w:hAnsiTheme="minorHAnsi" w:cstheme="minorHAnsi"/>
          <w:sz w:val="24"/>
          <w:szCs w:val="24"/>
        </w:rPr>
        <w:lastRenderedPageBreak/>
        <w:t>can be strengthened when Regional Offices are systematically involved in identifying participants and framing regional issues ahead of major events. Some also highlight the importance of ensuring continuity between discussions held at global meetings and the implementation of regional initiatives or projects</w:t>
      </w:r>
      <w:r w:rsidRPr="0046236F">
        <w:rPr>
          <w:rFonts w:asciiTheme="minorHAnsi" w:eastAsiaTheme="majorEastAsia" w:hAnsiTheme="minorHAnsi" w:cstheme="minorHAnsi"/>
          <w:color w:val="000000"/>
          <w:sz w:val="24"/>
          <w:szCs w:val="24"/>
        </w:rPr>
        <w:t>.</w:t>
      </w:r>
    </w:p>
    <w:p w14:paraId="33689437"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4E0ACA49" w14:textId="77777777" w:rsidR="00617FC9" w:rsidRPr="0046236F" w:rsidRDefault="00617FC9" w:rsidP="00617FC9">
      <w:pPr>
        <w:pStyle w:val="paragraph"/>
        <w:jc w:val="both"/>
        <w:rPr>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Taken together, the evidence indicates that global and regional events are widely recognized as effective platforms for engagement with regional stakeholders and for strengthening coordination among ITU entities and partners. However, the analysis also reveals operational opportunities to maximise this engagement. These include earlier involvement of Regional and Area Offices in event preparation, clearer definition of staff roles during events, stronger alignment of event agendas with regional priorities, and more systematic follow up after events to translate discussions into concrete regional activities.</w:t>
      </w:r>
    </w:p>
    <w:p w14:paraId="0EFF373A" w14:textId="77777777" w:rsidR="00617FC9" w:rsidRPr="0046236F" w:rsidRDefault="00617FC9" w:rsidP="00617FC9">
      <w:pPr>
        <w:pStyle w:val="paragraph"/>
        <w:jc w:val="both"/>
        <w:rPr>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Overall, the findings suggest that engagement mechanisms during global events are valued by both Membership and regional partners, but that their effectiveness could be further enhanced through improved coordination, clearer operational roles and stronger integration between global event discussions and ongoing regional initiatives.</w:t>
      </w:r>
    </w:p>
    <w:p w14:paraId="6FF66457" w14:textId="77777777" w:rsidR="00617FC9" w:rsidRPr="0046236F" w:rsidRDefault="00617FC9" w:rsidP="00617FC9">
      <w:pPr>
        <w:pStyle w:val="KPItitle"/>
        <w:jc w:val="both"/>
        <w:rPr>
          <w:rFonts w:asciiTheme="minorHAnsi" w:eastAsia="Avenir Nxt2 W1G" w:hAnsiTheme="minorHAnsi" w:cstheme="minorHAnsi"/>
          <w:sz w:val="24"/>
          <w:szCs w:val="24"/>
        </w:rPr>
      </w:pPr>
      <w:bookmarkStart w:id="124" w:name="_Toc224213056"/>
      <w:bookmarkStart w:id="125" w:name="_Toc224236487"/>
      <w:r w:rsidRPr="0046236F">
        <w:rPr>
          <w:rFonts w:asciiTheme="minorHAnsi" w:hAnsiTheme="minorHAnsi" w:cstheme="minorHAnsi"/>
          <w:sz w:val="24"/>
          <w:szCs w:val="24"/>
        </w:rPr>
        <w:t>KPI</w:t>
      </w:r>
      <w:r w:rsidRPr="0046236F">
        <w:rPr>
          <w:rFonts w:asciiTheme="minorHAnsi" w:eastAsia="Avenir Nxt2 W1G" w:hAnsiTheme="minorHAnsi" w:cstheme="minorHAnsi"/>
          <w:sz w:val="24"/>
          <w:szCs w:val="24"/>
        </w:rPr>
        <w:t xml:space="preserve"> </w:t>
      </w:r>
      <w:r w:rsidRPr="0046236F">
        <w:rPr>
          <w:rFonts w:asciiTheme="minorHAnsi" w:hAnsiTheme="minorHAnsi" w:cstheme="minorHAnsi"/>
          <w:sz w:val="24"/>
          <w:szCs w:val="24"/>
        </w:rPr>
        <w:t>12</w:t>
      </w:r>
      <w:r w:rsidRPr="0046236F">
        <w:rPr>
          <w:rFonts w:asciiTheme="minorHAnsi" w:eastAsia="Avenir Nxt2 W1G" w:hAnsiTheme="minorHAnsi" w:cstheme="minorHAnsi"/>
          <w:sz w:val="24"/>
          <w:szCs w:val="24"/>
        </w:rPr>
        <w:t xml:space="preserve"> — </w:t>
      </w:r>
      <w:r w:rsidRPr="0046236F">
        <w:rPr>
          <w:rFonts w:asciiTheme="minorHAnsi" w:hAnsiTheme="minorHAnsi" w:cstheme="minorHAnsi"/>
          <w:sz w:val="24"/>
          <w:szCs w:val="24"/>
        </w:rPr>
        <w:t xml:space="preserve">Based on </w:t>
      </w:r>
      <w:r w:rsidRPr="0046236F" w:rsidDel="001F2A97">
        <w:rPr>
          <w:rFonts w:asciiTheme="minorHAnsi" w:hAnsiTheme="minorHAnsi" w:cstheme="minorHAnsi"/>
          <w:sz w:val="24"/>
          <w:szCs w:val="24"/>
        </w:rPr>
        <w:t>recommendations</w:t>
      </w:r>
      <w:r w:rsidRPr="0046236F">
        <w:rPr>
          <w:rFonts w:asciiTheme="minorHAnsi" w:hAnsiTheme="minorHAnsi" w:cstheme="minorHAnsi"/>
          <w:sz w:val="24"/>
          <w:szCs w:val="24"/>
        </w:rPr>
        <w:t xml:space="preserve">, assess whether an action plan to enhance Regional and Area Office staff participation in events would increase the value-add of their </w:t>
      </w:r>
      <w:r w:rsidRPr="0046236F">
        <w:rPr>
          <w:rFonts w:asciiTheme="minorHAnsi" w:eastAsia="Avenir Nxt2 W1G" w:hAnsiTheme="minorHAnsi" w:cstheme="minorHAnsi"/>
          <w:sz w:val="24"/>
          <w:szCs w:val="24"/>
        </w:rPr>
        <w:t>participation</w:t>
      </w:r>
      <w:bookmarkEnd w:id="124"/>
      <w:bookmarkEnd w:id="125"/>
    </w:p>
    <w:p w14:paraId="5A744741" w14:textId="77777777" w:rsidR="00617FC9" w:rsidRPr="0046236F" w:rsidRDefault="00617FC9" w:rsidP="00617FC9">
      <w:pPr>
        <w:pStyle w:val="paragraph"/>
        <w:jc w:val="both"/>
        <w:rPr>
          <w:rFonts w:asciiTheme="minorHAnsi" w:hAnsiTheme="minorHAnsi" w:cstheme="minorHAnsi"/>
          <w:sz w:val="24"/>
          <w:szCs w:val="24"/>
        </w:rPr>
      </w:pPr>
      <w:r w:rsidRPr="0046236F">
        <w:rPr>
          <w:rFonts w:asciiTheme="minorHAnsi" w:eastAsiaTheme="majorEastAsia" w:hAnsiTheme="minorHAnsi" w:cstheme="minorHAnsi"/>
          <w:sz w:val="24"/>
          <w:szCs w:val="24"/>
        </w:rPr>
        <w:t>Internal Assessment responses indicate strong support for staff engagement in regional and global events as a mechanism to enhance coordination. Eighty-two per cent</w:t>
      </w:r>
      <w:r w:rsidRPr="0046236F" w:rsidDel="006B3589">
        <w:rPr>
          <w:rFonts w:asciiTheme="minorHAnsi" w:eastAsiaTheme="majorEastAsia" w:hAnsiTheme="minorHAnsi" w:cstheme="minorHAnsi"/>
          <w:sz w:val="24"/>
          <w:szCs w:val="24"/>
        </w:rPr>
        <w:t xml:space="preserve"> </w:t>
      </w:r>
      <w:r w:rsidRPr="0046236F">
        <w:rPr>
          <w:rFonts w:asciiTheme="minorHAnsi" w:eastAsiaTheme="majorEastAsia" w:hAnsiTheme="minorHAnsi" w:cstheme="minorHAnsi"/>
          <w:sz w:val="24"/>
          <w:szCs w:val="24"/>
        </w:rPr>
        <w:t>of Internal Assessment respondents agree or strongly agree that Regional and Area Office staff engagement with regional stakeholders during global and regional events enhances synergies in coordination and communication of activities and initiatives (Q26_b).</w:t>
      </w:r>
      <w:r w:rsidRPr="0046236F">
        <w:rPr>
          <w:rStyle w:val="eop"/>
          <w:rFonts w:asciiTheme="minorHAnsi" w:eastAsiaTheme="majorEastAsia" w:hAnsiTheme="minorHAnsi" w:cstheme="minorHAnsi"/>
          <w:sz w:val="24"/>
          <w:szCs w:val="24"/>
        </w:rPr>
        <w:t xml:space="preserve"> </w:t>
      </w:r>
    </w:p>
    <w:p w14:paraId="39DE66F3" w14:textId="77777777" w:rsidR="00617FC9" w:rsidRPr="0046236F" w:rsidRDefault="00617FC9" w:rsidP="00617FC9">
      <w:pPr>
        <w:pStyle w:val="paragraph"/>
        <w:jc w:val="both"/>
        <w:rPr>
          <w:rFonts w:asciiTheme="minorHAnsi" w:hAnsiTheme="minorHAnsi" w:cstheme="minorHAnsi"/>
          <w:sz w:val="24"/>
          <w:szCs w:val="24"/>
        </w:rPr>
      </w:pPr>
      <w:r w:rsidRPr="0046236F">
        <w:rPr>
          <w:rFonts w:asciiTheme="minorHAnsi" w:eastAsiaTheme="majorEastAsia" w:hAnsiTheme="minorHAnsi" w:cstheme="minorHAnsi"/>
          <w:sz w:val="24"/>
          <w:szCs w:val="24"/>
        </w:rPr>
        <w:t>Membership Survey responses indicate support for structured measures to enhance participation. Seventy-seven per cent of Membership Survey respondents agree or strongly agree that an action plan to enhance Regional and Area Office staff participation in events would increase the added value of their participation (Q5_l). Seventy-one per cent agree or strongly agree that staff engagement with regional stakeholders at global events enhances coordination and communication of activities, projects and initiatives (Q7_a)</w:t>
      </w:r>
      <w:r w:rsidRPr="0046236F">
        <w:rPr>
          <w:rFonts w:asciiTheme="minorHAnsi" w:eastAsiaTheme="majorEastAsia" w:hAnsiTheme="minorHAnsi" w:cstheme="minorHAnsi"/>
          <w:color w:val="000000"/>
          <w:sz w:val="24"/>
          <w:szCs w:val="24"/>
        </w:rPr>
        <w:t>.</w:t>
      </w:r>
      <w:r w:rsidRPr="0046236F">
        <w:rPr>
          <w:rStyle w:val="eop"/>
          <w:rFonts w:asciiTheme="minorHAnsi" w:eastAsiaTheme="majorEastAsia" w:hAnsiTheme="minorHAnsi" w:cstheme="minorHAnsi"/>
          <w:color w:val="000000"/>
          <w:sz w:val="24"/>
          <w:szCs w:val="24"/>
        </w:rPr>
        <w:t xml:space="preserve"> </w:t>
      </w:r>
    </w:p>
    <w:p w14:paraId="2420460E"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052C4F65" w14:textId="77777777" w:rsidR="00617FC9" w:rsidRPr="0046236F" w:rsidRDefault="00617FC9" w:rsidP="00617FC9">
      <w:pPr>
        <w:pStyle w:val="paragraph"/>
        <w:jc w:val="both"/>
        <w:rPr>
          <w:rStyle w:val="eop"/>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The distribution of responses across both staff and Membership groups indicates broad agreement that structured engagement in events contributes to coordination and institutional visibility. Support for the introduction of an action plan reflects expectations that more systematic planning and prioritisation of staff participation would increase the value derived from such engagement.</w:t>
      </w:r>
      <w:r w:rsidRPr="0046236F">
        <w:rPr>
          <w:rStyle w:val="eop"/>
          <w:rFonts w:asciiTheme="minorHAnsi" w:eastAsiaTheme="majorEastAsia" w:hAnsiTheme="minorHAnsi" w:cstheme="minorHAnsi"/>
          <w:sz w:val="24"/>
          <w:szCs w:val="24"/>
        </w:rPr>
        <w:t xml:space="preserve"> </w:t>
      </w:r>
    </w:p>
    <w:p w14:paraId="0FEE9409" w14:textId="77777777" w:rsidR="00617FC9" w:rsidRPr="0046236F" w:rsidRDefault="00617FC9" w:rsidP="00617FC9">
      <w:pPr>
        <w:pStyle w:val="paragraph"/>
        <w:jc w:val="both"/>
        <w:rPr>
          <w:rFonts w:asciiTheme="minorHAnsi" w:hAnsiTheme="minorHAnsi" w:cstheme="minorHAnsi"/>
          <w:sz w:val="24"/>
          <w:szCs w:val="24"/>
        </w:rPr>
      </w:pPr>
      <w:r w:rsidRPr="0046236F">
        <w:rPr>
          <w:rFonts w:asciiTheme="minorHAnsi" w:eastAsiaTheme="majorEastAsia" w:hAnsiTheme="minorHAnsi" w:cstheme="minorHAnsi"/>
          <w:sz w:val="24"/>
          <w:szCs w:val="24"/>
        </w:rPr>
        <w:t>Open-ended responses from the Membership Survey refer to the need for stronger regional coordination during global events, improved visibility of Regional and Area Office contributions, more structured engagement formats, and clearer communication channels with stakeholders.</w:t>
      </w:r>
      <w:r w:rsidRPr="0046236F">
        <w:rPr>
          <w:rStyle w:val="eop"/>
          <w:rFonts w:asciiTheme="minorHAnsi" w:eastAsiaTheme="majorEastAsia" w:hAnsiTheme="minorHAnsi" w:cstheme="minorHAnsi"/>
          <w:sz w:val="24"/>
          <w:szCs w:val="24"/>
        </w:rPr>
        <w:t xml:space="preserve"> </w:t>
      </w:r>
    </w:p>
    <w:p w14:paraId="4EB1D58A" w14:textId="77777777" w:rsidR="00617FC9" w:rsidRPr="0046236F" w:rsidRDefault="00617FC9" w:rsidP="00617FC9">
      <w:pPr>
        <w:pStyle w:val="paragraph"/>
        <w:jc w:val="both"/>
        <w:rPr>
          <w:rStyle w:val="eop"/>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lastRenderedPageBreak/>
        <w:t>The combined evidence indicates that staff and Membership respondents identify coordination, communication, role clarity and follow up mechanisms as central elements for maximising engagement with regional stakeholders during global events.</w:t>
      </w:r>
      <w:r w:rsidRPr="0046236F">
        <w:rPr>
          <w:rStyle w:val="eop"/>
          <w:rFonts w:asciiTheme="minorHAnsi" w:eastAsiaTheme="majorEastAsia" w:hAnsiTheme="minorHAnsi" w:cstheme="minorHAnsi"/>
          <w:sz w:val="24"/>
          <w:szCs w:val="24"/>
        </w:rPr>
        <w:t xml:space="preserve"> </w:t>
      </w:r>
    </w:p>
    <w:p w14:paraId="1759F8C9" w14:textId="77777777" w:rsidR="00617FC9" w:rsidRPr="0046236F" w:rsidRDefault="00617FC9" w:rsidP="00617FC9">
      <w:pPr>
        <w:pStyle w:val="KPItitle"/>
        <w:jc w:val="both"/>
        <w:rPr>
          <w:rFonts w:asciiTheme="minorHAnsi" w:hAnsiTheme="minorHAnsi" w:cstheme="minorHAnsi"/>
          <w:sz w:val="24"/>
          <w:szCs w:val="24"/>
        </w:rPr>
      </w:pPr>
      <w:bookmarkStart w:id="126" w:name="_Toc224213057"/>
      <w:bookmarkStart w:id="127" w:name="_Toc224236488"/>
      <w:r w:rsidRPr="0046236F">
        <w:rPr>
          <w:rFonts w:asciiTheme="minorHAnsi" w:hAnsiTheme="minorHAnsi" w:cstheme="minorHAnsi"/>
          <w:sz w:val="24"/>
          <w:szCs w:val="24"/>
        </w:rPr>
        <w:t>KPI 13 — The amount of human and financial resources at the Regional and Area offices including:</w:t>
      </w:r>
      <w:bookmarkEnd w:id="126"/>
      <w:bookmarkEnd w:id="127"/>
    </w:p>
    <w:p w14:paraId="71A9EED7" w14:textId="77777777" w:rsidR="00617FC9" w:rsidRPr="0046236F" w:rsidRDefault="00617FC9" w:rsidP="00BC7ABA">
      <w:pPr>
        <w:pStyle w:val="ListParagraph"/>
        <w:numPr>
          <w:ilvl w:val="0"/>
          <w:numId w:val="31"/>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number of staff at each Regional and Area Office</w:t>
      </w:r>
    </w:p>
    <w:p w14:paraId="1F3C944F" w14:textId="77777777" w:rsidR="00617FC9" w:rsidRPr="0046236F" w:rsidRDefault="00617FC9" w:rsidP="00BC7ABA">
      <w:pPr>
        <w:pStyle w:val="ListParagraph"/>
        <w:numPr>
          <w:ilvl w:val="0"/>
          <w:numId w:val="31"/>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number of countries served by each Regional and Area Office</w:t>
      </w:r>
    </w:p>
    <w:p w14:paraId="72126B3F" w14:textId="77777777" w:rsidR="00617FC9" w:rsidRPr="0046236F" w:rsidRDefault="00617FC9" w:rsidP="00BC7ABA">
      <w:pPr>
        <w:pStyle w:val="ListParagraph"/>
        <w:numPr>
          <w:ilvl w:val="0"/>
          <w:numId w:val="31"/>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number of projects and initiatives engaged, and events organized</w:t>
      </w:r>
    </w:p>
    <w:p w14:paraId="47A933D7" w14:textId="77777777" w:rsidR="00617FC9" w:rsidRPr="0046236F" w:rsidRDefault="00617FC9" w:rsidP="00BC7ABA">
      <w:pPr>
        <w:pStyle w:val="ListParagraph"/>
        <w:numPr>
          <w:ilvl w:val="0"/>
          <w:numId w:val="31"/>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resources allocated by the financial plan for each Regional and Area Office</w:t>
      </w:r>
    </w:p>
    <w:p w14:paraId="4136A4EF" w14:textId="77777777" w:rsidR="00617FC9" w:rsidRPr="0046236F" w:rsidRDefault="00617FC9" w:rsidP="00BC7ABA">
      <w:pPr>
        <w:pStyle w:val="ListParagraph"/>
        <w:numPr>
          <w:ilvl w:val="0"/>
          <w:numId w:val="31"/>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technological platforms used by Regional and Area Offices</w:t>
      </w:r>
    </w:p>
    <w:p w14:paraId="686238E4" w14:textId="77777777" w:rsidR="00617FC9" w:rsidRPr="0046236F" w:rsidRDefault="00617FC9" w:rsidP="00BC7ABA">
      <w:pPr>
        <w:pStyle w:val="ListParagraph"/>
        <w:numPr>
          <w:ilvl w:val="0"/>
          <w:numId w:val="31"/>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use of the ITU’s financial management tools by Regional and Area Offices</w:t>
      </w:r>
    </w:p>
    <w:p w14:paraId="1B2D7B64" w14:textId="77777777" w:rsidR="00617FC9" w:rsidRPr="0046236F" w:rsidRDefault="00617FC9" w:rsidP="00BC7ABA">
      <w:pPr>
        <w:pStyle w:val="ListParagraph"/>
        <w:numPr>
          <w:ilvl w:val="0"/>
          <w:numId w:val="31"/>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efforts and actions undertaken to increase human and financial resources for implementation of regional initiatives</w:t>
      </w:r>
    </w:p>
    <w:p w14:paraId="3AE368C5" w14:textId="77777777" w:rsidR="00617FC9" w:rsidRPr="0046236F" w:rsidRDefault="00617FC9" w:rsidP="00BC7ABA">
      <w:pPr>
        <w:pStyle w:val="ListParagraph"/>
        <w:numPr>
          <w:ilvl w:val="0"/>
          <w:numId w:val="31"/>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financial and administrative conditions provided by host countries to Regional and Area Offices</w:t>
      </w:r>
    </w:p>
    <w:p w14:paraId="4137254F"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analysis integrates these dimensions into a single consolidated institutional assessment.</w:t>
      </w:r>
    </w:p>
    <w:p w14:paraId="7B9F1612"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Staffing across the Regional and Area Offices totals 64 personnel across contract modalities, within an overall ITU workforce of 695 and a field presence representing </w:t>
      </w:r>
      <w:r w:rsidRPr="0046236F" w:rsidDel="006B3589">
        <w:rPr>
          <w:rFonts w:asciiTheme="minorHAnsi" w:hAnsiTheme="minorHAnsi" w:cstheme="minorHAnsi"/>
          <w:szCs w:val="24"/>
          <w:lang w:eastAsia="en-GB"/>
        </w:rPr>
        <w:t>9</w:t>
      </w:r>
      <w:r w:rsidRPr="0046236F">
        <w:rPr>
          <w:rFonts w:asciiTheme="minorHAnsi" w:hAnsiTheme="minorHAnsi" w:cstheme="minorHAnsi"/>
          <w:szCs w:val="24"/>
          <w:lang w:eastAsia="en-GB"/>
        </w:rPr>
        <w:t>%</w:t>
      </w:r>
      <w:r w:rsidRPr="0046236F" w:rsidDel="006B3589">
        <w:rPr>
          <w:rFonts w:asciiTheme="minorHAnsi" w:hAnsiTheme="minorHAnsi" w:cstheme="minorHAnsi"/>
          <w:szCs w:val="24"/>
          <w:lang w:eastAsia="en-GB"/>
        </w:rPr>
        <w:t xml:space="preserve"> </w:t>
      </w:r>
      <w:r w:rsidRPr="0046236F">
        <w:rPr>
          <w:rFonts w:asciiTheme="minorHAnsi" w:hAnsiTheme="minorHAnsi" w:cstheme="minorHAnsi"/>
          <w:szCs w:val="24"/>
          <w:lang w:eastAsia="en-GB"/>
        </w:rPr>
        <w:t>of total staff.</w:t>
      </w:r>
    </w:p>
    <w:p w14:paraId="211EB098"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Membership perceptions of resource adequacy are reserved. Agreement that financial resources are adequate stands at 34%, while agreement that human resources are adequate stands at 35%, alongside higher agreement for headquarters-provided products and services at 44% (Q3_a; Q3_b; Q3_c). The combined picture is one of an established staffing footprint paired with limited perceived adequacy of core resourcing.</w:t>
      </w:r>
    </w:p>
    <w:p w14:paraId="31697B08"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The geographic service burden varies considerably across offices. Coverage spans 194 countries, with distribution across regions that differs materially in scale. Membership responses align with a view that staffing levels should be assessed against workload drivers, including countries served, projects, initiatives and events, with 53% agreeing that the relationship between staffing and these workload factors is adequate (Q6_b). This level of agreement suggests that workload-to-staffing balance is seen as just acceptable. </w:t>
      </w:r>
    </w:p>
    <w:p w14:paraId="36A1A425"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The volume of operational activity includes projects, initiatives and events delivered across the Union’s areas of work, including extensive development engagement and large-scale event activity. Membership assessments of effectiveness and activity levels remain positive in several areas that are consistent with an active regional presence, including effectiveness through Regional and Area Offices at 71% and satisfaction with activity levels at 60% (Q1; Q2). Willingness to collaborate is reported at 82% for Membership and 60% for partners (Q9_a; Q9_b). Consultation of Regional and Area Offices is also reported as common, with 74% of Membership respondents indicating at least one consultation in 2024–2025 (Q10). Open-ended responses mapped to this dimension include recurring emphasis on event-based engagement formats and follow up practices, without altering the scope of this KPI (Q11; Q18). </w:t>
      </w:r>
    </w:p>
    <w:p w14:paraId="7222E8CB"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Financial plan allocations for Regional and Area Offices show a stable staff-cost share over 2022–2024, at around 32% of the BDT bureau staff costs budget, alongside a marked increase in the operations budget share in 2024 to 64% from 53% in 2022–2023. Membership views on resource strengthening measures show sustained support for increased human resources at 60% and </w:t>
      </w:r>
      <w:r w:rsidRPr="0046236F">
        <w:rPr>
          <w:rFonts w:asciiTheme="minorHAnsi" w:hAnsiTheme="minorHAnsi" w:cstheme="minorHAnsi"/>
          <w:szCs w:val="24"/>
          <w:lang w:eastAsia="en-GB"/>
        </w:rPr>
        <w:lastRenderedPageBreak/>
        <w:t xml:space="preserve">increased financial resources at 63%, with lower support for reallocation options at 50–52% (Q5_h; Q5_i; Q5_j; Q5_k). This pattern is consistent with a preference for additional resourcing over redistribution. </w:t>
      </w:r>
    </w:p>
    <w:p w14:paraId="4049AD48"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Technological platforms supporting virtual and hybrid working methods are in place, with a standard toolset for meetings, document management, reporting and administration. Membership views of adequacy in technological platforms for virtual and hybrid meetings are comparatively higher, at 67% agreement (Q6_d). Membership also reports strong support for greater exploitation of remote participation and online tools at 71% agreement (Q5_g), alongside continued positive assessment of information and data dissemination at 73% agreement (Q12_c). These results position platforms and dissemination as comparatively stronger elements within the broader resource construct. </w:t>
      </w:r>
    </w:p>
    <w:p w14:paraId="65896E9B"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Staff perspectives on financial management tools, addressed through the Internal Assessment, indicate constraints in access to timely and detailed project financial information. Agreement that staff have access to detailed financial situation of projects in a reasonable time stands at 35%, while agreement is higher at 73% for access to ICT systems, tools and knowledge resources (Q6; Q9_l). The pattern differentiates between general tool access and the availability of timely financial visibility for operational delivery. </w:t>
      </w:r>
    </w:p>
    <w:p w14:paraId="64652D23"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Host country financial and administrative conditions provide a baseline enabling environment, including office accommodation and utilities arrangements and administrative facilitation elements. Membership perceptions of adequacy for host-country financial and administrative conditions stand at 49% agreement, while continued emphasis is placed on remote participation and online tools as a strengthening measure at 71% agreement (Q6_e; Q5_g)</w:t>
      </w:r>
      <w:r w:rsidRPr="0046236F">
        <w:rPr>
          <w:rFonts w:asciiTheme="minorHAnsi" w:hAnsiTheme="minorHAnsi" w:cstheme="minorHAnsi"/>
          <w:color w:val="000000"/>
          <w:szCs w:val="24"/>
          <w:lang w:eastAsia="en-GB"/>
        </w:rPr>
        <w:t xml:space="preserve">. </w:t>
      </w:r>
    </w:p>
    <w:p w14:paraId="18818916"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color w:val="000000" w:themeColor="text1"/>
          <w:sz w:val="24"/>
          <w:szCs w:val="24"/>
        </w:rPr>
        <w:t>Conclusion</w:t>
      </w:r>
      <w:r w:rsidRPr="0046236F">
        <w:rPr>
          <w:rFonts w:asciiTheme="minorHAnsi" w:hAnsiTheme="minorHAnsi" w:cstheme="minorHAnsi"/>
          <w:sz w:val="24"/>
          <w:szCs w:val="24"/>
        </w:rPr>
        <w:t xml:space="preserve"> </w:t>
      </w:r>
    </w:p>
    <w:p w14:paraId="3C74BDA6"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Across the </w:t>
      </w:r>
      <w:proofErr w:type="gramStart"/>
      <w:r w:rsidRPr="0046236F">
        <w:rPr>
          <w:rFonts w:asciiTheme="minorHAnsi" w:hAnsiTheme="minorHAnsi" w:cstheme="minorHAnsi"/>
          <w:szCs w:val="24"/>
          <w:lang w:eastAsia="en-GB"/>
        </w:rPr>
        <w:t>KPI as a whole, the</w:t>
      </w:r>
      <w:proofErr w:type="gramEnd"/>
      <w:r w:rsidRPr="0046236F">
        <w:rPr>
          <w:rFonts w:asciiTheme="minorHAnsi" w:hAnsiTheme="minorHAnsi" w:cstheme="minorHAnsi"/>
          <w:szCs w:val="24"/>
          <w:lang w:eastAsia="en-GB"/>
        </w:rPr>
        <w:t xml:space="preserve"> resource footprint is documented and operationally active, while survey-based feedback reflects mixed assessments of adequacy in core resourcing and financial visibility, alongside comparatively stronger positioning of technological platforms and information dissemination. There is a preference for additional resourcing over redistribution. </w:t>
      </w:r>
    </w:p>
    <w:p w14:paraId="659C6D08" w14:textId="77777777" w:rsidR="00617FC9" w:rsidRPr="0046236F" w:rsidRDefault="00617FC9" w:rsidP="00617FC9">
      <w:pPr>
        <w:pStyle w:val="Subtitle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 xml:space="preserve">Data Sources for KPI 13a </w:t>
      </w:r>
    </w:p>
    <w:p w14:paraId="3D0FC30B" w14:textId="77777777" w:rsidR="00617FC9" w:rsidRPr="0046236F" w:rsidRDefault="00617FC9" w:rsidP="00BC7ABA">
      <w:pPr>
        <w:pStyle w:val="ListParagraph"/>
        <w:numPr>
          <w:ilvl w:val="0"/>
          <w:numId w:val="23"/>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t>Information from SAP HR system</w:t>
      </w:r>
    </w:p>
    <w:p w14:paraId="20BA4F7F" w14:textId="77777777" w:rsidR="00617FC9" w:rsidRPr="0046236F" w:rsidRDefault="00617FC9" w:rsidP="00BC7ABA">
      <w:pPr>
        <w:pStyle w:val="ListParagraph"/>
        <w:numPr>
          <w:ilvl w:val="0"/>
          <w:numId w:val="24"/>
        </w:numPr>
        <w:spacing w:before="60" w:after="60"/>
        <w:contextualSpacing w:val="0"/>
        <w:jc w:val="both"/>
        <w:rPr>
          <w:rFonts w:asciiTheme="minorHAnsi" w:eastAsia="Times New Roman" w:hAnsiTheme="minorHAnsi" w:cstheme="minorHAnsi"/>
          <w:kern w:val="0"/>
          <w:sz w:val="24"/>
          <w:szCs w:val="24"/>
          <w:lang w:eastAsia="en-GB"/>
          <w14:ligatures w14:val="none"/>
        </w:rPr>
      </w:pPr>
      <w:r w:rsidRPr="0046236F">
        <w:rPr>
          <w:rFonts w:asciiTheme="minorHAnsi" w:eastAsia="Times New Roman" w:hAnsiTheme="minorHAnsi" w:cstheme="minorHAnsi"/>
          <w:kern w:val="0"/>
          <w:sz w:val="24"/>
          <w:szCs w:val="24"/>
          <w:lang w:val="en-US" w:eastAsia="en-GB"/>
          <w14:ligatures w14:val="none"/>
        </w:rPr>
        <w:t xml:space="preserve">Human resources report: Workforce analytics dashboard </w:t>
      </w:r>
      <w:hyperlink r:id="rId74" w:tgtFrame="_blank" w:history="1">
        <w:r w:rsidRPr="0046236F">
          <w:rPr>
            <w:rFonts w:asciiTheme="minorHAnsi" w:eastAsia="Times New Roman" w:hAnsiTheme="minorHAnsi" w:cstheme="minorHAnsi"/>
            <w:color w:val="467886"/>
            <w:kern w:val="0"/>
            <w:sz w:val="24"/>
            <w:szCs w:val="24"/>
            <w:u w:val="single"/>
            <w:lang w:val="en-US" w:eastAsia="en-GB"/>
            <w14:ligatures w14:val="none"/>
          </w:rPr>
          <w:t>Online Reports</w:t>
        </w:r>
      </w:hyperlink>
    </w:p>
    <w:p w14:paraId="26886E17" w14:textId="77777777" w:rsidR="00617FC9" w:rsidRPr="0046236F" w:rsidRDefault="00617FC9" w:rsidP="00617FC9">
      <w:pPr>
        <w:pStyle w:val="Subtitle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 xml:space="preserve">Data Sources for KPI 13b </w:t>
      </w:r>
    </w:p>
    <w:p w14:paraId="5AF42F9C" w14:textId="77777777" w:rsidR="00617FC9" w:rsidRPr="0046236F" w:rsidRDefault="00617FC9" w:rsidP="00180FCC">
      <w:pPr>
        <w:pStyle w:val="ListParagraph"/>
        <w:numPr>
          <w:ilvl w:val="0"/>
          <w:numId w:val="25"/>
        </w:numPr>
        <w:spacing w:before="60" w:after="60"/>
        <w:ind w:left="714" w:hanging="357"/>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t xml:space="preserve">ITU regional presence webpage </w:t>
      </w:r>
      <w:hyperlink r:id="rId75" w:tgtFrame="_blank" w:history="1">
        <w:r w:rsidRPr="0046236F">
          <w:rPr>
            <w:rFonts w:asciiTheme="minorHAnsi" w:hAnsiTheme="minorHAnsi" w:cstheme="minorHAnsi"/>
            <w:color w:val="467886"/>
            <w:sz w:val="24"/>
            <w:szCs w:val="24"/>
            <w:u w:val="single"/>
            <w:lang w:val="en-US" w:eastAsia="en-GB"/>
          </w:rPr>
          <w:t>https://www.itu.int/en/ITU-D/Pages/Regional-Presence.aspx</w:t>
        </w:r>
      </w:hyperlink>
      <w:r w:rsidRPr="0046236F">
        <w:rPr>
          <w:rFonts w:asciiTheme="minorHAnsi" w:hAnsiTheme="minorHAnsi" w:cstheme="minorHAnsi"/>
          <w:sz w:val="24"/>
          <w:szCs w:val="24"/>
          <w:lang w:val="en-US" w:eastAsia="en-GB"/>
        </w:rPr>
        <w:t xml:space="preserve"> and specific sites for each Regional Office</w:t>
      </w:r>
    </w:p>
    <w:p w14:paraId="64D369E8"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color w:val="000000" w:themeColor="text1"/>
          <w:sz w:val="24"/>
          <w:szCs w:val="24"/>
        </w:rPr>
        <w:t>Data</w:t>
      </w:r>
      <w:r w:rsidRPr="0046236F">
        <w:rPr>
          <w:rFonts w:asciiTheme="minorHAnsi" w:hAnsiTheme="minorHAnsi" w:cstheme="minorHAnsi"/>
          <w:sz w:val="24"/>
          <w:szCs w:val="24"/>
        </w:rPr>
        <w:t xml:space="preserve"> Sources for KPI 13c </w:t>
      </w:r>
    </w:p>
    <w:p w14:paraId="1D92DB40" w14:textId="77777777" w:rsidR="00617FC9" w:rsidRPr="0046236F" w:rsidRDefault="00617FC9" w:rsidP="00180FCC">
      <w:pPr>
        <w:pStyle w:val="ListParagraph"/>
        <w:numPr>
          <w:ilvl w:val="0"/>
          <w:numId w:val="71"/>
        </w:numPr>
        <w:spacing w:before="60" w:after="60"/>
        <w:ind w:left="714" w:hanging="357"/>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t xml:space="preserve">Annual Report on the implementation of the strategic plan and the activities of the Union 2024, Council Document </w:t>
      </w:r>
      <w:hyperlink r:id="rId76" w:tgtFrame="_blank" w:history="1">
        <w:r w:rsidRPr="0046236F">
          <w:rPr>
            <w:rFonts w:asciiTheme="minorHAnsi" w:hAnsiTheme="minorHAnsi" w:cstheme="minorHAnsi"/>
            <w:color w:val="467886"/>
            <w:sz w:val="24"/>
            <w:szCs w:val="24"/>
            <w:u w:val="single"/>
            <w:lang w:val="en-US" w:eastAsia="en-GB"/>
          </w:rPr>
          <w:t>C25/35</w:t>
        </w:r>
      </w:hyperlink>
      <w:r w:rsidRPr="0046236F">
        <w:rPr>
          <w:rFonts w:asciiTheme="minorHAnsi" w:hAnsiTheme="minorHAnsi" w:cstheme="minorHAnsi"/>
          <w:sz w:val="24"/>
          <w:szCs w:val="24"/>
        </w:rPr>
        <w:t>.</w:t>
      </w:r>
    </w:p>
    <w:p w14:paraId="25F1E44B" w14:textId="77777777" w:rsidR="00617FC9" w:rsidRPr="0046236F" w:rsidRDefault="00617FC9" w:rsidP="00180FCC">
      <w:pPr>
        <w:pStyle w:val="ListParagraph"/>
        <w:numPr>
          <w:ilvl w:val="0"/>
          <w:numId w:val="71"/>
        </w:numPr>
        <w:spacing w:before="60" w:after="60"/>
        <w:ind w:left="714" w:hanging="357"/>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t xml:space="preserve">ITU-R draft operational plan for 2026-2029 and 2024 performance report RAG 2025 Document </w:t>
      </w:r>
      <w:hyperlink r:id="rId77" w:tgtFrame="_blank" w:history="1">
        <w:r w:rsidRPr="0046236F">
          <w:rPr>
            <w:rFonts w:asciiTheme="minorHAnsi" w:hAnsiTheme="minorHAnsi" w:cstheme="minorHAnsi"/>
            <w:color w:val="467886"/>
            <w:sz w:val="24"/>
            <w:szCs w:val="24"/>
            <w:u w:val="single"/>
            <w:lang w:val="en-US" w:eastAsia="en-GB"/>
          </w:rPr>
          <w:t>RAG/37</w:t>
        </w:r>
      </w:hyperlink>
      <w:r w:rsidRPr="0046236F">
        <w:rPr>
          <w:rFonts w:asciiTheme="minorHAnsi" w:hAnsiTheme="minorHAnsi" w:cstheme="minorHAnsi"/>
          <w:sz w:val="24"/>
          <w:szCs w:val="24"/>
        </w:rPr>
        <w:t>.</w:t>
      </w:r>
    </w:p>
    <w:p w14:paraId="4BCFD402" w14:textId="77777777" w:rsidR="00617FC9" w:rsidRPr="0046236F" w:rsidRDefault="00617FC9" w:rsidP="00180FCC">
      <w:pPr>
        <w:pStyle w:val="ListParagraph"/>
        <w:numPr>
          <w:ilvl w:val="0"/>
          <w:numId w:val="71"/>
        </w:numPr>
        <w:spacing w:before="60" w:after="60"/>
        <w:ind w:left="714" w:hanging="357"/>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t xml:space="preserve">ITU-T draft operational plan for 2026-2029 and 2024 performance report TSAG 2025 Document </w:t>
      </w:r>
      <w:hyperlink r:id="rId78" w:tgtFrame="_blank" w:history="1">
        <w:r w:rsidRPr="0046236F">
          <w:rPr>
            <w:rFonts w:asciiTheme="minorHAnsi" w:hAnsiTheme="minorHAnsi" w:cstheme="minorHAnsi"/>
            <w:color w:val="467886"/>
            <w:sz w:val="24"/>
            <w:szCs w:val="24"/>
            <w:u w:val="single"/>
            <w:lang w:val="en-US" w:eastAsia="en-GB"/>
          </w:rPr>
          <w:t>TSAG-TD137</w:t>
        </w:r>
      </w:hyperlink>
      <w:r w:rsidRPr="0046236F">
        <w:rPr>
          <w:rFonts w:asciiTheme="minorHAnsi" w:hAnsiTheme="minorHAnsi" w:cstheme="minorHAnsi"/>
          <w:sz w:val="24"/>
          <w:szCs w:val="24"/>
        </w:rPr>
        <w:t>.</w:t>
      </w:r>
    </w:p>
    <w:p w14:paraId="7F05247E" w14:textId="77777777" w:rsidR="00617FC9" w:rsidRPr="0046236F" w:rsidRDefault="00617FC9" w:rsidP="00180FCC">
      <w:pPr>
        <w:pStyle w:val="ListParagraph"/>
        <w:numPr>
          <w:ilvl w:val="0"/>
          <w:numId w:val="71"/>
        </w:numPr>
        <w:spacing w:before="60" w:after="60"/>
        <w:ind w:left="714" w:hanging="357"/>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lastRenderedPageBreak/>
        <w:t xml:space="preserve">ITU-D draft operational plan for 2026-2029 and 2024 performance report TDAG 2025 Document </w:t>
      </w:r>
      <w:hyperlink r:id="rId79" w:tgtFrame="_blank" w:history="1">
        <w:r w:rsidRPr="0046236F">
          <w:rPr>
            <w:rFonts w:asciiTheme="minorHAnsi" w:hAnsiTheme="minorHAnsi" w:cstheme="minorHAnsi"/>
            <w:color w:val="467886"/>
            <w:sz w:val="24"/>
            <w:szCs w:val="24"/>
            <w:u w:val="single"/>
            <w:lang w:val="en-US" w:eastAsia="en-GB"/>
          </w:rPr>
          <w:t>TDAG-25/40</w:t>
        </w:r>
      </w:hyperlink>
      <w:r w:rsidRPr="0046236F">
        <w:rPr>
          <w:rFonts w:asciiTheme="minorHAnsi" w:hAnsiTheme="minorHAnsi" w:cstheme="minorHAnsi"/>
          <w:sz w:val="24"/>
          <w:szCs w:val="24"/>
        </w:rPr>
        <w:t>.</w:t>
      </w:r>
    </w:p>
    <w:p w14:paraId="0355F8D4" w14:textId="77777777" w:rsidR="00617FC9" w:rsidRPr="0046236F" w:rsidRDefault="00617FC9" w:rsidP="00180FCC">
      <w:pPr>
        <w:pStyle w:val="ListParagraph"/>
        <w:numPr>
          <w:ilvl w:val="0"/>
          <w:numId w:val="71"/>
        </w:numPr>
        <w:spacing w:before="60" w:after="60"/>
        <w:ind w:left="714" w:hanging="357"/>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t xml:space="preserve">Report on the implementation of the Kigali Action Plan (KAP), WTDC-25 Document </w:t>
      </w:r>
      <w:hyperlink r:id="rId80" w:tgtFrame="_blank" w:history="1">
        <w:r w:rsidRPr="0046236F">
          <w:rPr>
            <w:rFonts w:asciiTheme="minorHAnsi" w:hAnsiTheme="minorHAnsi" w:cstheme="minorHAnsi"/>
            <w:color w:val="467886"/>
            <w:sz w:val="24"/>
            <w:szCs w:val="24"/>
            <w:u w:val="single"/>
            <w:lang w:val="en-US" w:eastAsia="en-GB"/>
          </w:rPr>
          <w:t>WTDC-25/2</w:t>
        </w:r>
      </w:hyperlink>
      <w:r w:rsidRPr="0046236F">
        <w:rPr>
          <w:rFonts w:asciiTheme="minorHAnsi" w:hAnsiTheme="minorHAnsi" w:cstheme="minorHAnsi"/>
          <w:sz w:val="24"/>
          <w:szCs w:val="24"/>
          <w:lang w:eastAsia="en-GB"/>
        </w:rPr>
        <w:t>.</w:t>
      </w:r>
    </w:p>
    <w:p w14:paraId="143784A8" w14:textId="77777777" w:rsidR="00617FC9" w:rsidRPr="0046236F" w:rsidRDefault="00617FC9" w:rsidP="00180FCC">
      <w:pPr>
        <w:pStyle w:val="ListParagraph"/>
        <w:numPr>
          <w:ilvl w:val="0"/>
          <w:numId w:val="71"/>
        </w:numPr>
        <w:spacing w:before="60" w:after="60"/>
        <w:ind w:left="714" w:hanging="357"/>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t>BDT Database of Projects</w:t>
      </w:r>
      <w:r w:rsidRPr="0046236F">
        <w:rPr>
          <w:rFonts w:asciiTheme="minorHAnsi" w:hAnsiTheme="minorHAnsi" w:cstheme="minorHAnsi"/>
          <w:sz w:val="24"/>
          <w:szCs w:val="24"/>
          <w:lang w:eastAsia="en-GB"/>
        </w:rPr>
        <w:t>.</w:t>
      </w:r>
    </w:p>
    <w:p w14:paraId="30E8D7E1" w14:textId="77777777" w:rsidR="00617FC9" w:rsidRPr="0046236F" w:rsidRDefault="00617FC9" w:rsidP="00180FCC">
      <w:pPr>
        <w:pStyle w:val="ListParagraph"/>
        <w:numPr>
          <w:ilvl w:val="0"/>
          <w:numId w:val="71"/>
        </w:numPr>
        <w:spacing w:before="60" w:after="60"/>
        <w:ind w:left="714" w:hanging="357"/>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t>BDT Database of event concept notes</w:t>
      </w:r>
      <w:r w:rsidRPr="0046236F">
        <w:rPr>
          <w:rFonts w:asciiTheme="minorHAnsi" w:hAnsiTheme="minorHAnsi" w:cstheme="minorHAnsi"/>
          <w:sz w:val="24"/>
          <w:szCs w:val="24"/>
          <w:lang w:eastAsia="en-GB"/>
        </w:rPr>
        <w:t>.</w:t>
      </w:r>
    </w:p>
    <w:p w14:paraId="6FAEAB13" w14:textId="77777777" w:rsidR="00617FC9" w:rsidRPr="0046236F" w:rsidRDefault="00617FC9" w:rsidP="00617FC9">
      <w:pPr>
        <w:pStyle w:val="Subtitle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 xml:space="preserve">Data Sources for KPI 13d </w:t>
      </w:r>
    </w:p>
    <w:p w14:paraId="1AE5FE07" w14:textId="77777777" w:rsidR="00617FC9" w:rsidRPr="0046236F" w:rsidRDefault="00617FC9" w:rsidP="00180FCC">
      <w:pPr>
        <w:pStyle w:val="ListParagraph"/>
        <w:numPr>
          <w:ilvl w:val="0"/>
          <w:numId w:val="68"/>
        </w:numPr>
        <w:spacing w:before="60" w:after="60"/>
        <w:ind w:left="714" w:hanging="357"/>
        <w:contextualSpacing w:val="0"/>
        <w:rPr>
          <w:rFonts w:asciiTheme="minorHAnsi" w:eastAsia="Times New Roman" w:hAnsiTheme="minorHAnsi" w:cstheme="minorHAnsi"/>
          <w:kern w:val="0"/>
          <w:sz w:val="24"/>
          <w:szCs w:val="24"/>
          <w:lang w:eastAsia="en-GB"/>
          <w14:ligatures w14:val="none"/>
        </w:rPr>
      </w:pPr>
      <w:r w:rsidRPr="0046236F">
        <w:rPr>
          <w:rFonts w:asciiTheme="minorHAnsi" w:eastAsia="Times New Roman" w:hAnsiTheme="minorHAnsi" w:cstheme="minorHAnsi"/>
          <w:kern w:val="0"/>
          <w:sz w:val="24"/>
          <w:szCs w:val="24"/>
          <w:lang w:val="en-US" w:eastAsia="en-GB"/>
          <w14:ligatures w14:val="none"/>
        </w:rPr>
        <w:t xml:space="preserve">Res. 1405 – Biennial budget of the ITU for 2022-2023, Council Document </w:t>
      </w:r>
      <w:hyperlink r:id="rId81" w:tgtFrame="_blank" w:history="1">
        <w:r w:rsidRPr="0046236F">
          <w:rPr>
            <w:rFonts w:asciiTheme="minorHAnsi" w:eastAsia="Times New Roman" w:hAnsiTheme="minorHAnsi" w:cstheme="minorHAnsi"/>
            <w:color w:val="467886"/>
            <w:kern w:val="0"/>
            <w:sz w:val="24"/>
            <w:szCs w:val="24"/>
            <w:u w:val="single"/>
            <w:lang w:val="en-US" w:eastAsia="en-GB"/>
            <w14:ligatures w14:val="none"/>
          </w:rPr>
          <w:t>C21/97</w:t>
        </w:r>
      </w:hyperlink>
      <w:r w:rsidRPr="0046236F">
        <w:rPr>
          <w:rFonts w:asciiTheme="minorHAnsi" w:hAnsiTheme="minorHAnsi" w:cstheme="minorHAnsi"/>
          <w:sz w:val="24"/>
          <w:szCs w:val="24"/>
        </w:rPr>
        <w:t>.</w:t>
      </w:r>
    </w:p>
    <w:p w14:paraId="044F0B6B" w14:textId="77777777" w:rsidR="00617FC9" w:rsidRPr="0046236F" w:rsidRDefault="00617FC9" w:rsidP="00180FCC">
      <w:pPr>
        <w:pStyle w:val="ListParagraph"/>
        <w:numPr>
          <w:ilvl w:val="0"/>
          <w:numId w:val="68"/>
        </w:numPr>
        <w:spacing w:before="60" w:after="60"/>
        <w:ind w:left="714" w:hanging="357"/>
        <w:contextualSpacing w:val="0"/>
        <w:rPr>
          <w:rFonts w:asciiTheme="minorHAnsi" w:eastAsia="Times New Roman" w:hAnsiTheme="minorHAnsi" w:cstheme="minorHAnsi"/>
          <w:kern w:val="0"/>
          <w:sz w:val="24"/>
          <w:szCs w:val="24"/>
          <w:lang w:eastAsia="en-GB"/>
          <w14:ligatures w14:val="none"/>
        </w:rPr>
      </w:pPr>
      <w:r w:rsidRPr="0046236F">
        <w:rPr>
          <w:rFonts w:asciiTheme="minorHAnsi" w:eastAsia="Times New Roman" w:hAnsiTheme="minorHAnsi" w:cstheme="minorHAnsi"/>
          <w:kern w:val="0"/>
          <w:sz w:val="24"/>
          <w:szCs w:val="24"/>
          <w:lang w:val="en-US" w:eastAsia="en-GB"/>
          <w14:ligatures w14:val="none"/>
        </w:rPr>
        <w:t xml:space="preserve">Res. 1417 - Biennial budget of the ITU for 2024-2025, Council Document </w:t>
      </w:r>
      <w:hyperlink r:id="rId82" w:tgtFrame="_blank" w:history="1">
        <w:r w:rsidRPr="0046236F">
          <w:rPr>
            <w:rFonts w:asciiTheme="minorHAnsi" w:eastAsia="Times New Roman" w:hAnsiTheme="minorHAnsi" w:cstheme="minorHAnsi"/>
            <w:color w:val="467886"/>
            <w:kern w:val="0"/>
            <w:sz w:val="24"/>
            <w:szCs w:val="24"/>
            <w:u w:val="single"/>
            <w:lang w:val="en-US" w:eastAsia="en-GB"/>
            <w14:ligatures w14:val="none"/>
          </w:rPr>
          <w:t>C23/115</w:t>
        </w:r>
      </w:hyperlink>
      <w:r w:rsidRPr="0046236F">
        <w:rPr>
          <w:rFonts w:asciiTheme="minorHAnsi" w:hAnsiTheme="minorHAnsi" w:cstheme="minorHAnsi"/>
          <w:sz w:val="24"/>
          <w:szCs w:val="24"/>
        </w:rPr>
        <w:t>.</w:t>
      </w:r>
    </w:p>
    <w:p w14:paraId="6775B62D" w14:textId="77777777" w:rsidR="00617FC9" w:rsidRPr="0046236F" w:rsidRDefault="00617FC9" w:rsidP="00180FCC">
      <w:pPr>
        <w:pStyle w:val="ListParagraph"/>
        <w:numPr>
          <w:ilvl w:val="0"/>
          <w:numId w:val="68"/>
        </w:numPr>
        <w:spacing w:before="60" w:after="60"/>
        <w:ind w:left="714" w:hanging="357"/>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t>Financial implications of the Regional Initiatives approved by WTDC-22 for Regional initiatives allocation for funds utilization, implementation for Regional Initiatives, TDAG Document</w:t>
      </w:r>
      <w:r w:rsidRPr="0046236F">
        <w:rPr>
          <w:rFonts w:asciiTheme="minorHAnsi" w:hAnsiTheme="minorHAnsi" w:cstheme="minorHAnsi"/>
          <w:sz w:val="24"/>
          <w:szCs w:val="24"/>
          <w:lang w:eastAsia="en-GB"/>
        </w:rPr>
        <w:t xml:space="preserve"> </w:t>
      </w:r>
      <w:hyperlink r:id="rId83" w:tgtFrame="_blank" w:history="1">
        <w:r w:rsidRPr="0046236F">
          <w:rPr>
            <w:rFonts w:asciiTheme="minorHAnsi" w:hAnsiTheme="minorHAnsi" w:cstheme="minorHAnsi"/>
            <w:color w:val="467886"/>
            <w:sz w:val="24"/>
            <w:szCs w:val="24"/>
            <w:u w:val="single"/>
            <w:lang w:val="en-US" w:eastAsia="en-GB"/>
          </w:rPr>
          <w:t>TDAG-23/2(Ann.1)</w:t>
        </w:r>
      </w:hyperlink>
      <w:r w:rsidRPr="0046236F">
        <w:rPr>
          <w:rFonts w:asciiTheme="minorHAnsi" w:hAnsiTheme="minorHAnsi" w:cstheme="minorHAnsi"/>
          <w:sz w:val="24"/>
          <w:szCs w:val="24"/>
          <w:lang w:eastAsia="en-GB"/>
        </w:rPr>
        <w:t>.</w:t>
      </w:r>
    </w:p>
    <w:p w14:paraId="29DABFEE" w14:textId="77777777" w:rsidR="00617FC9" w:rsidRPr="0046236F" w:rsidRDefault="00617FC9" w:rsidP="00180FCC">
      <w:pPr>
        <w:pStyle w:val="ListParagraph"/>
        <w:numPr>
          <w:ilvl w:val="0"/>
          <w:numId w:val="68"/>
        </w:numPr>
        <w:spacing w:before="60" w:after="60"/>
        <w:ind w:left="714" w:hanging="357"/>
        <w:contextualSpacing w:val="0"/>
        <w:rPr>
          <w:rFonts w:asciiTheme="minorHAnsi" w:eastAsia="Times New Roman" w:hAnsiTheme="minorHAnsi" w:cstheme="minorHAnsi"/>
          <w:kern w:val="0"/>
          <w:sz w:val="24"/>
          <w:szCs w:val="24"/>
          <w:lang w:val="nl-NL" w:eastAsia="en-GB"/>
          <w14:ligatures w14:val="none"/>
        </w:rPr>
      </w:pPr>
      <w:r w:rsidRPr="0046236F">
        <w:rPr>
          <w:rFonts w:asciiTheme="minorHAnsi" w:eastAsia="Times New Roman" w:hAnsiTheme="minorHAnsi" w:cstheme="minorHAnsi"/>
          <w:kern w:val="0"/>
          <w:sz w:val="24"/>
          <w:szCs w:val="24"/>
          <w:lang w:val="nl-NL" w:eastAsia="en-GB"/>
          <w14:ligatures w14:val="none"/>
        </w:rPr>
        <w:t xml:space="preserve">ITU-D projects, TDAG Document </w:t>
      </w:r>
      <w:hyperlink r:id="rId84" w:tgtFrame="_blank" w:history="1">
        <w:r w:rsidRPr="0046236F">
          <w:rPr>
            <w:rFonts w:asciiTheme="minorHAnsi" w:eastAsia="Times New Roman" w:hAnsiTheme="minorHAnsi" w:cstheme="minorHAnsi"/>
            <w:color w:val="467886"/>
            <w:kern w:val="0"/>
            <w:sz w:val="24"/>
            <w:szCs w:val="24"/>
            <w:u w:val="single"/>
            <w:lang w:val="nl-NL" w:eastAsia="en-GB"/>
            <w14:ligatures w14:val="none"/>
          </w:rPr>
          <w:t>TDAG-23/7</w:t>
        </w:r>
      </w:hyperlink>
      <w:r w:rsidRPr="0046236F">
        <w:rPr>
          <w:rFonts w:asciiTheme="minorHAnsi" w:eastAsia="Times New Roman" w:hAnsiTheme="minorHAnsi" w:cstheme="minorHAnsi"/>
          <w:kern w:val="0"/>
          <w:sz w:val="24"/>
          <w:szCs w:val="24"/>
          <w:lang w:val="nl-NL" w:eastAsia="en-GB"/>
          <w14:ligatures w14:val="none"/>
        </w:rPr>
        <w:t>.</w:t>
      </w:r>
    </w:p>
    <w:p w14:paraId="4801D04C" w14:textId="77777777" w:rsidR="00617FC9" w:rsidRPr="0046236F" w:rsidRDefault="00617FC9" w:rsidP="00180FCC">
      <w:pPr>
        <w:pStyle w:val="ListParagraph"/>
        <w:numPr>
          <w:ilvl w:val="0"/>
          <w:numId w:val="68"/>
        </w:numPr>
        <w:spacing w:before="60" w:after="60"/>
        <w:ind w:left="714" w:hanging="357"/>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t xml:space="preserve">ITU-D partnerships and resource mobilization on allocations for projects and initiatives, </w:t>
      </w:r>
      <w:r w:rsidRPr="0046236F">
        <w:rPr>
          <w:rFonts w:asciiTheme="minorHAnsi" w:hAnsiTheme="minorHAnsi" w:cstheme="minorHAnsi"/>
          <w:sz w:val="24"/>
          <w:szCs w:val="24"/>
          <w:lang w:eastAsia="en-GB"/>
        </w:rPr>
        <w:t xml:space="preserve">TDAG Document </w:t>
      </w:r>
      <w:hyperlink r:id="rId85" w:tgtFrame="_blank" w:history="1">
        <w:r w:rsidRPr="0046236F">
          <w:rPr>
            <w:rFonts w:asciiTheme="minorHAnsi" w:hAnsiTheme="minorHAnsi" w:cstheme="minorHAnsi"/>
            <w:color w:val="467886"/>
            <w:sz w:val="24"/>
            <w:szCs w:val="24"/>
            <w:u w:val="single"/>
            <w:lang w:eastAsia="en-GB"/>
          </w:rPr>
          <w:t>TDAG-24/4</w:t>
        </w:r>
      </w:hyperlink>
      <w:r w:rsidRPr="0046236F">
        <w:rPr>
          <w:rFonts w:asciiTheme="minorHAnsi" w:hAnsiTheme="minorHAnsi" w:cstheme="minorHAnsi"/>
          <w:sz w:val="24"/>
          <w:szCs w:val="24"/>
          <w:lang w:eastAsia="en-GB"/>
        </w:rPr>
        <w:t>.</w:t>
      </w:r>
    </w:p>
    <w:p w14:paraId="08A0CE5A" w14:textId="77777777" w:rsidR="00617FC9" w:rsidRPr="0046236F" w:rsidRDefault="00617FC9" w:rsidP="00180FCC">
      <w:pPr>
        <w:pStyle w:val="ListParagraph"/>
        <w:numPr>
          <w:ilvl w:val="0"/>
          <w:numId w:val="68"/>
        </w:numPr>
        <w:spacing w:before="60" w:after="60"/>
        <w:ind w:left="714" w:hanging="357"/>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t>BDT OP system to track WTDC Action Plans</w:t>
      </w:r>
      <w:r w:rsidRPr="0046236F">
        <w:rPr>
          <w:rFonts w:asciiTheme="minorHAnsi" w:hAnsiTheme="minorHAnsi" w:cstheme="minorHAnsi"/>
          <w:sz w:val="24"/>
          <w:szCs w:val="24"/>
          <w:lang w:eastAsia="en-GB"/>
        </w:rPr>
        <w:t>.</w:t>
      </w:r>
    </w:p>
    <w:p w14:paraId="1C1904E6" w14:textId="77777777" w:rsidR="00617FC9" w:rsidRPr="0046236F" w:rsidRDefault="00617FC9" w:rsidP="00617FC9">
      <w:pPr>
        <w:pStyle w:val="Subtitle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 xml:space="preserve">Data Sources for KPI 13e </w:t>
      </w:r>
    </w:p>
    <w:p w14:paraId="06DDB9DC" w14:textId="77777777" w:rsidR="00617FC9" w:rsidRPr="0046236F" w:rsidRDefault="00617FC9" w:rsidP="00BC7ABA">
      <w:pPr>
        <w:pStyle w:val="ListParagraph"/>
        <w:numPr>
          <w:ilvl w:val="0"/>
          <w:numId w:val="69"/>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t>Information from BDT IT Support team</w:t>
      </w:r>
      <w:r w:rsidRPr="0046236F">
        <w:rPr>
          <w:rFonts w:asciiTheme="minorHAnsi" w:hAnsiTheme="minorHAnsi" w:cstheme="minorHAnsi"/>
          <w:sz w:val="24"/>
          <w:szCs w:val="24"/>
          <w:lang w:eastAsia="en-GB"/>
        </w:rPr>
        <w:t>.</w:t>
      </w:r>
    </w:p>
    <w:p w14:paraId="032FD949" w14:textId="77777777" w:rsidR="00617FC9" w:rsidRPr="0046236F" w:rsidRDefault="00617FC9" w:rsidP="00BC7ABA">
      <w:pPr>
        <w:pStyle w:val="ListParagraph"/>
        <w:numPr>
          <w:ilvl w:val="0"/>
          <w:numId w:val="69"/>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t>Information from BDT Registration</w:t>
      </w:r>
      <w:r w:rsidRPr="0046236F">
        <w:rPr>
          <w:rFonts w:asciiTheme="minorHAnsi" w:hAnsiTheme="minorHAnsi" w:cstheme="minorHAnsi"/>
          <w:sz w:val="24"/>
          <w:szCs w:val="24"/>
          <w:lang w:eastAsia="en-GB"/>
        </w:rPr>
        <w:t>.</w:t>
      </w:r>
    </w:p>
    <w:p w14:paraId="5DAF6703" w14:textId="77777777" w:rsidR="00617FC9" w:rsidRPr="0046236F" w:rsidRDefault="00617FC9" w:rsidP="00617FC9">
      <w:pPr>
        <w:pStyle w:val="Subtitle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 xml:space="preserve">Data Sources for KPI 13h </w:t>
      </w:r>
    </w:p>
    <w:p w14:paraId="2D0FBF5A" w14:textId="77777777" w:rsidR="00617FC9" w:rsidRPr="0046236F" w:rsidRDefault="00617FC9" w:rsidP="00180FCC">
      <w:pPr>
        <w:pStyle w:val="ListParagraph"/>
        <w:numPr>
          <w:ilvl w:val="0"/>
          <w:numId w:val="70"/>
        </w:numPr>
        <w:spacing w:before="60" w:after="60"/>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t>Information from ITU legal team on contracts and other agreements for each regional and area office</w:t>
      </w:r>
      <w:r w:rsidRPr="0046236F">
        <w:rPr>
          <w:rFonts w:asciiTheme="minorHAnsi" w:hAnsiTheme="minorHAnsi" w:cstheme="minorHAnsi"/>
          <w:sz w:val="24"/>
          <w:szCs w:val="24"/>
          <w:lang w:eastAsia="en-GB"/>
        </w:rPr>
        <w:t>.</w:t>
      </w:r>
    </w:p>
    <w:p w14:paraId="502CA155" w14:textId="77777777" w:rsidR="00617FC9" w:rsidRPr="0046236F" w:rsidRDefault="00617FC9" w:rsidP="00180FCC">
      <w:pPr>
        <w:pStyle w:val="ListParagraph"/>
        <w:numPr>
          <w:ilvl w:val="0"/>
          <w:numId w:val="70"/>
        </w:numPr>
        <w:spacing w:before="60" w:after="60"/>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t xml:space="preserve">Strengthening the Regional Presence - Criteria for Establishing Future Area Offices, Council 2024 Document </w:t>
      </w:r>
      <w:hyperlink r:id="rId86" w:tgtFrame="_blank" w:history="1">
        <w:r w:rsidRPr="0046236F">
          <w:rPr>
            <w:rFonts w:asciiTheme="minorHAnsi" w:hAnsiTheme="minorHAnsi" w:cstheme="minorHAnsi"/>
            <w:color w:val="467886"/>
            <w:sz w:val="24"/>
            <w:szCs w:val="24"/>
            <w:u w:val="single"/>
            <w:lang w:val="en-US" w:eastAsia="en-GB"/>
          </w:rPr>
          <w:t>C24/66</w:t>
        </w:r>
      </w:hyperlink>
      <w:r w:rsidRPr="0046236F">
        <w:rPr>
          <w:rFonts w:asciiTheme="minorHAnsi" w:hAnsiTheme="minorHAnsi" w:cstheme="minorHAnsi"/>
          <w:sz w:val="24"/>
          <w:szCs w:val="24"/>
          <w:lang w:val="en-US" w:eastAsia="en-GB"/>
        </w:rPr>
        <w:t xml:space="preserve"> &amp; Council Working Group 2023 Document </w:t>
      </w:r>
      <w:hyperlink r:id="rId87" w:tgtFrame="_blank" w:history="1">
        <w:r w:rsidRPr="0046236F">
          <w:rPr>
            <w:rFonts w:asciiTheme="minorHAnsi" w:hAnsiTheme="minorHAnsi" w:cstheme="minorHAnsi"/>
            <w:color w:val="467886"/>
            <w:sz w:val="24"/>
            <w:szCs w:val="24"/>
            <w:u w:val="single"/>
            <w:lang w:val="en-US" w:eastAsia="en-GB"/>
          </w:rPr>
          <w:t>CWG-FHR-16/10</w:t>
        </w:r>
      </w:hyperlink>
      <w:r w:rsidRPr="0046236F">
        <w:rPr>
          <w:rFonts w:asciiTheme="minorHAnsi" w:hAnsiTheme="minorHAnsi" w:cstheme="minorHAnsi"/>
          <w:color w:val="467886"/>
          <w:sz w:val="24"/>
          <w:szCs w:val="24"/>
          <w:lang w:eastAsia="en-GB"/>
        </w:rPr>
        <w:t>.</w:t>
      </w:r>
    </w:p>
    <w:p w14:paraId="5B361836" w14:textId="4F87CA5E" w:rsidR="00617FC9" w:rsidRPr="0046236F" w:rsidRDefault="00617FC9" w:rsidP="00180FCC">
      <w:pPr>
        <w:pStyle w:val="ListParagraph"/>
        <w:numPr>
          <w:ilvl w:val="0"/>
          <w:numId w:val="70"/>
        </w:numPr>
        <w:spacing w:before="60" w:after="60"/>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t>Needs Assessment and Situation Analysis: Addressing the special telecommunications/</w:t>
      </w:r>
      <w:r w:rsidR="00244FCE">
        <w:rPr>
          <w:rFonts w:asciiTheme="minorHAnsi" w:hAnsiTheme="minorHAnsi" w:cstheme="minorHAnsi"/>
          <w:sz w:val="24"/>
          <w:szCs w:val="24"/>
          <w:lang w:val="en-US" w:eastAsia="en-GB"/>
        </w:rPr>
        <w:t xml:space="preserve"> </w:t>
      </w:r>
      <w:r w:rsidRPr="0046236F">
        <w:rPr>
          <w:rFonts w:asciiTheme="minorHAnsi" w:hAnsiTheme="minorHAnsi" w:cstheme="minorHAnsi"/>
          <w:sz w:val="24"/>
          <w:szCs w:val="24"/>
          <w:lang w:val="en-US" w:eastAsia="en-GB"/>
        </w:rPr>
        <w:t>ICT needs of Pacific Small Island Developing States.</w:t>
      </w:r>
    </w:p>
    <w:p w14:paraId="454BC3C2" w14:textId="77777777" w:rsidR="00617FC9" w:rsidRPr="0046236F" w:rsidRDefault="00617FC9" w:rsidP="00180FCC">
      <w:pPr>
        <w:pStyle w:val="ListParagraph"/>
        <w:numPr>
          <w:ilvl w:val="0"/>
          <w:numId w:val="70"/>
        </w:numPr>
        <w:spacing w:before="60" w:after="60"/>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val="en-US" w:eastAsia="en-GB"/>
        </w:rPr>
        <w:t>Draft Feasibility study: ITU presence in the Pacific Small Island Developing States.</w:t>
      </w:r>
    </w:p>
    <w:p w14:paraId="06A1B1C9" w14:textId="77777777" w:rsidR="00617FC9" w:rsidRPr="0046236F" w:rsidRDefault="00617FC9" w:rsidP="00617FC9">
      <w:pPr>
        <w:pStyle w:val="Subtitle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 xml:space="preserve">Supplementary Information from Document Analysis </w:t>
      </w:r>
    </w:p>
    <w:p w14:paraId="042E2A5D" w14:textId="77777777" w:rsidR="00617FC9" w:rsidRPr="0046236F" w:rsidRDefault="00617FC9" w:rsidP="00BC7ABA">
      <w:pPr>
        <w:pStyle w:val="ListParagraph"/>
        <w:keepNext/>
        <w:numPr>
          <w:ilvl w:val="0"/>
          <w:numId w:val="26"/>
        </w:numPr>
        <w:spacing w:before="60" w:after="60"/>
        <w:contextualSpacing w:val="0"/>
        <w:jc w:val="both"/>
        <w:rPr>
          <w:rFonts w:asciiTheme="minorHAnsi" w:hAnsiTheme="minorHAnsi" w:cstheme="minorHAnsi"/>
          <w:b/>
          <w:sz w:val="24"/>
          <w:szCs w:val="24"/>
          <w:lang w:eastAsia="en-GB"/>
        </w:rPr>
      </w:pPr>
      <w:r w:rsidRPr="0046236F">
        <w:rPr>
          <w:rFonts w:asciiTheme="minorHAnsi" w:hAnsiTheme="minorHAnsi" w:cstheme="minorHAnsi"/>
          <w:b/>
          <w:sz w:val="24"/>
          <w:szCs w:val="24"/>
          <w:lang w:eastAsia="en-GB"/>
        </w:rPr>
        <w:t xml:space="preserve">Tables and Charts on staff and budget distribution </w:t>
      </w:r>
    </w:p>
    <w:p w14:paraId="7A1BEA0E" w14:textId="77777777" w:rsidR="00617FC9" w:rsidRPr="0046236F" w:rsidRDefault="00617FC9" w:rsidP="00180FCC">
      <w:pPr>
        <w:pStyle w:val="Subtitle0"/>
        <w:spacing w:after="120"/>
        <w:jc w:val="center"/>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Overall ITU Staff Distribution</w:t>
      </w:r>
    </w:p>
    <w:tbl>
      <w:tblPr>
        <w:tblW w:w="0" w:type="dxa"/>
        <w:tblInd w:w="5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5"/>
        <w:gridCol w:w="1245"/>
        <w:gridCol w:w="1245"/>
        <w:gridCol w:w="1245"/>
        <w:gridCol w:w="1245"/>
        <w:gridCol w:w="1245"/>
      </w:tblGrid>
      <w:tr w:rsidR="00617FC9" w:rsidRPr="00986D12" w14:paraId="1977D3B0" w14:textId="77777777" w:rsidTr="00696175">
        <w:trPr>
          <w:trHeight w:val="270"/>
        </w:trPr>
        <w:tc>
          <w:tcPr>
            <w:tcW w:w="1245" w:type="dxa"/>
            <w:tcBorders>
              <w:top w:val="single" w:sz="6" w:space="0" w:color="FFFFFF"/>
              <w:left w:val="single" w:sz="6" w:space="0" w:color="FFFFFF"/>
              <w:bottom w:val="single" w:sz="6" w:space="0" w:color="FFFFFF"/>
              <w:right w:val="single" w:sz="6" w:space="0" w:color="FFFFFF"/>
            </w:tcBorders>
            <w:shd w:val="clear" w:color="auto" w:fill="45B0E1"/>
            <w:hideMark/>
          </w:tcPr>
          <w:p w14:paraId="1BEF04BD" w14:textId="77777777" w:rsidR="00617FC9" w:rsidRPr="00986D12" w:rsidRDefault="00617FC9" w:rsidP="00696175">
            <w:pPr>
              <w:pStyle w:val="Tabletitle0"/>
              <w:keepNext/>
              <w:jc w:val="center"/>
              <w:rPr>
                <w:rFonts w:asciiTheme="minorHAnsi" w:hAnsiTheme="minorHAnsi" w:cstheme="minorHAnsi"/>
                <w:color w:val="FFFFFF" w:themeColor="background1"/>
                <w:lang w:eastAsia="en-GB"/>
              </w:rPr>
            </w:pPr>
            <w:r w:rsidRPr="00986D12">
              <w:rPr>
                <w:rFonts w:asciiTheme="minorHAnsi" w:hAnsiTheme="minorHAnsi" w:cstheme="minorHAnsi"/>
                <w:color w:val="FFFFFF" w:themeColor="background1"/>
                <w:lang w:eastAsia="en-GB"/>
              </w:rPr>
              <w:t>Grades</w:t>
            </w:r>
          </w:p>
        </w:tc>
        <w:tc>
          <w:tcPr>
            <w:tcW w:w="1245" w:type="dxa"/>
            <w:tcBorders>
              <w:top w:val="single" w:sz="6" w:space="0" w:color="FFFFFF"/>
              <w:left w:val="single" w:sz="6" w:space="0" w:color="FFFFFF"/>
              <w:bottom w:val="single" w:sz="6" w:space="0" w:color="FFFFFF"/>
              <w:right w:val="single" w:sz="6" w:space="0" w:color="FFFFFF"/>
            </w:tcBorders>
            <w:shd w:val="clear" w:color="auto" w:fill="45B0E1"/>
            <w:hideMark/>
          </w:tcPr>
          <w:p w14:paraId="3B957EA2" w14:textId="77777777" w:rsidR="00617FC9" w:rsidRPr="00986D12" w:rsidRDefault="00617FC9" w:rsidP="00696175">
            <w:pPr>
              <w:pStyle w:val="Tabletitle0"/>
              <w:keepNext/>
              <w:jc w:val="center"/>
              <w:rPr>
                <w:rFonts w:asciiTheme="minorHAnsi" w:hAnsiTheme="minorHAnsi" w:cstheme="minorHAnsi"/>
                <w:color w:val="FFFFFF" w:themeColor="background1"/>
                <w:lang w:eastAsia="en-GB"/>
              </w:rPr>
            </w:pPr>
            <w:r w:rsidRPr="00986D12">
              <w:rPr>
                <w:rFonts w:asciiTheme="minorHAnsi" w:hAnsiTheme="minorHAnsi" w:cstheme="minorHAnsi"/>
                <w:color w:val="FFFFFF" w:themeColor="background1"/>
                <w:lang w:eastAsia="en-GB"/>
              </w:rPr>
              <w:t>Field</w:t>
            </w:r>
          </w:p>
        </w:tc>
        <w:tc>
          <w:tcPr>
            <w:tcW w:w="1245" w:type="dxa"/>
            <w:tcBorders>
              <w:top w:val="single" w:sz="6" w:space="0" w:color="FFFFFF"/>
              <w:left w:val="single" w:sz="6" w:space="0" w:color="FFFFFF"/>
              <w:bottom w:val="single" w:sz="6" w:space="0" w:color="FFFFFF"/>
              <w:right w:val="single" w:sz="6" w:space="0" w:color="FFFFFF"/>
            </w:tcBorders>
            <w:shd w:val="clear" w:color="auto" w:fill="45B0E1"/>
            <w:hideMark/>
          </w:tcPr>
          <w:p w14:paraId="7127DAA0" w14:textId="77777777" w:rsidR="00617FC9" w:rsidRPr="00986D12" w:rsidRDefault="00617FC9" w:rsidP="00696175">
            <w:pPr>
              <w:pStyle w:val="Tabletitle0"/>
              <w:keepNext/>
              <w:jc w:val="center"/>
              <w:rPr>
                <w:rFonts w:asciiTheme="minorHAnsi" w:hAnsiTheme="minorHAnsi" w:cstheme="minorHAnsi"/>
                <w:color w:val="FFFFFF" w:themeColor="background1"/>
                <w:lang w:eastAsia="en-GB"/>
              </w:rPr>
            </w:pPr>
            <w:r w:rsidRPr="00986D12">
              <w:rPr>
                <w:rFonts w:asciiTheme="minorHAnsi" w:hAnsiTheme="minorHAnsi" w:cstheme="minorHAnsi"/>
                <w:color w:val="FFFFFF" w:themeColor="background1"/>
                <w:lang w:eastAsia="en-GB"/>
              </w:rPr>
              <w:t>BDT  </w:t>
            </w:r>
          </w:p>
        </w:tc>
        <w:tc>
          <w:tcPr>
            <w:tcW w:w="1245" w:type="dxa"/>
            <w:tcBorders>
              <w:top w:val="single" w:sz="6" w:space="0" w:color="FFFFFF"/>
              <w:left w:val="single" w:sz="6" w:space="0" w:color="FFFFFF"/>
              <w:bottom w:val="single" w:sz="6" w:space="0" w:color="FFFFFF"/>
              <w:right w:val="single" w:sz="6" w:space="0" w:color="FFFFFF"/>
            </w:tcBorders>
            <w:shd w:val="clear" w:color="auto" w:fill="45B0E1"/>
            <w:hideMark/>
          </w:tcPr>
          <w:p w14:paraId="20FB1ACC" w14:textId="77777777" w:rsidR="00617FC9" w:rsidRPr="00986D12" w:rsidRDefault="00617FC9" w:rsidP="00696175">
            <w:pPr>
              <w:pStyle w:val="Tabletitle0"/>
              <w:keepNext/>
              <w:jc w:val="center"/>
              <w:rPr>
                <w:rFonts w:asciiTheme="minorHAnsi" w:hAnsiTheme="minorHAnsi" w:cstheme="minorHAnsi"/>
                <w:color w:val="FFFFFF" w:themeColor="background1"/>
                <w:lang w:eastAsia="en-GB"/>
              </w:rPr>
            </w:pPr>
            <w:r w:rsidRPr="00986D12">
              <w:rPr>
                <w:rFonts w:asciiTheme="minorHAnsi" w:hAnsiTheme="minorHAnsi" w:cstheme="minorHAnsi"/>
                <w:color w:val="FFFFFF" w:themeColor="background1"/>
                <w:lang w:eastAsia="en-GB"/>
              </w:rPr>
              <w:t>TSB </w:t>
            </w:r>
          </w:p>
        </w:tc>
        <w:tc>
          <w:tcPr>
            <w:tcW w:w="1245" w:type="dxa"/>
            <w:tcBorders>
              <w:top w:val="single" w:sz="6" w:space="0" w:color="FFFFFF"/>
              <w:left w:val="single" w:sz="6" w:space="0" w:color="FFFFFF"/>
              <w:bottom w:val="single" w:sz="6" w:space="0" w:color="FFFFFF"/>
              <w:right w:val="single" w:sz="6" w:space="0" w:color="FFFFFF"/>
            </w:tcBorders>
            <w:shd w:val="clear" w:color="auto" w:fill="45B0E1"/>
            <w:hideMark/>
          </w:tcPr>
          <w:p w14:paraId="5C3FC286" w14:textId="77777777" w:rsidR="00617FC9" w:rsidRPr="00986D12" w:rsidRDefault="00617FC9" w:rsidP="00696175">
            <w:pPr>
              <w:pStyle w:val="Tabletitle0"/>
              <w:keepNext/>
              <w:jc w:val="center"/>
              <w:rPr>
                <w:rFonts w:asciiTheme="minorHAnsi" w:hAnsiTheme="minorHAnsi" w:cstheme="minorHAnsi"/>
                <w:color w:val="FFFFFF" w:themeColor="background1"/>
                <w:lang w:eastAsia="en-GB"/>
              </w:rPr>
            </w:pPr>
            <w:r w:rsidRPr="00986D12">
              <w:rPr>
                <w:rFonts w:asciiTheme="minorHAnsi" w:hAnsiTheme="minorHAnsi" w:cstheme="minorHAnsi"/>
                <w:color w:val="FFFFFF" w:themeColor="background1"/>
                <w:lang w:eastAsia="en-GB"/>
              </w:rPr>
              <w:t>BR </w:t>
            </w:r>
          </w:p>
        </w:tc>
        <w:tc>
          <w:tcPr>
            <w:tcW w:w="1245" w:type="dxa"/>
            <w:tcBorders>
              <w:top w:val="single" w:sz="6" w:space="0" w:color="FFFFFF"/>
              <w:left w:val="single" w:sz="6" w:space="0" w:color="FFFFFF"/>
              <w:bottom w:val="single" w:sz="6" w:space="0" w:color="FFFFFF"/>
              <w:right w:val="single" w:sz="6" w:space="0" w:color="FFFFFF"/>
            </w:tcBorders>
            <w:shd w:val="clear" w:color="auto" w:fill="45B0E1"/>
            <w:hideMark/>
          </w:tcPr>
          <w:p w14:paraId="15167449" w14:textId="77777777" w:rsidR="00617FC9" w:rsidRPr="00986D12" w:rsidRDefault="00617FC9" w:rsidP="00696175">
            <w:pPr>
              <w:pStyle w:val="Tabletitle0"/>
              <w:keepNext/>
              <w:jc w:val="center"/>
              <w:rPr>
                <w:rFonts w:asciiTheme="minorHAnsi" w:hAnsiTheme="minorHAnsi" w:cstheme="minorHAnsi"/>
                <w:color w:val="FFFFFF" w:themeColor="background1"/>
                <w:lang w:eastAsia="en-GB"/>
              </w:rPr>
            </w:pPr>
            <w:r w:rsidRPr="00986D12">
              <w:rPr>
                <w:rFonts w:asciiTheme="minorHAnsi" w:hAnsiTheme="minorHAnsi" w:cstheme="minorHAnsi"/>
                <w:color w:val="FFFFFF" w:themeColor="background1"/>
                <w:lang w:eastAsia="en-GB"/>
              </w:rPr>
              <w:t>GS </w:t>
            </w:r>
          </w:p>
        </w:tc>
      </w:tr>
      <w:tr w:rsidR="00617FC9" w:rsidRPr="00986D12" w14:paraId="7B88A653" w14:textId="77777777" w:rsidTr="00696175">
        <w:trPr>
          <w:trHeight w:val="270"/>
        </w:trPr>
        <w:tc>
          <w:tcPr>
            <w:tcW w:w="1245" w:type="dxa"/>
            <w:tcBorders>
              <w:top w:val="single" w:sz="6" w:space="0" w:color="FFFFFF"/>
              <w:left w:val="single" w:sz="6" w:space="0" w:color="FFFFFF"/>
              <w:bottom w:val="single" w:sz="6" w:space="0" w:color="FFFFFF"/>
              <w:right w:val="single" w:sz="6" w:space="0" w:color="FFFFFF"/>
            </w:tcBorders>
            <w:shd w:val="clear" w:color="auto" w:fill="C1E4F5"/>
            <w:hideMark/>
          </w:tcPr>
          <w:p w14:paraId="2500BF23"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D</w:t>
            </w:r>
          </w:p>
        </w:tc>
        <w:tc>
          <w:tcPr>
            <w:tcW w:w="1245" w:type="dxa"/>
            <w:tcBorders>
              <w:top w:val="single" w:sz="6" w:space="0" w:color="FFFFFF"/>
              <w:left w:val="single" w:sz="6" w:space="0" w:color="FFFFFF"/>
              <w:bottom w:val="single" w:sz="6" w:space="0" w:color="FFFFFF"/>
              <w:right w:val="single" w:sz="6" w:space="0" w:color="FFFFFF"/>
            </w:tcBorders>
            <w:shd w:val="clear" w:color="auto" w:fill="C1E4F5"/>
            <w:hideMark/>
          </w:tcPr>
          <w:p w14:paraId="28B15E09"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5</w:t>
            </w:r>
          </w:p>
        </w:tc>
        <w:tc>
          <w:tcPr>
            <w:tcW w:w="1245" w:type="dxa"/>
            <w:tcBorders>
              <w:top w:val="single" w:sz="6" w:space="0" w:color="FFFFFF"/>
              <w:left w:val="single" w:sz="6" w:space="0" w:color="FFFFFF"/>
              <w:bottom w:val="single" w:sz="6" w:space="0" w:color="FFFFFF"/>
              <w:right w:val="single" w:sz="6" w:space="0" w:color="FFFFFF"/>
            </w:tcBorders>
            <w:shd w:val="clear" w:color="auto" w:fill="C1E4F5"/>
            <w:hideMark/>
          </w:tcPr>
          <w:p w14:paraId="37713B37"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8</w:t>
            </w:r>
          </w:p>
        </w:tc>
        <w:tc>
          <w:tcPr>
            <w:tcW w:w="1245" w:type="dxa"/>
            <w:tcBorders>
              <w:top w:val="single" w:sz="6" w:space="0" w:color="FFFFFF"/>
              <w:left w:val="single" w:sz="6" w:space="0" w:color="FFFFFF"/>
              <w:bottom w:val="single" w:sz="6" w:space="0" w:color="FFFFFF"/>
              <w:right w:val="single" w:sz="6" w:space="0" w:color="FFFFFF"/>
            </w:tcBorders>
            <w:shd w:val="clear" w:color="auto" w:fill="C1E4F5"/>
            <w:hideMark/>
          </w:tcPr>
          <w:p w14:paraId="0DF96C73"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3</w:t>
            </w:r>
          </w:p>
        </w:tc>
        <w:tc>
          <w:tcPr>
            <w:tcW w:w="1245" w:type="dxa"/>
            <w:tcBorders>
              <w:top w:val="single" w:sz="6" w:space="0" w:color="FFFFFF"/>
              <w:left w:val="single" w:sz="6" w:space="0" w:color="FFFFFF"/>
              <w:bottom w:val="single" w:sz="6" w:space="0" w:color="FFFFFF"/>
              <w:right w:val="single" w:sz="6" w:space="0" w:color="FFFFFF"/>
            </w:tcBorders>
            <w:shd w:val="clear" w:color="auto" w:fill="C1E4F5"/>
            <w:hideMark/>
          </w:tcPr>
          <w:p w14:paraId="34C2257C"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4</w:t>
            </w:r>
          </w:p>
        </w:tc>
        <w:tc>
          <w:tcPr>
            <w:tcW w:w="1245" w:type="dxa"/>
            <w:tcBorders>
              <w:top w:val="single" w:sz="6" w:space="0" w:color="FFFFFF"/>
              <w:left w:val="single" w:sz="6" w:space="0" w:color="FFFFFF"/>
              <w:bottom w:val="single" w:sz="6" w:space="0" w:color="FFFFFF"/>
              <w:right w:val="single" w:sz="6" w:space="0" w:color="FFFFFF"/>
            </w:tcBorders>
            <w:shd w:val="clear" w:color="auto" w:fill="C1E4F5"/>
            <w:hideMark/>
          </w:tcPr>
          <w:p w14:paraId="1724D83F"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9</w:t>
            </w:r>
          </w:p>
        </w:tc>
      </w:tr>
      <w:tr w:rsidR="00617FC9" w:rsidRPr="00986D12" w14:paraId="744FD802" w14:textId="77777777" w:rsidTr="00696175">
        <w:trPr>
          <w:trHeight w:val="315"/>
        </w:trPr>
        <w:tc>
          <w:tcPr>
            <w:tcW w:w="1245" w:type="dxa"/>
            <w:tcBorders>
              <w:top w:val="single" w:sz="6" w:space="0" w:color="FFFFFF"/>
              <w:left w:val="single" w:sz="6" w:space="0" w:color="FFFFFF"/>
              <w:bottom w:val="single" w:sz="6" w:space="0" w:color="FFFFFF"/>
              <w:right w:val="single" w:sz="6" w:space="0" w:color="FFFFFF"/>
            </w:tcBorders>
            <w:hideMark/>
          </w:tcPr>
          <w:p w14:paraId="4461BC42"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P</w:t>
            </w:r>
          </w:p>
        </w:tc>
        <w:tc>
          <w:tcPr>
            <w:tcW w:w="1245" w:type="dxa"/>
            <w:tcBorders>
              <w:top w:val="single" w:sz="6" w:space="0" w:color="FFFFFF"/>
              <w:left w:val="single" w:sz="6" w:space="0" w:color="FFFFFF"/>
              <w:bottom w:val="single" w:sz="6" w:space="0" w:color="FFFFFF"/>
              <w:right w:val="single" w:sz="6" w:space="0" w:color="FFFFFF"/>
            </w:tcBorders>
            <w:hideMark/>
          </w:tcPr>
          <w:p w14:paraId="747FFE6C"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41</w:t>
            </w:r>
          </w:p>
        </w:tc>
        <w:tc>
          <w:tcPr>
            <w:tcW w:w="1245" w:type="dxa"/>
            <w:tcBorders>
              <w:top w:val="single" w:sz="6" w:space="0" w:color="FFFFFF"/>
              <w:left w:val="single" w:sz="6" w:space="0" w:color="FFFFFF"/>
              <w:bottom w:val="single" w:sz="6" w:space="0" w:color="FFFFFF"/>
              <w:right w:val="single" w:sz="6" w:space="0" w:color="FFFFFF"/>
            </w:tcBorders>
            <w:hideMark/>
          </w:tcPr>
          <w:p w14:paraId="6D507C41"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112</w:t>
            </w:r>
          </w:p>
        </w:tc>
        <w:tc>
          <w:tcPr>
            <w:tcW w:w="1245" w:type="dxa"/>
            <w:tcBorders>
              <w:top w:val="single" w:sz="6" w:space="0" w:color="FFFFFF"/>
              <w:left w:val="single" w:sz="6" w:space="0" w:color="FFFFFF"/>
              <w:bottom w:val="single" w:sz="6" w:space="0" w:color="FFFFFF"/>
              <w:right w:val="single" w:sz="6" w:space="0" w:color="FFFFFF"/>
            </w:tcBorders>
            <w:hideMark/>
          </w:tcPr>
          <w:p w14:paraId="43BBAFBE"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53</w:t>
            </w:r>
          </w:p>
        </w:tc>
        <w:tc>
          <w:tcPr>
            <w:tcW w:w="1245" w:type="dxa"/>
            <w:tcBorders>
              <w:top w:val="single" w:sz="6" w:space="0" w:color="FFFFFF"/>
              <w:left w:val="single" w:sz="6" w:space="0" w:color="FFFFFF"/>
              <w:bottom w:val="single" w:sz="6" w:space="0" w:color="FFFFFF"/>
              <w:right w:val="single" w:sz="6" w:space="0" w:color="FFFFFF"/>
            </w:tcBorders>
            <w:hideMark/>
          </w:tcPr>
          <w:p w14:paraId="1251D5AE"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96</w:t>
            </w:r>
          </w:p>
        </w:tc>
        <w:tc>
          <w:tcPr>
            <w:tcW w:w="1245" w:type="dxa"/>
            <w:tcBorders>
              <w:top w:val="single" w:sz="6" w:space="0" w:color="FFFFFF"/>
              <w:left w:val="single" w:sz="6" w:space="0" w:color="FFFFFF"/>
              <w:bottom w:val="single" w:sz="6" w:space="0" w:color="FFFFFF"/>
              <w:right w:val="single" w:sz="6" w:space="0" w:color="FFFFFF"/>
            </w:tcBorders>
            <w:hideMark/>
          </w:tcPr>
          <w:p w14:paraId="687F3CE4"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188</w:t>
            </w:r>
          </w:p>
        </w:tc>
      </w:tr>
      <w:tr w:rsidR="00617FC9" w:rsidRPr="00986D12" w14:paraId="7A6142E5" w14:textId="77777777" w:rsidTr="00696175">
        <w:trPr>
          <w:trHeight w:val="270"/>
        </w:trPr>
        <w:tc>
          <w:tcPr>
            <w:tcW w:w="1245" w:type="dxa"/>
            <w:tcBorders>
              <w:top w:val="single" w:sz="6" w:space="0" w:color="FFFFFF"/>
              <w:left w:val="single" w:sz="6" w:space="0" w:color="FFFFFF"/>
              <w:bottom w:val="single" w:sz="6" w:space="0" w:color="FFFFFF"/>
              <w:right w:val="single" w:sz="6" w:space="0" w:color="FFFFFF"/>
            </w:tcBorders>
            <w:shd w:val="clear" w:color="auto" w:fill="C1E4F5"/>
            <w:hideMark/>
          </w:tcPr>
          <w:p w14:paraId="361EB51F"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G</w:t>
            </w:r>
          </w:p>
        </w:tc>
        <w:tc>
          <w:tcPr>
            <w:tcW w:w="1245" w:type="dxa"/>
            <w:tcBorders>
              <w:top w:val="single" w:sz="6" w:space="0" w:color="FFFFFF"/>
              <w:left w:val="single" w:sz="6" w:space="0" w:color="FFFFFF"/>
              <w:bottom w:val="single" w:sz="6" w:space="0" w:color="FFFFFF"/>
              <w:right w:val="single" w:sz="6" w:space="0" w:color="FFFFFF"/>
            </w:tcBorders>
            <w:shd w:val="clear" w:color="auto" w:fill="C1E4F5"/>
            <w:hideMark/>
          </w:tcPr>
          <w:p w14:paraId="53172B6B"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15</w:t>
            </w:r>
          </w:p>
        </w:tc>
        <w:tc>
          <w:tcPr>
            <w:tcW w:w="1245" w:type="dxa"/>
            <w:tcBorders>
              <w:top w:val="single" w:sz="6" w:space="0" w:color="FFFFFF"/>
              <w:left w:val="single" w:sz="6" w:space="0" w:color="FFFFFF"/>
              <w:bottom w:val="single" w:sz="6" w:space="0" w:color="FFFFFF"/>
              <w:right w:val="single" w:sz="6" w:space="0" w:color="FFFFFF"/>
            </w:tcBorders>
            <w:shd w:val="clear" w:color="auto" w:fill="C1E4F5"/>
            <w:hideMark/>
          </w:tcPr>
          <w:p w14:paraId="3AE99AD0"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33</w:t>
            </w:r>
          </w:p>
        </w:tc>
        <w:tc>
          <w:tcPr>
            <w:tcW w:w="1245" w:type="dxa"/>
            <w:tcBorders>
              <w:top w:val="single" w:sz="6" w:space="0" w:color="FFFFFF"/>
              <w:left w:val="single" w:sz="6" w:space="0" w:color="FFFFFF"/>
              <w:bottom w:val="single" w:sz="6" w:space="0" w:color="FFFFFF"/>
              <w:right w:val="single" w:sz="6" w:space="0" w:color="FFFFFF"/>
            </w:tcBorders>
            <w:shd w:val="clear" w:color="auto" w:fill="C1E4F5"/>
            <w:hideMark/>
          </w:tcPr>
          <w:p w14:paraId="2EE4E977"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18</w:t>
            </w:r>
          </w:p>
        </w:tc>
        <w:tc>
          <w:tcPr>
            <w:tcW w:w="1245" w:type="dxa"/>
            <w:tcBorders>
              <w:top w:val="single" w:sz="6" w:space="0" w:color="FFFFFF"/>
              <w:left w:val="single" w:sz="6" w:space="0" w:color="FFFFFF"/>
              <w:bottom w:val="single" w:sz="6" w:space="0" w:color="FFFFFF"/>
              <w:right w:val="single" w:sz="6" w:space="0" w:color="FFFFFF"/>
            </w:tcBorders>
            <w:shd w:val="clear" w:color="auto" w:fill="C1E4F5"/>
            <w:hideMark/>
          </w:tcPr>
          <w:p w14:paraId="1EDD5426"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41</w:t>
            </w:r>
          </w:p>
        </w:tc>
        <w:tc>
          <w:tcPr>
            <w:tcW w:w="1245" w:type="dxa"/>
            <w:tcBorders>
              <w:top w:val="single" w:sz="6" w:space="0" w:color="FFFFFF"/>
              <w:left w:val="single" w:sz="6" w:space="0" w:color="FFFFFF"/>
              <w:bottom w:val="single" w:sz="6" w:space="0" w:color="FFFFFF"/>
              <w:right w:val="single" w:sz="6" w:space="0" w:color="FFFFFF"/>
            </w:tcBorders>
            <w:shd w:val="clear" w:color="auto" w:fill="C1E4F5"/>
            <w:hideMark/>
          </w:tcPr>
          <w:p w14:paraId="2BF1E815"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130</w:t>
            </w:r>
          </w:p>
        </w:tc>
      </w:tr>
      <w:tr w:rsidR="00617FC9" w:rsidRPr="00986D12" w14:paraId="2A28918A" w14:textId="77777777" w:rsidTr="00696175">
        <w:trPr>
          <w:trHeight w:val="270"/>
        </w:trPr>
        <w:tc>
          <w:tcPr>
            <w:tcW w:w="1245" w:type="dxa"/>
            <w:tcBorders>
              <w:top w:val="single" w:sz="6" w:space="0" w:color="FFFFFF"/>
              <w:left w:val="single" w:sz="6" w:space="0" w:color="FFFFFF"/>
              <w:bottom w:val="single" w:sz="6" w:space="0" w:color="FFFFFF"/>
              <w:right w:val="single" w:sz="6" w:space="0" w:color="FFFFFF"/>
            </w:tcBorders>
            <w:hideMark/>
          </w:tcPr>
          <w:p w14:paraId="00504029"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Total</w:t>
            </w:r>
          </w:p>
        </w:tc>
        <w:tc>
          <w:tcPr>
            <w:tcW w:w="1245" w:type="dxa"/>
            <w:tcBorders>
              <w:top w:val="single" w:sz="6" w:space="0" w:color="FFFFFF"/>
              <w:left w:val="single" w:sz="6" w:space="0" w:color="FFFFFF"/>
              <w:bottom w:val="single" w:sz="6" w:space="0" w:color="FFFFFF"/>
              <w:right w:val="single" w:sz="6" w:space="0" w:color="FFFFFF"/>
            </w:tcBorders>
            <w:hideMark/>
          </w:tcPr>
          <w:p w14:paraId="21BA06D7"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61*</w:t>
            </w:r>
          </w:p>
        </w:tc>
        <w:tc>
          <w:tcPr>
            <w:tcW w:w="1245" w:type="dxa"/>
            <w:tcBorders>
              <w:top w:val="single" w:sz="6" w:space="0" w:color="FFFFFF"/>
              <w:left w:val="single" w:sz="6" w:space="0" w:color="FFFFFF"/>
              <w:bottom w:val="single" w:sz="6" w:space="0" w:color="FFFFFF"/>
              <w:right w:val="single" w:sz="6" w:space="0" w:color="FFFFFF"/>
            </w:tcBorders>
            <w:hideMark/>
          </w:tcPr>
          <w:p w14:paraId="78A52472"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153</w:t>
            </w:r>
          </w:p>
        </w:tc>
        <w:tc>
          <w:tcPr>
            <w:tcW w:w="1245" w:type="dxa"/>
            <w:tcBorders>
              <w:top w:val="single" w:sz="6" w:space="0" w:color="FFFFFF"/>
              <w:left w:val="single" w:sz="6" w:space="0" w:color="FFFFFF"/>
              <w:bottom w:val="single" w:sz="6" w:space="0" w:color="FFFFFF"/>
              <w:right w:val="single" w:sz="6" w:space="0" w:color="FFFFFF"/>
            </w:tcBorders>
            <w:hideMark/>
          </w:tcPr>
          <w:p w14:paraId="7274166F"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74</w:t>
            </w:r>
          </w:p>
        </w:tc>
        <w:tc>
          <w:tcPr>
            <w:tcW w:w="1245" w:type="dxa"/>
            <w:tcBorders>
              <w:top w:val="single" w:sz="6" w:space="0" w:color="FFFFFF"/>
              <w:left w:val="single" w:sz="6" w:space="0" w:color="FFFFFF"/>
              <w:bottom w:val="single" w:sz="6" w:space="0" w:color="FFFFFF"/>
              <w:right w:val="single" w:sz="6" w:space="0" w:color="FFFFFF"/>
            </w:tcBorders>
            <w:hideMark/>
          </w:tcPr>
          <w:p w14:paraId="6A8D8540"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141</w:t>
            </w:r>
          </w:p>
        </w:tc>
        <w:tc>
          <w:tcPr>
            <w:tcW w:w="1245" w:type="dxa"/>
            <w:tcBorders>
              <w:top w:val="single" w:sz="6" w:space="0" w:color="FFFFFF"/>
              <w:left w:val="single" w:sz="6" w:space="0" w:color="FFFFFF"/>
              <w:bottom w:val="single" w:sz="6" w:space="0" w:color="FFFFFF"/>
              <w:right w:val="single" w:sz="6" w:space="0" w:color="FFFFFF"/>
            </w:tcBorders>
            <w:hideMark/>
          </w:tcPr>
          <w:p w14:paraId="523DDBDD"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327</w:t>
            </w:r>
          </w:p>
        </w:tc>
      </w:tr>
    </w:tbl>
    <w:p w14:paraId="71643651" w14:textId="77777777" w:rsidR="00617FC9" w:rsidRPr="00986D12" w:rsidRDefault="00617FC9" w:rsidP="00617FC9">
      <w:pPr>
        <w:pStyle w:val="Notes"/>
        <w:rPr>
          <w:rFonts w:asciiTheme="minorHAnsi" w:hAnsiTheme="minorHAnsi" w:cstheme="minorHAnsi"/>
          <w:sz w:val="18"/>
          <w:szCs w:val="18"/>
          <w:lang w:eastAsia="en-GB"/>
        </w:rPr>
      </w:pPr>
      <w:r w:rsidRPr="00986D12">
        <w:rPr>
          <w:rFonts w:asciiTheme="minorHAnsi" w:hAnsiTheme="minorHAnsi" w:cstheme="minorHAnsi"/>
          <w:lang w:val="en-US" w:eastAsia="en-GB"/>
        </w:rPr>
        <w:t>Source: ITU HR system and analytics dashboard 2025.</w:t>
      </w:r>
      <w:r w:rsidRPr="00986D12">
        <w:rPr>
          <w:rFonts w:asciiTheme="minorHAnsi" w:hAnsiTheme="minorHAnsi" w:cstheme="minorHAnsi"/>
          <w:lang w:val="en-US" w:eastAsia="en-GB"/>
        </w:rPr>
        <w:br/>
      </w:r>
      <w:r w:rsidRPr="00986D12">
        <w:rPr>
          <w:rFonts w:asciiTheme="minorHAnsi" w:hAnsiTheme="minorHAnsi" w:cstheme="minorHAnsi"/>
          <w:lang w:eastAsia="en-GB"/>
        </w:rPr>
        <w:t>*Regional staff includes 3 consultants.</w:t>
      </w:r>
    </w:p>
    <w:p w14:paraId="2C84C3CD" w14:textId="77777777" w:rsidR="00617FC9" w:rsidRPr="00986D12" w:rsidRDefault="00617FC9" w:rsidP="00617FC9">
      <w:pPr>
        <w:pStyle w:val="Subtitle0"/>
        <w:jc w:val="center"/>
        <w:rPr>
          <w:rFonts w:asciiTheme="minorHAnsi" w:hAnsiTheme="minorHAnsi" w:cstheme="minorHAnsi"/>
          <w:color w:val="000000" w:themeColor="text1"/>
        </w:rPr>
      </w:pPr>
      <w:r w:rsidRPr="0046236F">
        <w:rPr>
          <w:rFonts w:asciiTheme="minorHAnsi" w:hAnsiTheme="minorHAnsi" w:cstheme="minorHAnsi"/>
          <w:color w:val="000000" w:themeColor="text1"/>
          <w:sz w:val="24"/>
          <w:szCs w:val="24"/>
        </w:rPr>
        <w:lastRenderedPageBreak/>
        <w:t>ITU Staff distribution by Bureau</w:t>
      </w:r>
    </w:p>
    <w:p w14:paraId="7C586B68" w14:textId="77777777" w:rsidR="00617FC9" w:rsidRPr="00986D12" w:rsidRDefault="00617FC9" w:rsidP="00617FC9">
      <w:pPr>
        <w:jc w:val="center"/>
        <w:rPr>
          <w:rFonts w:asciiTheme="minorHAnsi" w:hAnsiTheme="minorHAnsi" w:cstheme="minorHAnsi"/>
          <w:sz w:val="18"/>
          <w:szCs w:val="18"/>
          <w:lang w:eastAsia="en-GB"/>
        </w:rPr>
      </w:pPr>
      <w:r w:rsidRPr="00986D12">
        <w:rPr>
          <w:rFonts w:asciiTheme="minorHAnsi" w:hAnsiTheme="minorHAnsi" w:cstheme="minorHAnsi"/>
          <w:noProof/>
        </w:rPr>
        <w:drawing>
          <wp:inline distT="0" distB="0" distL="0" distR="0" wp14:anchorId="1ED3FC32" wp14:editId="457ED3AB">
            <wp:extent cx="4438650" cy="2667000"/>
            <wp:effectExtent l="0" t="0" r="0" b="0"/>
            <wp:docPr id="584614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438650" cy="2667000"/>
                    </a:xfrm>
                    <a:prstGeom prst="rect">
                      <a:avLst/>
                    </a:prstGeom>
                    <a:noFill/>
                    <a:ln>
                      <a:noFill/>
                    </a:ln>
                  </pic:spPr>
                </pic:pic>
              </a:graphicData>
            </a:graphic>
          </wp:inline>
        </w:drawing>
      </w:r>
    </w:p>
    <w:p w14:paraId="671D701C" w14:textId="77777777" w:rsidR="00617FC9" w:rsidRPr="0046236F" w:rsidRDefault="00617FC9" w:rsidP="00617FC9">
      <w:pPr>
        <w:pStyle w:val="Subtitle0"/>
        <w:jc w:val="center"/>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ITU Staff distribution by location (HQ/Field)</w:t>
      </w:r>
    </w:p>
    <w:p w14:paraId="6F62E1C6" w14:textId="77777777" w:rsidR="00617FC9" w:rsidRPr="00986D12" w:rsidRDefault="00617FC9" w:rsidP="00617FC9">
      <w:pPr>
        <w:jc w:val="center"/>
        <w:rPr>
          <w:rFonts w:asciiTheme="minorHAnsi" w:hAnsiTheme="minorHAnsi" w:cstheme="minorHAnsi"/>
          <w:sz w:val="18"/>
          <w:szCs w:val="18"/>
          <w:lang w:eastAsia="en-GB"/>
        </w:rPr>
      </w:pPr>
      <w:r w:rsidRPr="00986D12">
        <w:rPr>
          <w:rFonts w:asciiTheme="minorHAnsi" w:hAnsiTheme="minorHAnsi" w:cstheme="minorHAnsi"/>
          <w:noProof/>
        </w:rPr>
        <w:drawing>
          <wp:inline distT="0" distB="0" distL="0" distR="0" wp14:anchorId="2D8B283B" wp14:editId="4E93227E">
            <wp:extent cx="3429000" cy="2057400"/>
            <wp:effectExtent l="0" t="0" r="0" b="0"/>
            <wp:docPr id="19049169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429000" cy="2057400"/>
                    </a:xfrm>
                    <a:prstGeom prst="rect">
                      <a:avLst/>
                    </a:prstGeom>
                    <a:noFill/>
                    <a:ln>
                      <a:noFill/>
                    </a:ln>
                  </pic:spPr>
                </pic:pic>
              </a:graphicData>
            </a:graphic>
          </wp:inline>
        </w:drawing>
      </w:r>
    </w:p>
    <w:p w14:paraId="3F7C4F95" w14:textId="77777777" w:rsidR="00617FC9" w:rsidRPr="0046236F" w:rsidRDefault="00617FC9" w:rsidP="00617FC9">
      <w:pPr>
        <w:pStyle w:val="Subtitle0"/>
        <w:jc w:val="center"/>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Member States serviced by Regional and Area Offices</w:t>
      </w:r>
    </w:p>
    <w:tbl>
      <w:tblPr>
        <w:tblW w:w="5000" w:type="pct"/>
        <w:jc w:val="center"/>
        <w:tblBorders>
          <w:top w:val="single" w:sz="6" w:space="0" w:color="CCC0D9" w:themeColor="accent4" w:themeTint="66"/>
          <w:left w:val="single" w:sz="6" w:space="0" w:color="CCC0D9" w:themeColor="accent4" w:themeTint="66"/>
          <w:bottom w:val="single" w:sz="6" w:space="0" w:color="CCC0D9" w:themeColor="accent4" w:themeTint="66"/>
          <w:right w:val="single" w:sz="6" w:space="0" w:color="CCC0D9" w:themeColor="accent4" w:themeTint="66"/>
          <w:insideH w:val="single" w:sz="6" w:space="0" w:color="CCC0D9" w:themeColor="accent4" w:themeTint="66"/>
          <w:insideV w:val="single" w:sz="6" w:space="0" w:color="CCC0D9" w:themeColor="accent4" w:themeTint="66"/>
        </w:tblBorders>
        <w:tblCellMar>
          <w:left w:w="0" w:type="dxa"/>
          <w:right w:w="0" w:type="dxa"/>
        </w:tblCellMar>
        <w:tblLook w:val="04A0" w:firstRow="1" w:lastRow="0" w:firstColumn="1" w:lastColumn="0" w:noHBand="0" w:noVBand="1"/>
      </w:tblPr>
      <w:tblGrid>
        <w:gridCol w:w="1268"/>
        <w:gridCol w:w="2126"/>
        <w:gridCol w:w="2270"/>
        <w:gridCol w:w="1638"/>
        <w:gridCol w:w="1621"/>
        <w:gridCol w:w="700"/>
      </w:tblGrid>
      <w:tr w:rsidR="00617FC9" w:rsidRPr="00986D12" w14:paraId="70DE74B9" w14:textId="77777777" w:rsidTr="00696175">
        <w:trPr>
          <w:tblHeader/>
          <w:jc w:val="center"/>
        </w:trPr>
        <w:tc>
          <w:tcPr>
            <w:tcW w:w="1268" w:type="dxa"/>
            <w:shd w:val="clear" w:color="auto" w:fill="45B0E1"/>
            <w:hideMark/>
          </w:tcPr>
          <w:p w14:paraId="1F05DB47" w14:textId="77777777" w:rsidR="00617FC9" w:rsidRPr="00986D12" w:rsidRDefault="00617FC9" w:rsidP="00696175">
            <w:pPr>
              <w:pStyle w:val="Texttable"/>
              <w:rPr>
                <w:rFonts w:asciiTheme="minorHAnsi" w:hAnsiTheme="minorHAnsi" w:cstheme="minorHAnsi"/>
                <w:b/>
                <w:sz w:val="16"/>
                <w:szCs w:val="16"/>
                <w:lang w:eastAsia="en-GB"/>
              </w:rPr>
            </w:pPr>
            <w:r w:rsidRPr="00986D12">
              <w:rPr>
                <w:rFonts w:asciiTheme="minorHAnsi" w:hAnsiTheme="minorHAnsi" w:cstheme="minorHAnsi"/>
                <w:b/>
                <w:sz w:val="16"/>
                <w:szCs w:val="16"/>
                <w:lang w:eastAsia="en-GB"/>
              </w:rPr>
              <w:t>  Region</w:t>
            </w:r>
          </w:p>
        </w:tc>
        <w:tc>
          <w:tcPr>
            <w:tcW w:w="2126" w:type="dxa"/>
            <w:shd w:val="clear" w:color="auto" w:fill="45B0E1"/>
            <w:hideMark/>
          </w:tcPr>
          <w:p w14:paraId="3EB9E598" w14:textId="77777777" w:rsidR="00617FC9" w:rsidRPr="00986D12" w:rsidRDefault="00617FC9" w:rsidP="00696175">
            <w:pPr>
              <w:pStyle w:val="Texttable"/>
              <w:rPr>
                <w:rFonts w:asciiTheme="minorHAnsi" w:hAnsiTheme="minorHAnsi" w:cstheme="minorHAnsi"/>
                <w:b/>
                <w:sz w:val="16"/>
                <w:szCs w:val="16"/>
                <w:lang w:eastAsia="en-GB"/>
              </w:rPr>
            </w:pPr>
            <w:r w:rsidRPr="00986D12">
              <w:rPr>
                <w:rFonts w:asciiTheme="minorHAnsi" w:hAnsiTheme="minorHAnsi" w:cstheme="minorHAnsi"/>
                <w:b/>
                <w:sz w:val="16"/>
                <w:szCs w:val="16"/>
                <w:lang w:eastAsia="en-GB"/>
              </w:rPr>
              <w:t>Regional Office  </w:t>
            </w:r>
          </w:p>
        </w:tc>
        <w:tc>
          <w:tcPr>
            <w:tcW w:w="2270" w:type="dxa"/>
            <w:shd w:val="clear" w:color="auto" w:fill="45B0E1"/>
            <w:hideMark/>
          </w:tcPr>
          <w:p w14:paraId="7CA9D7E6" w14:textId="77777777" w:rsidR="00617FC9" w:rsidRPr="00986D12" w:rsidRDefault="00617FC9" w:rsidP="00696175">
            <w:pPr>
              <w:pStyle w:val="Texttable"/>
              <w:rPr>
                <w:rFonts w:asciiTheme="minorHAnsi" w:hAnsiTheme="minorHAnsi" w:cstheme="minorHAnsi"/>
                <w:b/>
                <w:sz w:val="16"/>
                <w:szCs w:val="16"/>
                <w:lang w:eastAsia="en-GB"/>
              </w:rPr>
            </w:pPr>
            <w:r w:rsidRPr="00986D12">
              <w:rPr>
                <w:rFonts w:asciiTheme="minorHAnsi" w:hAnsiTheme="minorHAnsi" w:cstheme="minorHAnsi"/>
                <w:b/>
                <w:sz w:val="16"/>
                <w:szCs w:val="16"/>
                <w:lang w:eastAsia="en-GB"/>
              </w:rPr>
              <w:t> Area Office  </w:t>
            </w:r>
          </w:p>
        </w:tc>
        <w:tc>
          <w:tcPr>
            <w:tcW w:w="1638" w:type="dxa"/>
            <w:shd w:val="clear" w:color="auto" w:fill="45B0E1"/>
            <w:hideMark/>
          </w:tcPr>
          <w:p w14:paraId="1ACC9109" w14:textId="77777777" w:rsidR="00617FC9" w:rsidRPr="00986D12" w:rsidRDefault="00617FC9" w:rsidP="00696175">
            <w:pPr>
              <w:pStyle w:val="Texttable"/>
              <w:rPr>
                <w:rFonts w:asciiTheme="minorHAnsi" w:hAnsiTheme="minorHAnsi" w:cstheme="minorHAnsi"/>
                <w:b/>
                <w:sz w:val="16"/>
                <w:szCs w:val="16"/>
                <w:lang w:eastAsia="en-GB"/>
              </w:rPr>
            </w:pPr>
            <w:r w:rsidRPr="00986D12">
              <w:rPr>
                <w:rFonts w:asciiTheme="minorHAnsi" w:hAnsiTheme="minorHAnsi" w:cstheme="minorHAnsi"/>
                <w:b/>
                <w:sz w:val="16"/>
                <w:szCs w:val="16"/>
                <w:lang w:eastAsia="en-GB"/>
              </w:rPr>
              <w:t> Area Office  </w:t>
            </w:r>
          </w:p>
        </w:tc>
        <w:tc>
          <w:tcPr>
            <w:tcW w:w="1621" w:type="dxa"/>
            <w:shd w:val="clear" w:color="auto" w:fill="45B0E1"/>
            <w:hideMark/>
          </w:tcPr>
          <w:p w14:paraId="34E4D120" w14:textId="77777777" w:rsidR="00617FC9" w:rsidRPr="00986D12" w:rsidRDefault="00617FC9" w:rsidP="00696175">
            <w:pPr>
              <w:pStyle w:val="Texttable"/>
              <w:rPr>
                <w:rFonts w:asciiTheme="minorHAnsi" w:hAnsiTheme="minorHAnsi" w:cstheme="minorHAnsi"/>
                <w:b/>
                <w:sz w:val="16"/>
                <w:szCs w:val="16"/>
                <w:lang w:eastAsia="en-GB"/>
              </w:rPr>
            </w:pPr>
            <w:r w:rsidRPr="00986D12">
              <w:rPr>
                <w:rFonts w:asciiTheme="minorHAnsi" w:hAnsiTheme="minorHAnsi" w:cstheme="minorHAnsi"/>
                <w:b/>
                <w:sz w:val="16"/>
                <w:szCs w:val="16"/>
                <w:lang w:eastAsia="en-GB"/>
              </w:rPr>
              <w:t>Area Office  </w:t>
            </w:r>
          </w:p>
        </w:tc>
        <w:tc>
          <w:tcPr>
            <w:tcW w:w="700" w:type="dxa"/>
            <w:shd w:val="clear" w:color="auto" w:fill="45B0E1"/>
            <w:hideMark/>
          </w:tcPr>
          <w:p w14:paraId="49377DB5" w14:textId="77777777" w:rsidR="00617FC9" w:rsidRPr="00986D12" w:rsidRDefault="00617FC9" w:rsidP="00696175">
            <w:pPr>
              <w:pStyle w:val="Texttable"/>
              <w:rPr>
                <w:rFonts w:asciiTheme="minorHAnsi" w:hAnsiTheme="minorHAnsi" w:cstheme="minorHAnsi"/>
                <w:b/>
                <w:sz w:val="16"/>
                <w:szCs w:val="16"/>
                <w:lang w:eastAsia="en-GB"/>
              </w:rPr>
            </w:pPr>
            <w:r w:rsidRPr="00986D12">
              <w:rPr>
                <w:rFonts w:asciiTheme="minorHAnsi" w:hAnsiTheme="minorHAnsi" w:cstheme="minorHAnsi"/>
                <w:b/>
                <w:sz w:val="16"/>
                <w:szCs w:val="16"/>
                <w:lang w:eastAsia="en-GB"/>
              </w:rPr>
              <w:t>Total   </w:t>
            </w:r>
          </w:p>
        </w:tc>
      </w:tr>
      <w:tr w:rsidR="00617FC9" w:rsidRPr="00986D12" w14:paraId="556CA344" w14:textId="77777777" w:rsidTr="00696175">
        <w:trPr>
          <w:jc w:val="center"/>
        </w:trPr>
        <w:tc>
          <w:tcPr>
            <w:tcW w:w="1268" w:type="dxa"/>
            <w:shd w:val="clear" w:color="auto" w:fill="C1E4F5"/>
            <w:hideMark/>
          </w:tcPr>
          <w:p w14:paraId="2130D399"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AFRICA  </w:t>
            </w:r>
          </w:p>
        </w:tc>
        <w:tc>
          <w:tcPr>
            <w:tcW w:w="2126" w:type="dxa"/>
            <w:shd w:val="clear" w:color="auto" w:fill="C1E4F5"/>
            <w:hideMark/>
          </w:tcPr>
          <w:p w14:paraId="693247C2"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Addis Ababa, Ethiopia: 5  </w:t>
            </w:r>
          </w:p>
        </w:tc>
        <w:tc>
          <w:tcPr>
            <w:tcW w:w="2270" w:type="dxa"/>
            <w:shd w:val="clear" w:color="auto" w:fill="C1E4F5"/>
            <w:hideMark/>
          </w:tcPr>
          <w:p w14:paraId="48F7B9A3"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Harare, Zimbabwe :12  </w:t>
            </w:r>
          </w:p>
        </w:tc>
        <w:tc>
          <w:tcPr>
            <w:tcW w:w="1638" w:type="dxa"/>
            <w:shd w:val="clear" w:color="auto" w:fill="C1E4F5"/>
            <w:hideMark/>
          </w:tcPr>
          <w:p w14:paraId="62998C16"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Yaoundé, Cameroon: 11  </w:t>
            </w:r>
          </w:p>
        </w:tc>
        <w:tc>
          <w:tcPr>
            <w:tcW w:w="1621" w:type="dxa"/>
            <w:shd w:val="clear" w:color="auto" w:fill="C1E4F5"/>
            <w:hideMark/>
          </w:tcPr>
          <w:p w14:paraId="37A01B15"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Dakar, Senegal: 15  </w:t>
            </w:r>
          </w:p>
        </w:tc>
        <w:tc>
          <w:tcPr>
            <w:tcW w:w="700" w:type="dxa"/>
            <w:shd w:val="clear" w:color="auto" w:fill="C1E4F5"/>
            <w:hideMark/>
          </w:tcPr>
          <w:p w14:paraId="143BCE79"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43   </w:t>
            </w:r>
          </w:p>
        </w:tc>
      </w:tr>
      <w:tr w:rsidR="00617FC9" w:rsidRPr="00986D12" w14:paraId="6FBCC50F" w14:textId="77777777" w:rsidTr="00696175">
        <w:trPr>
          <w:jc w:val="center"/>
        </w:trPr>
        <w:tc>
          <w:tcPr>
            <w:tcW w:w="1268" w:type="dxa"/>
            <w:hideMark/>
          </w:tcPr>
          <w:p w14:paraId="43C04118"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2126" w:type="dxa"/>
            <w:hideMark/>
          </w:tcPr>
          <w:p w14:paraId="418E03F2"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Ethiopia, Kenya, Uganda, Tanzania and South Sudan  </w:t>
            </w:r>
          </w:p>
        </w:tc>
        <w:tc>
          <w:tcPr>
            <w:tcW w:w="2270" w:type="dxa"/>
            <w:hideMark/>
          </w:tcPr>
          <w:p w14:paraId="003A26AC"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Angola, Botswana, Lesotho, Malawi, Mauritius, Mozambique, Namibia, Seychelles, South Africa, Swaziland, Zambia, Zimbabwe   </w:t>
            </w:r>
          </w:p>
        </w:tc>
        <w:tc>
          <w:tcPr>
            <w:tcW w:w="1638" w:type="dxa"/>
            <w:hideMark/>
          </w:tcPr>
          <w:p w14:paraId="51EA3A19"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Burundi, Cameroon, Central African Rep., Chad, Congo, Dem. Rep. of the Congo, Equatorial Guinea, Gabon, Madagascar, Rwanda (Republic of), Sao Tome and Principe   </w:t>
            </w:r>
          </w:p>
        </w:tc>
        <w:tc>
          <w:tcPr>
            <w:tcW w:w="1621" w:type="dxa"/>
            <w:hideMark/>
          </w:tcPr>
          <w:p w14:paraId="21C3B1F8" w14:textId="77777777" w:rsidR="00617FC9" w:rsidRPr="00986D12" w:rsidRDefault="00617FC9" w:rsidP="00696175">
            <w:pPr>
              <w:pStyle w:val="Texttable"/>
              <w:rPr>
                <w:rFonts w:asciiTheme="minorHAnsi" w:hAnsiTheme="minorHAnsi" w:cstheme="minorHAnsi"/>
                <w:sz w:val="16"/>
                <w:szCs w:val="16"/>
                <w:lang w:val="it-IT" w:eastAsia="en-GB"/>
              </w:rPr>
            </w:pPr>
            <w:r w:rsidRPr="00986D12">
              <w:rPr>
                <w:rFonts w:asciiTheme="minorHAnsi" w:hAnsiTheme="minorHAnsi" w:cstheme="minorHAnsi"/>
                <w:sz w:val="16"/>
                <w:szCs w:val="16"/>
                <w:lang w:val="it-IT" w:eastAsia="en-GB"/>
              </w:rPr>
              <w:t>Benin, Burkina Faso, Cape Verde, Côte d'Ivoire, Gambia, Ghana, Guinea, Guinea-Bissau, Liberia, Mali, Niger, Nigeria, Senegal, Sierra Leone, Togo  </w:t>
            </w:r>
          </w:p>
        </w:tc>
        <w:tc>
          <w:tcPr>
            <w:tcW w:w="700" w:type="dxa"/>
            <w:hideMark/>
          </w:tcPr>
          <w:p w14:paraId="6B8F33A2"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r>
      <w:tr w:rsidR="00617FC9" w:rsidRPr="00986D12" w14:paraId="21255AD8" w14:textId="77777777" w:rsidTr="00696175">
        <w:trPr>
          <w:jc w:val="center"/>
        </w:trPr>
        <w:tc>
          <w:tcPr>
            <w:tcW w:w="1268" w:type="dxa"/>
            <w:shd w:val="clear" w:color="auto" w:fill="C1E4F5"/>
            <w:hideMark/>
          </w:tcPr>
          <w:p w14:paraId="37E0D05A"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AMERICAS  </w:t>
            </w:r>
          </w:p>
        </w:tc>
        <w:tc>
          <w:tcPr>
            <w:tcW w:w="2126" w:type="dxa"/>
            <w:shd w:val="clear" w:color="auto" w:fill="C1E4F5"/>
            <w:hideMark/>
          </w:tcPr>
          <w:p w14:paraId="46A5E8EF"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Brasilia, Brazil: 3  </w:t>
            </w:r>
          </w:p>
        </w:tc>
        <w:tc>
          <w:tcPr>
            <w:tcW w:w="2270" w:type="dxa"/>
            <w:shd w:val="clear" w:color="auto" w:fill="C1E4F5"/>
            <w:hideMark/>
          </w:tcPr>
          <w:p w14:paraId="65E5E34D"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Tegucigalpa, Honduras: 9  </w:t>
            </w:r>
          </w:p>
        </w:tc>
        <w:tc>
          <w:tcPr>
            <w:tcW w:w="1638" w:type="dxa"/>
            <w:shd w:val="clear" w:color="auto" w:fill="C1E4F5"/>
            <w:hideMark/>
          </w:tcPr>
          <w:p w14:paraId="3F4DEFF1"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Santiago, Chile: 9  </w:t>
            </w:r>
          </w:p>
        </w:tc>
        <w:tc>
          <w:tcPr>
            <w:tcW w:w="1621" w:type="dxa"/>
            <w:shd w:val="clear" w:color="auto" w:fill="C1E4F5"/>
            <w:hideMark/>
          </w:tcPr>
          <w:p w14:paraId="2BFACAC4"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Bridgetown, Barbados: 14  </w:t>
            </w:r>
          </w:p>
        </w:tc>
        <w:tc>
          <w:tcPr>
            <w:tcW w:w="700" w:type="dxa"/>
            <w:shd w:val="clear" w:color="auto" w:fill="C1E4F5"/>
            <w:hideMark/>
          </w:tcPr>
          <w:p w14:paraId="4F418F5A"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35  </w:t>
            </w:r>
          </w:p>
        </w:tc>
      </w:tr>
      <w:tr w:rsidR="00617FC9" w:rsidRPr="00986D12" w14:paraId="07A795D4" w14:textId="77777777" w:rsidTr="00696175">
        <w:trPr>
          <w:jc w:val="center"/>
        </w:trPr>
        <w:tc>
          <w:tcPr>
            <w:tcW w:w="1268" w:type="dxa"/>
            <w:hideMark/>
          </w:tcPr>
          <w:p w14:paraId="311AE091"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2126" w:type="dxa"/>
            <w:hideMark/>
          </w:tcPr>
          <w:p w14:paraId="6F25FB2E"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Brazil, Canada, United States of America.  </w:t>
            </w:r>
          </w:p>
        </w:tc>
        <w:tc>
          <w:tcPr>
            <w:tcW w:w="2270" w:type="dxa"/>
            <w:hideMark/>
          </w:tcPr>
          <w:p w14:paraId="1F22121E" w14:textId="77777777" w:rsidR="00617FC9" w:rsidRPr="00986D12" w:rsidRDefault="00617FC9" w:rsidP="00696175">
            <w:pPr>
              <w:pStyle w:val="Texttable"/>
              <w:rPr>
                <w:rFonts w:asciiTheme="minorHAnsi" w:hAnsiTheme="minorHAnsi" w:cstheme="minorHAnsi"/>
                <w:sz w:val="16"/>
                <w:szCs w:val="16"/>
                <w:lang w:val="es-419" w:eastAsia="en-GB"/>
              </w:rPr>
            </w:pPr>
            <w:r w:rsidRPr="00986D12">
              <w:rPr>
                <w:rFonts w:asciiTheme="minorHAnsi" w:hAnsiTheme="minorHAnsi" w:cstheme="minorHAnsi"/>
                <w:sz w:val="16"/>
                <w:szCs w:val="16"/>
                <w:lang w:val="es-PE" w:eastAsia="en-GB"/>
              </w:rPr>
              <w:t> Costa Rica, Cuba, Dominican Republic, El Salvador, Guatemala, Honduras, Mexico, Nicaragua, and Panama. </w:t>
            </w:r>
            <w:r w:rsidRPr="00986D12">
              <w:rPr>
                <w:rFonts w:asciiTheme="minorHAnsi" w:hAnsiTheme="minorHAnsi" w:cstheme="minorHAnsi"/>
                <w:sz w:val="16"/>
                <w:szCs w:val="16"/>
                <w:lang w:val="es-419" w:eastAsia="en-GB"/>
              </w:rPr>
              <w:t> </w:t>
            </w:r>
          </w:p>
        </w:tc>
        <w:tc>
          <w:tcPr>
            <w:tcW w:w="1638" w:type="dxa"/>
            <w:hideMark/>
          </w:tcPr>
          <w:p w14:paraId="791DCCDB" w14:textId="77777777" w:rsidR="00617FC9" w:rsidRPr="00986D12" w:rsidRDefault="00617FC9" w:rsidP="00696175">
            <w:pPr>
              <w:pStyle w:val="Texttable"/>
              <w:rPr>
                <w:rFonts w:asciiTheme="minorHAnsi" w:hAnsiTheme="minorHAnsi" w:cstheme="minorHAnsi"/>
                <w:sz w:val="16"/>
                <w:szCs w:val="16"/>
                <w:lang w:val="es-419" w:eastAsia="en-GB"/>
              </w:rPr>
            </w:pPr>
            <w:r w:rsidRPr="00986D12">
              <w:rPr>
                <w:rFonts w:asciiTheme="minorHAnsi" w:hAnsiTheme="minorHAnsi" w:cstheme="minorHAnsi"/>
                <w:sz w:val="16"/>
                <w:szCs w:val="16"/>
                <w:lang w:val="es-PE" w:eastAsia="en-GB"/>
              </w:rPr>
              <w:t>Argentina, Bolivia, Chile, Colombia, Ecuador, Paraguay, Peru, Uruguay, and Venezuela. </w:t>
            </w:r>
            <w:r w:rsidRPr="00986D12">
              <w:rPr>
                <w:rFonts w:asciiTheme="minorHAnsi" w:hAnsiTheme="minorHAnsi" w:cstheme="minorHAnsi"/>
                <w:sz w:val="16"/>
                <w:szCs w:val="16"/>
                <w:lang w:val="es-419" w:eastAsia="en-GB"/>
              </w:rPr>
              <w:t> </w:t>
            </w:r>
          </w:p>
        </w:tc>
        <w:tc>
          <w:tcPr>
            <w:tcW w:w="1621" w:type="dxa"/>
            <w:hideMark/>
          </w:tcPr>
          <w:p w14:paraId="0748E419" w14:textId="77777777" w:rsidR="00617FC9" w:rsidRPr="001226FF" w:rsidRDefault="00617FC9" w:rsidP="00696175">
            <w:pPr>
              <w:pStyle w:val="Texttable"/>
              <w:rPr>
                <w:rFonts w:asciiTheme="minorHAnsi" w:hAnsiTheme="minorHAnsi" w:cstheme="minorHAnsi"/>
                <w:sz w:val="16"/>
                <w:szCs w:val="16"/>
                <w:lang w:val="es-419" w:eastAsia="en-GB"/>
              </w:rPr>
            </w:pPr>
            <w:r w:rsidRPr="001226FF">
              <w:rPr>
                <w:rFonts w:asciiTheme="minorHAnsi" w:hAnsiTheme="minorHAnsi" w:cstheme="minorHAnsi"/>
                <w:sz w:val="16"/>
                <w:szCs w:val="16"/>
                <w:lang w:val="es-419" w:eastAsia="en-GB"/>
              </w:rPr>
              <w:t xml:space="preserve">Antigua and Barbuda, Bahamas, Barbados, Belize, Dominica, Grenada, Guyana, Haiti, Jamaica, St Kitts and Nevis, Saint Lucia, Saint Vincent and the Grenadines, Suriname, </w:t>
            </w:r>
            <w:r w:rsidRPr="001226FF">
              <w:rPr>
                <w:rFonts w:asciiTheme="minorHAnsi" w:hAnsiTheme="minorHAnsi" w:cstheme="minorHAnsi"/>
                <w:sz w:val="16"/>
                <w:szCs w:val="16"/>
                <w:lang w:val="es-419" w:eastAsia="en-GB"/>
              </w:rPr>
              <w:lastRenderedPageBreak/>
              <w:t>and Trinidad and Tobago.  </w:t>
            </w:r>
          </w:p>
        </w:tc>
        <w:tc>
          <w:tcPr>
            <w:tcW w:w="700" w:type="dxa"/>
            <w:hideMark/>
          </w:tcPr>
          <w:p w14:paraId="12635459"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lastRenderedPageBreak/>
              <w:t>  </w:t>
            </w:r>
          </w:p>
        </w:tc>
      </w:tr>
      <w:tr w:rsidR="00617FC9" w:rsidRPr="00986D12" w14:paraId="20CB475D" w14:textId="77777777" w:rsidTr="00696175">
        <w:trPr>
          <w:jc w:val="center"/>
        </w:trPr>
        <w:tc>
          <w:tcPr>
            <w:tcW w:w="1268" w:type="dxa"/>
            <w:shd w:val="clear" w:color="auto" w:fill="C1E4F5"/>
            <w:hideMark/>
          </w:tcPr>
          <w:p w14:paraId="432BA209"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ARAB STATES  </w:t>
            </w:r>
          </w:p>
        </w:tc>
        <w:tc>
          <w:tcPr>
            <w:tcW w:w="2126" w:type="dxa"/>
            <w:shd w:val="clear" w:color="auto" w:fill="C1E4F5"/>
            <w:hideMark/>
          </w:tcPr>
          <w:p w14:paraId="7BF3F9B3"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Cairo, Egypt: 22  </w:t>
            </w:r>
          </w:p>
        </w:tc>
        <w:tc>
          <w:tcPr>
            <w:tcW w:w="2270" w:type="dxa"/>
            <w:shd w:val="clear" w:color="auto" w:fill="C1E4F5"/>
            <w:hideMark/>
          </w:tcPr>
          <w:p w14:paraId="59BF3E56"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1638" w:type="dxa"/>
            <w:shd w:val="clear" w:color="auto" w:fill="C1E4F5"/>
            <w:hideMark/>
          </w:tcPr>
          <w:p w14:paraId="18C76241"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1621" w:type="dxa"/>
            <w:shd w:val="clear" w:color="auto" w:fill="C1E4F5"/>
            <w:hideMark/>
          </w:tcPr>
          <w:p w14:paraId="34111881"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700" w:type="dxa"/>
            <w:shd w:val="clear" w:color="auto" w:fill="C1E4F5"/>
            <w:hideMark/>
          </w:tcPr>
          <w:p w14:paraId="0EE5CBE2"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22  </w:t>
            </w:r>
          </w:p>
        </w:tc>
      </w:tr>
      <w:tr w:rsidR="00617FC9" w:rsidRPr="00986D12" w14:paraId="35F36001" w14:textId="77777777" w:rsidTr="00696175">
        <w:trPr>
          <w:jc w:val="center"/>
        </w:trPr>
        <w:tc>
          <w:tcPr>
            <w:tcW w:w="1268" w:type="dxa"/>
            <w:hideMark/>
          </w:tcPr>
          <w:p w14:paraId="317D7F59"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2126" w:type="dxa"/>
            <w:hideMark/>
          </w:tcPr>
          <w:p w14:paraId="368B3487"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Algeria, Bahrain, Comoros, Djibouti, Egypt, Iraq, Jordan, Kuwait, Lebanon, Libya, Mauritania, Morocco, Oman, Palestine, Qatar, Saudi Arabia, Somalia, Sudan, Syria, Tunisia, United Arab Emirates, Yemen  </w:t>
            </w:r>
          </w:p>
        </w:tc>
        <w:tc>
          <w:tcPr>
            <w:tcW w:w="2270" w:type="dxa"/>
            <w:hideMark/>
          </w:tcPr>
          <w:p w14:paraId="156AE58E"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1638" w:type="dxa"/>
            <w:hideMark/>
          </w:tcPr>
          <w:p w14:paraId="40F52924"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1621" w:type="dxa"/>
            <w:hideMark/>
          </w:tcPr>
          <w:p w14:paraId="18381888"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700" w:type="dxa"/>
            <w:hideMark/>
          </w:tcPr>
          <w:p w14:paraId="3B11D3B3"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r>
      <w:tr w:rsidR="00617FC9" w:rsidRPr="00986D12" w14:paraId="5AB2FE29" w14:textId="77777777" w:rsidTr="00696175">
        <w:trPr>
          <w:jc w:val="center"/>
        </w:trPr>
        <w:tc>
          <w:tcPr>
            <w:tcW w:w="1268" w:type="dxa"/>
            <w:shd w:val="clear" w:color="auto" w:fill="C1E4F5"/>
            <w:hideMark/>
          </w:tcPr>
          <w:p w14:paraId="54B6E85E"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ASIA-PACIFIC  </w:t>
            </w:r>
          </w:p>
        </w:tc>
        <w:tc>
          <w:tcPr>
            <w:tcW w:w="2126" w:type="dxa"/>
            <w:shd w:val="clear" w:color="auto" w:fill="C1E4F5"/>
            <w:hideMark/>
          </w:tcPr>
          <w:p w14:paraId="07FD4E78"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Bangkok, Thailand: 22  </w:t>
            </w:r>
          </w:p>
        </w:tc>
        <w:tc>
          <w:tcPr>
            <w:tcW w:w="2270" w:type="dxa"/>
            <w:shd w:val="clear" w:color="auto" w:fill="C1E4F5"/>
            <w:hideMark/>
          </w:tcPr>
          <w:p w14:paraId="1BB80FC9"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Southeast Asia - Jakarta, Indonesia: 9  </w:t>
            </w:r>
          </w:p>
        </w:tc>
        <w:tc>
          <w:tcPr>
            <w:tcW w:w="1638" w:type="dxa"/>
            <w:shd w:val="clear" w:color="auto" w:fill="C1E4F5"/>
            <w:hideMark/>
          </w:tcPr>
          <w:p w14:paraId="7F4262B7"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South Asia and Innovation Centre New Delhi, India: 8  </w:t>
            </w:r>
          </w:p>
        </w:tc>
        <w:tc>
          <w:tcPr>
            <w:tcW w:w="1621" w:type="dxa"/>
            <w:shd w:val="clear" w:color="auto" w:fill="C1E4F5"/>
            <w:hideMark/>
          </w:tcPr>
          <w:p w14:paraId="30D1F85F"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700" w:type="dxa"/>
            <w:shd w:val="clear" w:color="auto" w:fill="C1E4F5"/>
            <w:hideMark/>
          </w:tcPr>
          <w:p w14:paraId="023231F4"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39   </w:t>
            </w:r>
          </w:p>
        </w:tc>
      </w:tr>
      <w:tr w:rsidR="00617FC9" w:rsidRPr="00986D12" w14:paraId="0E0D2DAD" w14:textId="77777777" w:rsidTr="00696175">
        <w:trPr>
          <w:jc w:val="center"/>
        </w:trPr>
        <w:tc>
          <w:tcPr>
            <w:tcW w:w="1268" w:type="dxa"/>
            <w:shd w:val="clear" w:color="auto" w:fill="FFFFFF"/>
            <w:hideMark/>
          </w:tcPr>
          <w:p w14:paraId="1FCD3E4B"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2126" w:type="dxa"/>
            <w:shd w:val="clear" w:color="auto" w:fill="FFFFFF"/>
            <w:hideMark/>
          </w:tcPr>
          <w:p w14:paraId="1FDB9419"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xml:space="preserve">Australia, Fiji, Kiribati, Marshall Islands, Micronesia, Mongolia, Nauru, New Zealand, Pakistan, Papua New Guinea, Samoa, Solomon Islands, Thailand, Tonga, Tuvalu, Vanuatu, China, Japan, Republic of Korea, Democratic People's Republic of Korea, Palau, Timor-Leste. </w:t>
            </w:r>
          </w:p>
        </w:tc>
        <w:tc>
          <w:tcPr>
            <w:tcW w:w="2270" w:type="dxa"/>
            <w:shd w:val="clear" w:color="auto" w:fill="FFFFFF"/>
            <w:hideMark/>
          </w:tcPr>
          <w:p w14:paraId="45CD362F"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Brunei Darussalam, Cambodia, Indonesia, Lao P.D.R., Malaysia, Myanmar, Philippines, Singapore, Viet Nam.  </w:t>
            </w:r>
          </w:p>
        </w:tc>
        <w:tc>
          <w:tcPr>
            <w:tcW w:w="1638" w:type="dxa"/>
            <w:shd w:val="clear" w:color="auto" w:fill="FFFFFF"/>
            <w:hideMark/>
          </w:tcPr>
          <w:p w14:paraId="6CA47E44"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Afghanistan, Bhutan, Bangladesh, Iran, India, Maldives, Nepal, and Sri Lanka.  </w:t>
            </w:r>
          </w:p>
        </w:tc>
        <w:tc>
          <w:tcPr>
            <w:tcW w:w="1621" w:type="dxa"/>
            <w:hideMark/>
          </w:tcPr>
          <w:p w14:paraId="7D8CE4B2"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700" w:type="dxa"/>
            <w:hideMark/>
          </w:tcPr>
          <w:p w14:paraId="212E7362"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r>
      <w:tr w:rsidR="00617FC9" w:rsidRPr="00986D12" w14:paraId="61F1395B" w14:textId="77777777" w:rsidTr="00696175">
        <w:trPr>
          <w:jc w:val="center"/>
        </w:trPr>
        <w:tc>
          <w:tcPr>
            <w:tcW w:w="1268" w:type="dxa"/>
            <w:shd w:val="clear" w:color="auto" w:fill="C1E4F5"/>
            <w:hideMark/>
          </w:tcPr>
          <w:p w14:paraId="2A9E0CBB"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CIS  </w:t>
            </w:r>
          </w:p>
        </w:tc>
        <w:tc>
          <w:tcPr>
            <w:tcW w:w="2126" w:type="dxa"/>
            <w:shd w:val="clear" w:color="auto" w:fill="C1E4F5"/>
            <w:hideMark/>
          </w:tcPr>
          <w:p w14:paraId="0C5B3555"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Moscow, Russian Federation: 9  </w:t>
            </w:r>
          </w:p>
        </w:tc>
        <w:tc>
          <w:tcPr>
            <w:tcW w:w="2270" w:type="dxa"/>
            <w:shd w:val="clear" w:color="auto" w:fill="C1E4F5"/>
            <w:hideMark/>
          </w:tcPr>
          <w:p w14:paraId="2219B7BA"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1638" w:type="dxa"/>
            <w:shd w:val="clear" w:color="auto" w:fill="C1E4F5"/>
            <w:hideMark/>
          </w:tcPr>
          <w:p w14:paraId="4FAA16BD"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1621" w:type="dxa"/>
            <w:shd w:val="clear" w:color="auto" w:fill="C1E4F5"/>
            <w:hideMark/>
          </w:tcPr>
          <w:p w14:paraId="4B372507"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700" w:type="dxa"/>
            <w:shd w:val="clear" w:color="auto" w:fill="C1E4F5"/>
            <w:hideMark/>
          </w:tcPr>
          <w:p w14:paraId="1D946B9D"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9  </w:t>
            </w:r>
          </w:p>
        </w:tc>
      </w:tr>
      <w:tr w:rsidR="00617FC9" w:rsidRPr="00986D12" w14:paraId="305E7536" w14:textId="77777777" w:rsidTr="00696175">
        <w:trPr>
          <w:jc w:val="center"/>
        </w:trPr>
        <w:tc>
          <w:tcPr>
            <w:tcW w:w="1268" w:type="dxa"/>
            <w:hideMark/>
          </w:tcPr>
          <w:p w14:paraId="7E32314B"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2126" w:type="dxa"/>
            <w:hideMark/>
          </w:tcPr>
          <w:p w14:paraId="669A1742"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Armenia, Azerbaijan, Belarus, Kazakhstan, Kyrgyzstan, Russian Federation, Tajikistan, Turkmenistan, Uzbekistan. </w:t>
            </w:r>
          </w:p>
        </w:tc>
        <w:tc>
          <w:tcPr>
            <w:tcW w:w="2270" w:type="dxa"/>
            <w:hideMark/>
          </w:tcPr>
          <w:p w14:paraId="407B397C"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1638" w:type="dxa"/>
            <w:hideMark/>
          </w:tcPr>
          <w:p w14:paraId="52592336"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1621" w:type="dxa"/>
            <w:hideMark/>
          </w:tcPr>
          <w:p w14:paraId="40A8AE4D"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700" w:type="dxa"/>
            <w:hideMark/>
          </w:tcPr>
          <w:p w14:paraId="22339817"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r>
      <w:tr w:rsidR="00617FC9" w:rsidRPr="00986D12" w14:paraId="733D5AE2" w14:textId="77777777" w:rsidTr="00696175">
        <w:trPr>
          <w:jc w:val="center"/>
        </w:trPr>
        <w:tc>
          <w:tcPr>
            <w:tcW w:w="1268" w:type="dxa"/>
            <w:shd w:val="clear" w:color="auto" w:fill="C1E4F5"/>
            <w:hideMark/>
          </w:tcPr>
          <w:p w14:paraId="32C35DB4"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EUROPE  </w:t>
            </w:r>
          </w:p>
        </w:tc>
        <w:tc>
          <w:tcPr>
            <w:tcW w:w="2126" w:type="dxa"/>
            <w:shd w:val="clear" w:color="auto" w:fill="C1E4F5"/>
            <w:hideMark/>
          </w:tcPr>
          <w:p w14:paraId="0BEE8801"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Geneva, Switzerland: 46  </w:t>
            </w:r>
          </w:p>
        </w:tc>
        <w:tc>
          <w:tcPr>
            <w:tcW w:w="2270" w:type="dxa"/>
            <w:shd w:val="clear" w:color="auto" w:fill="C1E4F5"/>
            <w:hideMark/>
          </w:tcPr>
          <w:p w14:paraId="58E43806"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1638" w:type="dxa"/>
            <w:shd w:val="clear" w:color="auto" w:fill="C1E4F5"/>
            <w:hideMark/>
          </w:tcPr>
          <w:p w14:paraId="464617B8"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1621" w:type="dxa"/>
            <w:shd w:val="clear" w:color="auto" w:fill="C1E4F5"/>
            <w:hideMark/>
          </w:tcPr>
          <w:p w14:paraId="0A08CA02"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700" w:type="dxa"/>
            <w:shd w:val="clear" w:color="auto" w:fill="C1E4F5"/>
            <w:hideMark/>
          </w:tcPr>
          <w:p w14:paraId="0E3A723E"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46  </w:t>
            </w:r>
          </w:p>
        </w:tc>
      </w:tr>
      <w:tr w:rsidR="00617FC9" w:rsidRPr="00986D12" w14:paraId="39C0C2C5" w14:textId="77777777" w:rsidTr="00696175">
        <w:trPr>
          <w:jc w:val="center"/>
        </w:trPr>
        <w:tc>
          <w:tcPr>
            <w:tcW w:w="1268" w:type="dxa"/>
            <w:hideMark/>
          </w:tcPr>
          <w:p w14:paraId="13D4904F"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2126" w:type="dxa"/>
            <w:hideMark/>
          </w:tcPr>
          <w:p w14:paraId="5CB0D215" w14:textId="3AC843FC"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Albania, Andorra, Austria, Belgium, Bosnia and Herzegovina, Bulgaria, Croatia, Cyprus, Czech Republic, Denmark, Estonia, Finland, Republic of North Macedonia, France, Georgia, Germany, Greece, Hungary, Iceland, Ireland, Israel, Italy, Latvia, Liechtenstein, Lithuania, Luxembourg, Malta, Moldova, Monaco, Montenegro, Kingdom of the Netherlands, Norway, Poland, Portugal, Romania, San Marino, Serbia, Slovak Republic, Slovenia, Spain, Sweden, Switzerland, Türkiye, Ukraine, United Kingdom, and the Vatican.  </w:t>
            </w:r>
          </w:p>
        </w:tc>
        <w:tc>
          <w:tcPr>
            <w:tcW w:w="2270" w:type="dxa"/>
            <w:hideMark/>
          </w:tcPr>
          <w:p w14:paraId="06784FFE"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1638" w:type="dxa"/>
            <w:hideMark/>
          </w:tcPr>
          <w:p w14:paraId="50A16703"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1621" w:type="dxa"/>
            <w:hideMark/>
          </w:tcPr>
          <w:p w14:paraId="5AF9D094"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700" w:type="dxa"/>
            <w:hideMark/>
          </w:tcPr>
          <w:p w14:paraId="3CC3AC96"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r>
      <w:tr w:rsidR="00617FC9" w:rsidRPr="00986D12" w14:paraId="2903103B" w14:textId="77777777" w:rsidTr="00696175">
        <w:trPr>
          <w:jc w:val="center"/>
        </w:trPr>
        <w:tc>
          <w:tcPr>
            <w:tcW w:w="1268" w:type="dxa"/>
            <w:shd w:val="clear" w:color="auto" w:fill="C1E4F5"/>
            <w:hideMark/>
          </w:tcPr>
          <w:p w14:paraId="32FCD5F6"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TOTAL  </w:t>
            </w:r>
          </w:p>
        </w:tc>
        <w:tc>
          <w:tcPr>
            <w:tcW w:w="2126" w:type="dxa"/>
            <w:shd w:val="clear" w:color="auto" w:fill="C1E4F5"/>
            <w:vAlign w:val="bottom"/>
            <w:hideMark/>
          </w:tcPr>
          <w:p w14:paraId="28A90267"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2270" w:type="dxa"/>
            <w:shd w:val="clear" w:color="auto" w:fill="C1E4F5"/>
            <w:hideMark/>
          </w:tcPr>
          <w:p w14:paraId="76CE008E"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1638" w:type="dxa"/>
            <w:shd w:val="clear" w:color="auto" w:fill="C1E4F5"/>
            <w:hideMark/>
          </w:tcPr>
          <w:p w14:paraId="57F8514E"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1621" w:type="dxa"/>
            <w:shd w:val="clear" w:color="auto" w:fill="C1E4F5"/>
            <w:hideMark/>
          </w:tcPr>
          <w:p w14:paraId="6C53F1C7"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  </w:t>
            </w:r>
          </w:p>
        </w:tc>
        <w:tc>
          <w:tcPr>
            <w:tcW w:w="700" w:type="dxa"/>
            <w:shd w:val="clear" w:color="auto" w:fill="C1E4F5"/>
            <w:hideMark/>
          </w:tcPr>
          <w:p w14:paraId="6B6F5454" w14:textId="77777777" w:rsidR="00617FC9" w:rsidRPr="00986D12" w:rsidRDefault="00617FC9" w:rsidP="00696175">
            <w:pPr>
              <w:pStyle w:val="Texttable"/>
              <w:rPr>
                <w:rFonts w:asciiTheme="minorHAnsi" w:hAnsiTheme="minorHAnsi" w:cstheme="minorHAnsi"/>
                <w:sz w:val="16"/>
                <w:szCs w:val="16"/>
                <w:lang w:eastAsia="en-GB"/>
              </w:rPr>
            </w:pPr>
            <w:r w:rsidRPr="00986D12">
              <w:rPr>
                <w:rFonts w:asciiTheme="minorHAnsi" w:hAnsiTheme="minorHAnsi" w:cstheme="minorHAnsi"/>
                <w:sz w:val="16"/>
                <w:szCs w:val="16"/>
                <w:lang w:eastAsia="en-GB"/>
              </w:rPr>
              <w:t>194   </w:t>
            </w:r>
          </w:p>
        </w:tc>
      </w:tr>
    </w:tbl>
    <w:p w14:paraId="2A10D82E" w14:textId="77777777" w:rsidR="005D7BA7" w:rsidRDefault="005D7BA7" w:rsidP="00617FC9">
      <w:pPr>
        <w:pStyle w:val="Subtitle0"/>
        <w:jc w:val="center"/>
        <w:rPr>
          <w:rFonts w:asciiTheme="minorHAnsi" w:hAnsiTheme="minorHAnsi" w:cstheme="minorHAnsi"/>
          <w:sz w:val="24"/>
          <w:szCs w:val="24"/>
          <w:lang w:val="en-US"/>
        </w:rPr>
      </w:pPr>
    </w:p>
    <w:p w14:paraId="7A793BD4" w14:textId="77777777" w:rsidR="005D7BA7" w:rsidRDefault="005D7BA7">
      <w:pPr>
        <w:tabs>
          <w:tab w:val="clear" w:pos="567"/>
          <w:tab w:val="clear" w:pos="1134"/>
          <w:tab w:val="clear" w:pos="1701"/>
          <w:tab w:val="clear" w:pos="2268"/>
          <w:tab w:val="clear" w:pos="2835"/>
        </w:tabs>
        <w:overflowPunct/>
        <w:autoSpaceDE/>
        <w:autoSpaceDN/>
        <w:adjustRightInd/>
        <w:spacing w:before="0"/>
        <w:textAlignment w:val="auto"/>
        <w:rPr>
          <w:rFonts w:asciiTheme="minorHAnsi" w:eastAsia="Aptos" w:hAnsiTheme="minorHAnsi" w:cstheme="minorHAnsi"/>
          <w:b/>
          <w:bCs/>
          <w:kern w:val="2"/>
          <w:szCs w:val="24"/>
          <w:lang w:val="en-US" w:eastAsia="en-GB"/>
          <w14:ligatures w14:val="standardContextual"/>
        </w:rPr>
      </w:pPr>
      <w:r>
        <w:rPr>
          <w:rFonts w:asciiTheme="minorHAnsi" w:hAnsiTheme="minorHAnsi" w:cstheme="minorHAnsi"/>
          <w:szCs w:val="24"/>
          <w:lang w:val="en-US"/>
        </w:rPr>
        <w:br w:type="page"/>
      </w:r>
    </w:p>
    <w:p w14:paraId="759268B1" w14:textId="1C868062" w:rsidR="00617FC9" w:rsidRPr="0046236F" w:rsidRDefault="00617FC9" w:rsidP="00617FC9">
      <w:pPr>
        <w:pStyle w:val="Subtitle0"/>
        <w:jc w:val="center"/>
        <w:rPr>
          <w:rFonts w:asciiTheme="minorHAnsi" w:hAnsiTheme="minorHAnsi" w:cstheme="minorHAnsi"/>
          <w:sz w:val="24"/>
          <w:szCs w:val="24"/>
          <w:lang w:val="en-US"/>
        </w:rPr>
      </w:pPr>
      <w:r w:rsidRPr="0046236F">
        <w:rPr>
          <w:rFonts w:asciiTheme="minorHAnsi" w:hAnsiTheme="minorHAnsi" w:cstheme="minorHAnsi"/>
          <w:sz w:val="24"/>
          <w:szCs w:val="24"/>
          <w:lang w:val="en-US"/>
        </w:rPr>
        <w:lastRenderedPageBreak/>
        <w:t>BDT Operational budget allocated for 2023, 2024,</w:t>
      </w:r>
      <w:r w:rsidR="00680DEB">
        <w:rPr>
          <w:rFonts w:asciiTheme="minorHAnsi" w:hAnsiTheme="minorHAnsi" w:cstheme="minorHAnsi"/>
          <w:sz w:val="24"/>
          <w:szCs w:val="24"/>
          <w:lang w:val="en-US"/>
        </w:rPr>
        <w:t xml:space="preserve"> </w:t>
      </w:r>
      <w:r w:rsidRPr="0046236F">
        <w:rPr>
          <w:rFonts w:asciiTheme="minorHAnsi" w:hAnsiTheme="minorHAnsi" w:cstheme="minorHAnsi"/>
          <w:sz w:val="24"/>
          <w:szCs w:val="24"/>
          <w:lang w:val="en-US"/>
        </w:rPr>
        <w:t>2025 by region in CHF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5"/>
        <w:gridCol w:w="930"/>
        <w:gridCol w:w="930"/>
        <w:gridCol w:w="930"/>
        <w:gridCol w:w="930"/>
        <w:gridCol w:w="930"/>
        <w:gridCol w:w="930"/>
        <w:gridCol w:w="1335"/>
        <w:gridCol w:w="1110"/>
      </w:tblGrid>
      <w:tr w:rsidR="00617FC9" w:rsidRPr="0046236F" w14:paraId="457F37C8" w14:textId="77777777" w:rsidTr="0091596C">
        <w:trPr>
          <w:trHeight w:val="270"/>
          <w:jc w:val="center"/>
        </w:trPr>
        <w:tc>
          <w:tcPr>
            <w:tcW w:w="915" w:type="dxa"/>
            <w:tcBorders>
              <w:top w:val="single" w:sz="6" w:space="0" w:color="0F9ED5"/>
              <w:left w:val="single" w:sz="6" w:space="0" w:color="0F9ED5"/>
              <w:bottom w:val="single" w:sz="6" w:space="0" w:color="0F9ED5"/>
              <w:right w:val="nil"/>
            </w:tcBorders>
            <w:shd w:val="clear" w:color="auto" w:fill="0F9ED5"/>
            <w:hideMark/>
          </w:tcPr>
          <w:p w14:paraId="0CC75686" w14:textId="77777777" w:rsidR="00617FC9" w:rsidRPr="0046236F" w:rsidRDefault="00617FC9" w:rsidP="00696175">
            <w:pPr>
              <w:pStyle w:val="Tabletitle0"/>
              <w:rPr>
                <w:rFonts w:asciiTheme="minorHAnsi" w:hAnsiTheme="minorHAnsi" w:cstheme="minorHAnsi"/>
                <w:sz w:val="22"/>
                <w:szCs w:val="22"/>
                <w:lang w:eastAsia="en-GB"/>
              </w:rPr>
            </w:pPr>
            <w:r w:rsidRPr="0046236F">
              <w:rPr>
                <w:rFonts w:asciiTheme="minorHAnsi" w:hAnsiTheme="minorHAnsi" w:cstheme="minorHAnsi"/>
                <w:sz w:val="22"/>
                <w:szCs w:val="22"/>
                <w:lang w:eastAsia="en-GB"/>
              </w:rPr>
              <w:t> </w:t>
            </w:r>
          </w:p>
        </w:tc>
        <w:tc>
          <w:tcPr>
            <w:tcW w:w="930" w:type="dxa"/>
            <w:tcBorders>
              <w:top w:val="single" w:sz="6" w:space="0" w:color="0F9ED5"/>
              <w:left w:val="nil"/>
              <w:bottom w:val="single" w:sz="6" w:space="0" w:color="0F9ED5"/>
              <w:right w:val="nil"/>
            </w:tcBorders>
            <w:shd w:val="clear" w:color="auto" w:fill="0F9ED5"/>
            <w:hideMark/>
          </w:tcPr>
          <w:p w14:paraId="564F0ED9" w14:textId="77777777" w:rsidR="00617FC9" w:rsidRPr="0046236F" w:rsidRDefault="00617FC9" w:rsidP="00696175">
            <w:pPr>
              <w:pStyle w:val="Tabletitle0"/>
              <w:rPr>
                <w:rFonts w:asciiTheme="minorHAnsi" w:hAnsiTheme="minorHAnsi" w:cstheme="minorHAnsi"/>
                <w:sz w:val="22"/>
                <w:szCs w:val="22"/>
                <w:lang w:eastAsia="en-GB"/>
              </w:rPr>
            </w:pPr>
            <w:r w:rsidRPr="0046236F">
              <w:rPr>
                <w:rFonts w:asciiTheme="minorHAnsi" w:hAnsiTheme="minorHAnsi" w:cstheme="minorHAnsi"/>
                <w:sz w:val="22"/>
                <w:szCs w:val="22"/>
                <w:lang w:eastAsia="en-GB"/>
              </w:rPr>
              <w:t>AFR </w:t>
            </w:r>
          </w:p>
        </w:tc>
        <w:tc>
          <w:tcPr>
            <w:tcW w:w="930" w:type="dxa"/>
            <w:tcBorders>
              <w:top w:val="single" w:sz="6" w:space="0" w:color="0F9ED5"/>
              <w:left w:val="nil"/>
              <w:bottom w:val="single" w:sz="6" w:space="0" w:color="0F9ED5"/>
              <w:right w:val="nil"/>
            </w:tcBorders>
            <w:shd w:val="clear" w:color="auto" w:fill="0F9ED5"/>
            <w:hideMark/>
          </w:tcPr>
          <w:p w14:paraId="31F96F34" w14:textId="77777777" w:rsidR="00617FC9" w:rsidRPr="0046236F" w:rsidRDefault="00617FC9" w:rsidP="00696175">
            <w:pPr>
              <w:pStyle w:val="Tabletitle0"/>
              <w:rPr>
                <w:rFonts w:asciiTheme="minorHAnsi" w:hAnsiTheme="minorHAnsi" w:cstheme="minorHAnsi"/>
                <w:sz w:val="22"/>
                <w:szCs w:val="22"/>
                <w:lang w:eastAsia="en-GB"/>
              </w:rPr>
            </w:pPr>
            <w:r w:rsidRPr="0046236F">
              <w:rPr>
                <w:rFonts w:asciiTheme="minorHAnsi" w:hAnsiTheme="minorHAnsi" w:cstheme="minorHAnsi"/>
                <w:sz w:val="22"/>
                <w:szCs w:val="22"/>
                <w:lang w:eastAsia="en-GB"/>
              </w:rPr>
              <w:t>AMS </w:t>
            </w:r>
          </w:p>
        </w:tc>
        <w:tc>
          <w:tcPr>
            <w:tcW w:w="930" w:type="dxa"/>
            <w:tcBorders>
              <w:top w:val="single" w:sz="6" w:space="0" w:color="0F9ED5"/>
              <w:left w:val="nil"/>
              <w:bottom w:val="single" w:sz="6" w:space="0" w:color="0F9ED5"/>
              <w:right w:val="nil"/>
            </w:tcBorders>
            <w:shd w:val="clear" w:color="auto" w:fill="0F9ED5"/>
            <w:hideMark/>
          </w:tcPr>
          <w:p w14:paraId="492BE599" w14:textId="77777777" w:rsidR="00617FC9" w:rsidRPr="0046236F" w:rsidRDefault="00617FC9" w:rsidP="00696175">
            <w:pPr>
              <w:pStyle w:val="Tabletitle0"/>
              <w:rPr>
                <w:rFonts w:asciiTheme="minorHAnsi" w:hAnsiTheme="minorHAnsi" w:cstheme="minorHAnsi"/>
                <w:sz w:val="22"/>
                <w:szCs w:val="22"/>
                <w:lang w:eastAsia="en-GB"/>
              </w:rPr>
            </w:pPr>
            <w:r w:rsidRPr="0046236F">
              <w:rPr>
                <w:rFonts w:asciiTheme="minorHAnsi" w:hAnsiTheme="minorHAnsi" w:cstheme="minorHAnsi"/>
                <w:sz w:val="22"/>
                <w:szCs w:val="22"/>
                <w:lang w:eastAsia="en-GB"/>
              </w:rPr>
              <w:t>ARB </w:t>
            </w:r>
          </w:p>
        </w:tc>
        <w:tc>
          <w:tcPr>
            <w:tcW w:w="930" w:type="dxa"/>
            <w:tcBorders>
              <w:top w:val="single" w:sz="6" w:space="0" w:color="0F9ED5"/>
              <w:left w:val="nil"/>
              <w:bottom w:val="single" w:sz="6" w:space="0" w:color="0F9ED5"/>
              <w:right w:val="nil"/>
            </w:tcBorders>
            <w:shd w:val="clear" w:color="auto" w:fill="0F9ED5"/>
            <w:hideMark/>
          </w:tcPr>
          <w:p w14:paraId="3413F1E7" w14:textId="77777777" w:rsidR="00617FC9" w:rsidRPr="0046236F" w:rsidRDefault="00617FC9" w:rsidP="00696175">
            <w:pPr>
              <w:pStyle w:val="Tabletitle0"/>
              <w:rPr>
                <w:rFonts w:asciiTheme="minorHAnsi" w:hAnsiTheme="minorHAnsi" w:cstheme="minorHAnsi"/>
                <w:sz w:val="22"/>
                <w:szCs w:val="22"/>
                <w:lang w:eastAsia="en-GB"/>
              </w:rPr>
            </w:pPr>
            <w:r w:rsidRPr="0046236F">
              <w:rPr>
                <w:rFonts w:asciiTheme="minorHAnsi" w:hAnsiTheme="minorHAnsi" w:cstheme="minorHAnsi"/>
                <w:sz w:val="22"/>
                <w:szCs w:val="22"/>
                <w:lang w:eastAsia="en-GB"/>
              </w:rPr>
              <w:t>ASP </w:t>
            </w:r>
          </w:p>
        </w:tc>
        <w:tc>
          <w:tcPr>
            <w:tcW w:w="930" w:type="dxa"/>
            <w:tcBorders>
              <w:top w:val="single" w:sz="6" w:space="0" w:color="0F9ED5"/>
              <w:left w:val="nil"/>
              <w:bottom w:val="single" w:sz="6" w:space="0" w:color="0F9ED5"/>
              <w:right w:val="nil"/>
            </w:tcBorders>
            <w:shd w:val="clear" w:color="auto" w:fill="0F9ED5"/>
            <w:hideMark/>
          </w:tcPr>
          <w:p w14:paraId="7C340427" w14:textId="77777777" w:rsidR="00617FC9" w:rsidRPr="0046236F" w:rsidRDefault="00617FC9" w:rsidP="00696175">
            <w:pPr>
              <w:pStyle w:val="Tabletitle0"/>
              <w:rPr>
                <w:rFonts w:asciiTheme="minorHAnsi" w:hAnsiTheme="minorHAnsi" w:cstheme="minorHAnsi"/>
                <w:sz w:val="22"/>
                <w:szCs w:val="22"/>
                <w:lang w:eastAsia="en-GB"/>
              </w:rPr>
            </w:pPr>
            <w:r w:rsidRPr="0046236F">
              <w:rPr>
                <w:rFonts w:asciiTheme="minorHAnsi" w:hAnsiTheme="minorHAnsi" w:cstheme="minorHAnsi"/>
                <w:sz w:val="22"/>
                <w:szCs w:val="22"/>
                <w:lang w:eastAsia="en-GB"/>
              </w:rPr>
              <w:t>CIS </w:t>
            </w:r>
          </w:p>
        </w:tc>
        <w:tc>
          <w:tcPr>
            <w:tcW w:w="930" w:type="dxa"/>
            <w:tcBorders>
              <w:top w:val="single" w:sz="6" w:space="0" w:color="0F9ED5"/>
              <w:left w:val="nil"/>
              <w:bottom w:val="single" w:sz="6" w:space="0" w:color="0F9ED5"/>
              <w:right w:val="nil"/>
            </w:tcBorders>
            <w:shd w:val="clear" w:color="auto" w:fill="0F9ED5"/>
            <w:hideMark/>
          </w:tcPr>
          <w:p w14:paraId="7290592E" w14:textId="77777777" w:rsidR="00617FC9" w:rsidRPr="0046236F" w:rsidRDefault="00617FC9" w:rsidP="00696175">
            <w:pPr>
              <w:pStyle w:val="Tabletitle0"/>
              <w:rPr>
                <w:rFonts w:asciiTheme="minorHAnsi" w:hAnsiTheme="minorHAnsi" w:cstheme="minorHAnsi"/>
                <w:sz w:val="22"/>
                <w:szCs w:val="22"/>
                <w:lang w:eastAsia="en-GB"/>
              </w:rPr>
            </w:pPr>
            <w:r w:rsidRPr="0046236F">
              <w:rPr>
                <w:rFonts w:asciiTheme="minorHAnsi" w:hAnsiTheme="minorHAnsi" w:cstheme="minorHAnsi"/>
                <w:sz w:val="22"/>
                <w:szCs w:val="22"/>
                <w:lang w:eastAsia="en-GB"/>
              </w:rPr>
              <w:t>EUR </w:t>
            </w:r>
          </w:p>
        </w:tc>
        <w:tc>
          <w:tcPr>
            <w:tcW w:w="1335" w:type="dxa"/>
            <w:tcBorders>
              <w:top w:val="single" w:sz="6" w:space="0" w:color="0F9ED5"/>
              <w:left w:val="nil"/>
              <w:bottom w:val="single" w:sz="6" w:space="0" w:color="0F9ED5"/>
              <w:right w:val="nil"/>
            </w:tcBorders>
            <w:shd w:val="clear" w:color="auto" w:fill="0F9ED5"/>
            <w:hideMark/>
          </w:tcPr>
          <w:p w14:paraId="26BA3438" w14:textId="77777777" w:rsidR="00617FC9" w:rsidRPr="0046236F" w:rsidRDefault="00617FC9" w:rsidP="00696175">
            <w:pPr>
              <w:pStyle w:val="Tabletitle0"/>
              <w:rPr>
                <w:rFonts w:asciiTheme="minorHAnsi" w:hAnsiTheme="minorHAnsi" w:cstheme="minorHAnsi"/>
                <w:sz w:val="22"/>
                <w:szCs w:val="22"/>
                <w:lang w:eastAsia="en-GB"/>
              </w:rPr>
            </w:pPr>
            <w:r w:rsidRPr="0046236F">
              <w:rPr>
                <w:rFonts w:asciiTheme="minorHAnsi" w:hAnsiTheme="minorHAnsi" w:cstheme="minorHAnsi"/>
                <w:sz w:val="22"/>
                <w:szCs w:val="22"/>
                <w:lang w:eastAsia="en-GB"/>
              </w:rPr>
              <w:t>HQ (World) </w:t>
            </w:r>
          </w:p>
        </w:tc>
        <w:tc>
          <w:tcPr>
            <w:tcW w:w="1110" w:type="dxa"/>
            <w:tcBorders>
              <w:top w:val="single" w:sz="6" w:space="0" w:color="0F9ED5"/>
              <w:left w:val="nil"/>
              <w:bottom w:val="single" w:sz="6" w:space="0" w:color="0F9ED5"/>
              <w:right w:val="single" w:sz="6" w:space="0" w:color="0F9ED5"/>
            </w:tcBorders>
            <w:shd w:val="clear" w:color="auto" w:fill="0F9ED5"/>
            <w:hideMark/>
          </w:tcPr>
          <w:p w14:paraId="50722195" w14:textId="77777777" w:rsidR="00617FC9" w:rsidRPr="0046236F" w:rsidRDefault="00617FC9" w:rsidP="00696175">
            <w:pPr>
              <w:pStyle w:val="Tabletitle0"/>
              <w:rPr>
                <w:rFonts w:asciiTheme="minorHAnsi" w:hAnsiTheme="minorHAnsi" w:cstheme="minorHAnsi"/>
                <w:sz w:val="22"/>
                <w:szCs w:val="22"/>
                <w:lang w:eastAsia="en-GB"/>
              </w:rPr>
            </w:pPr>
            <w:r w:rsidRPr="0046236F">
              <w:rPr>
                <w:rFonts w:asciiTheme="minorHAnsi" w:hAnsiTheme="minorHAnsi" w:cstheme="minorHAnsi"/>
                <w:sz w:val="22"/>
                <w:szCs w:val="22"/>
                <w:lang w:eastAsia="en-GB"/>
              </w:rPr>
              <w:t>Total </w:t>
            </w:r>
          </w:p>
        </w:tc>
      </w:tr>
      <w:tr w:rsidR="00617FC9" w:rsidRPr="00986D12" w14:paraId="7C68307E" w14:textId="77777777" w:rsidTr="0091596C">
        <w:trPr>
          <w:trHeight w:val="270"/>
          <w:jc w:val="center"/>
        </w:trPr>
        <w:tc>
          <w:tcPr>
            <w:tcW w:w="915" w:type="dxa"/>
            <w:tcBorders>
              <w:top w:val="single" w:sz="6" w:space="0" w:color="60CAF3"/>
              <w:left w:val="single" w:sz="6" w:space="0" w:color="60CAF3"/>
              <w:bottom w:val="single" w:sz="6" w:space="0" w:color="60CAF3"/>
              <w:right w:val="single" w:sz="6" w:space="0" w:color="60CAF3"/>
            </w:tcBorders>
            <w:shd w:val="clear" w:color="auto" w:fill="CAEDFB"/>
            <w:hideMark/>
          </w:tcPr>
          <w:p w14:paraId="3C8BC7A7"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2023  </w:t>
            </w:r>
          </w:p>
        </w:tc>
        <w:tc>
          <w:tcPr>
            <w:tcW w:w="930" w:type="dxa"/>
            <w:tcBorders>
              <w:top w:val="single" w:sz="6" w:space="0" w:color="60CAF3"/>
              <w:left w:val="single" w:sz="6" w:space="0" w:color="60CAF3"/>
              <w:bottom w:val="single" w:sz="6" w:space="0" w:color="60CAF3"/>
              <w:right w:val="single" w:sz="6" w:space="0" w:color="60CAF3"/>
            </w:tcBorders>
            <w:shd w:val="clear" w:color="auto" w:fill="CAEDFB"/>
            <w:hideMark/>
          </w:tcPr>
          <w:p w14:paraId="59771CE5"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285 330 </w:t>
            </w:r>
          </w:p>
        </w:tc>
        <w:tc>
          <w:tcPr>
            <w:tcW w:w="930" w:type="dxa"/>
            <w:tcBorders>
              <w:top w:val="single" w:sz="6" w:space="0" w:color="60CAF3"/>
              <w:left w:val="single" w:sz="6" w:space="0" w:color="60CAF3"/>
              <w:bottom w:val="single" w:sz="6" w:space="0" w:color="60CAF3"/>
              <w:right w:val="single" w:sz="6" w:space="0" w:color="60CAF3"/>
            </w:tcBorders>
            <w:shd w:val="clear" w:color="auto" w:fill="CAEDFB"/>
            <w:hideMark/>
          </w:tcPr>
          <w:p w14:paraId="499C651E"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235 380 </w:t>
            </w:r>
          </w:p>
        </w:tc>
        <w:tc>
          <w:tcPr>
            <w:tcW w:w="930" w:type="dxa"/>
            <w:tcBorders>
              <w:top w:val="single" w:sz="6" w:space="0" w:color="60CAF3"/>
              <w:left w:val="single" w:sz="6" w:space="0" w:color="60CAF3"/>
              <w:bottom w:val="single" w:sz="6" w:space="0" w:color="60CAF3"/>
              <w:right w:val="single" w:sz="6" w:space="0" w:color="60CAF3"/>
            </w:tcBorders>
            <w:shd w:val="clear" w:color="auto" w:fill="CAEDFB"/>
            <w:hideMark/>
          </w:tcPr>
          <w:p w14:paraId="0FE00745"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262 000 </w:t>
            </w:r>
          </w:p>
        </w:tc>
        <w:tc>
          <w:tcPr>
            <w:tcW w:w="930" w:type="dxa"/>
            <w:tcBorders>
              <w:top w:val="single" w:sz="6" w:space="0" w:color="60CAF3"/>
              <w:left w:val="single" w:sz="6" w:space="0" w:color="60CAF3"/>
              <w:bottom w:val="single" w:sz="6" w:space="0" w:color="60CAF3"/>
              <w:right w:val="single" w:sz="6" w:space="0" w:color="60CAF3"/>
            </w:tcBorders>
            <w:shd w:val="clear" w:color="auto" w:fill="CAEDFB"/>
            <w:hideMark/>
          </w:tcPr>
          <w:p w14:paraId="20838D9A"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306 500 </w:t>
            </w:r>
          </w:p>
        </w:tc>
        <w:tc>
          <w:tcPr>
            <w:tcW w:w="930" w:type="dxa"/>
            <w:tcBorders>
              <w:top w:val="single" w:sz="6" w:space="0" w:color="60CAF3"/>
              <w:left w:val="single" w:sz="6" w:space="0" w:color="60CAF3"/>
              <w:bottom w:val="single" w:sz="6" w:space="0" w:color="60CAF3"/>
              <w:right w:val="single" w:sz="6" w:space="0" w:color="60CAF3"/>
            </w:tcBorders>
            <w:shd w:val="clear" w:color="auto" w:fill="CAEDFB"/>
            <w:hideMark/>
          </w:tcPr>
          <w:p w14:paraId="71DC14E0"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348 000 </w:t>
            </w:r>
          </w:p>
        </w:tc>
        <w:tc>
          <w:tcPr>
            <w:tcW w:w="930" w:type="dxa"/>
            <w:tcBorders>
              <w:top w:val="single" w:sz="6" w:space="0" w:color="60CAF3"/>
              <w:left w:val="single" w:sz="6" w:space="0" w:color="60CAF3"/>
              <w:bottom w:val="single" w:sz="6" w:space="0" w:color="60CAF3"/>
              <w:right w:val="single" w:sz="6" w:space="0" w:color="60CAF3"/>
            </w:tcBorders>
            <w:shd w:val="clear" w:color="auto" w:fill="CAEDFB"/>
            <w:hideMark/>
          </w:tcPr>
          <w:p w14:paraId="2319BD9A"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265 000 </w:t>
            </w:r>
          </w:p>
        </w:tc>
        <w:tc>
          <w:tcPr>
            <w:tcW w:w="1335" w:type="dxa"/>
            <w:tcBorders>
              <w:top w:val="single" w:sz="6" w:space="0" w:color="60CAF3"/>
              <w:left w:val="single" w:sz="6" w:space="0" w:color="60CAF3"/>
              <w:bottom w:val="single" w:sz="6" w:space="0" w:color="60CAF3"/>
              <w:right w:val="single" w:sz="6" w:space="0" w:color="60CAF3"/>
            </w:tcBorders>
            <w:shd w:val="clear" w:color="auto" w:fill="CAEDFB"/>
            <w:hideMark/>
          </w:tcPr>
          <w:p w14:paraId="2D8B89E6"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1 593 300 </w:t>
            </w:r>
          </w:p>
        </w:tc>
        <w:tc>
          <w:tcPr>
            <w:tcW w:w="1110" w:type="dxa"/>
            <w:tcBorders>
              <w:top w:val="single" w:sz="6" w:space="0" w:color="60CAF3"/>
              <w:left w:val="single" w:sz="6" w:space="0" w:color="60CAF3"/>
              <w:bottom w:val="single" w:sz="6" w:space="0" w:color="60CAF3"/>
              <w:right w:val="single" w:sz="6" w:space="0" w:color="60CAF3"/>
            </w:tcBorders>
            <w:shd w:val="clear" w:color="auto" w:fill="CAEDFB"/>
            <w:hideMark/>
          </w:tcPr>
          <w:p w14:paraId="5D3604EF"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3 295 510 </w:t>
            </w:r>
          </w:p>
        </w:tc>
      </w:tr>
      <w:tr w:rsidR="00617FC9" w:rsidRPr="00986D12" w14:paraId="2D8BFEC0" w14:textId="77777777" w:rsidTr="0091596C">
        <w:trPr>
          <w:trHeight w:val="270"/>
          <w:jc w:val="center"/>
        </w:trPr>
        <w:tc>
          <w:tcPr>
            <w:tcW w:w="915" w:type="dxa"/>
            <w:tcBorders>
              <w:top w:val="single" w:sz="6" w:space="0" w:color="60CAF3"/>
              <w:left w:val="single" w:sz="6" w:space="0" w:color="60CAF3"/>
              <w:bottom w:val="single" w:sz="6" w:space="0" w:color="60CAF3"/>
              <w:right w:val="single" w:sz="6" w:space="0" w:color="60CAF3"/>
            </w:tcBorders>
            <w:hideMark/>
          </w:tcPr>
          <w:p w14:paraId="441952A6"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2024  </w:t>
            </w:r>
          </w:p>
        </w:tc>
        <w:tc>
          <w:tcPr>
            <w:tcW w:w="930" w:type="dxa"/>
            <w:tcBorders>
              <w:top w:val="single" w:sz="6" w:space="0" w:color="60CAF3"/>
              <w:left w:val="single" w:sz="6" w:space="0" w:color="60CAF3"/>
              <w:bottom w:val="single" w:sz="6" w:space="0" w:color="60CAF3"/>
              <w:right w:val="single" w:sz="6" w:space="0" w:color="60CAF3"/>
            </w:tcBorders>
            <w:hideMark/>
          </w:tcPr>
          <w:p w14:paraId="1A849455"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320 000 </w:t>
            </w:r>
          </w:p>
        </w:tc>
        <w:tc>
          <w:tcPr>
            <w:tcW w:w="930" w:type="dxa"/>
            <w:tcBorders>
              <w:top w:val="single" w:sz="6" w:space="0" w:color="60CAF3"/>
              <w:left w:val="single" w:sz="6" w:space="0" w:color="60CAF3"/>
              <w:bottom w:val="single" w:sz="6" w:space="0" w:color="60CAF3"/>
              <w:right w:val="single" w:sz="6" w:space="0" w:color="60CAF3"/>
            </w:tcBorders>
            <w:hideMark/>
          </w:tcPr>
          <w:p w14:paraId="6B3B352D"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253 000 </w:t>
            </w:r>
          </w:p>
        </w:tc>
        <w:tc>
          <w:tcPr>
            <w:tcW w:w="930" w:type="dxa"/>
            <w:tcBorders>
              <w:top w:val="single" w:sz="6" w:space="0" w:color="60CAF3"/>
              <w:left w:val="single" w:sz="6" w:space="0" w:color="60CAF3"/>
              <w:bottom w:val="single" w:sz="6" w:space="0" w:color="60CAF3"/>
              <w:right w:val="single" w:sz="6" w:space="0" w:color="60CAF3"/>
            </w:tcBorders>
            <w:hideMark/>
          </w:tcPr>
          <w:p w14:paraId="5973F74E"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264 000 </w:t>
            </w:r>
          </w:p>
        </w:tc>
        <w:tc>
          <w:tcPr>
            <w:tcW w:w="930" w:type="dxa"/>
            <w:tcBorders>
              <w:top w:val="single" w:sz="6" w:space="0" w:color="60CAF3"/>
              <w:left w:val="single" w:sz="6" w:space="0" w:color="60CAF3"/>
              <w:bottom w:val="single" w:sz="6" w:space="0" w:color="60CAF3"/>
              <w:right w:val="single" w:sz="6" w:space="0" w:color="60CAF3"/>
            </w:tcBorders>
            <w:hideMark/>
          </w:tcPr>
          <w:p w14:paraId="50E36432"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315 000 </w:t>
            </w:r>
          </w:p>
        </w:tc>
        <w:tc>
          <w:tcPr>
            <w:tcW w:w="930" w:type="dxa"/>
            <w:tcBorders>
              <w:top w:val="single" w:sz="6" w:space="0" w:color="60CAF3"/>
              <w:left w:val="single" w:sz="6" w:space="0" w:color="60CAF3"/>
              <w:bottom w:val="single" w:sz="6" w:space="0" w:color="60CAF3"/>
              <w:right w:val="single" w:sz="6" w:space="0" w:color="60CAF3"/>
            </w:tcBorders>
            <w:hideMark/>
          </w:tcPr>
          <w:p w14:paraId="3E87AB7B"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307 000 </w:t>
            </w:r>
          </w:p>
        </w:tc>
        <w:tc>
          <w:tcPr>
            <w:tcW w:w="930" w:type="dxa"/>
            <w:tcBorders>
              <w:top w:val="single" w:sz="6" w:space="0" w:color="60CAF3"/>
              <w:left w:val="single" w:sz="6" w:space="0" w:color="60CAF3"/>
              <w:bottom w:val="single" w:sz="6" w:space="0" w:color="60CAF3"/>
              <w:right w:val="single" w:sz="6" w:space="0" w:color="60CAF3"/>
            </w:tcBorders>
            <w:hideMark/>
          </w:tcPr>
          <w:p w14:paraId="75CA54F0"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245 797 </w:t>
            </w:r>
          </w:p>
        </w:tc>
        <w:tc>
          <w:tcPr>
            <w:tcW w:w="1335" w:type="dxa"/>
            <w:tcBorders>
              <w:top w:val="single" w:sz="6" w:space="0" w:color="60CAF3"/>
              <w:left w:val="single" w:sz="6" w:space="0" w:color="60CAF3"/>
              <w:bottom w:val="single" w:sz="6" w:space="0" w:color="60CAF3"/>
              <w:right w:val="single" w:sz="6" w:space="0" w:color="60CAF3"/>
            </w:tcBorders>
            <w:hideMark/>
          </w:tcPr>
          <w:p w14:paraId="6E29716C"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1 804 500 </w:t>
            </w:r>
          </w:p>
        </w:tc>
        <w:tc>
          <w:tcPr>
            <w:tcW w:w="1110" w:type="dxa"/>
            <w:tcBorders>
              <w:top w:val="single" w:sz="6" w:space="0" w:color="60CAF3"/>
              <w:left w:val="single" w:sz="6" w:space="0" w:color="60CAF3"/>
              <w:bottom w:val="single" w:sz="6" w:space="0" w:color="60CAF3"/>
              <w:right w:val="single" w:sz="6" w:space="0" w:color="60CAF3"/>
            </w:tcBorders>
            <w:hideMark/>
          </w:tcPr>
          <w:p w14:paraId="46F12E5A"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3 509 297 </w:t>
            </w:r>
          </w:p>
        </w:tc>
      </w:tr>
      <w:tr w:rsidR="00617FC9" w:rsidRPr="00986D12" w14:paraId="797A2DE5" w14:textId="77777777" w:rsidTr="0091596C">
        <w:trPr>
          <w:trHeight w:val="270"/>
          <w:jc w:val="center"/>
        </w:trPr>
        <w:tc>
          <w:tcPr>
            <w:tcW w:w="915" w:type="dxa"/>
            <w:tcBorders>
              <w:top w:val="single" w:sz="6" w:space="0" w:color="60CAF3"/>
              <w:left w:val="single" w:sz="6" w:space="0" w:color="60CAF3"/>
              <w:bottom w:val="single" w:sz="6" w:space="0" w:color="60CAF3"/>
              <w:right w:val="single" w:sz="6" w:space="0" w:color="60CAF3"/>
            </w:tcBorders>
            <w:shd w:val="clear" w:color="auto" w:fill="CAEDFB"/>
            <w:hideMark/>
          </w:tcPr>
          <w:p w14:paraId="6EB8CD3C"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2025  </w:t>
            </w:r>
          </w:p>
        </w:tc>
        <w:tc>
          <w:tcPr>
            <w:tcW w:w="930" w:type="dxa"/>
            <w:tcBorders>
              <w:top w:val="single" w:sz="6" w:space="0" w:color="60CAF3"/>
              <w:left w:val="single" w:sz="6" w:space="0" w:color="60CAF3"/>
              <w:bottom w:val="single" w:sz="6" w:space="0" w:color="60CAF3"/>
              <w:right w:val="single" w:sz="6" w:space="0" w:color="60CAF3"/>
            </w:tcBorders>
            <w:shd w:val="clear" w:color="auto" w:fill="CAEDFB"/>
            <w:hideMark/>
          </w:tcPr>
          <w:p w14:paraId="42A66D8F"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278 225 </w:t>
            </w:r>
          </w:p>
        </w:tc>
        <w:tc>
          <w:tcPr>
            <w:tcW w:w="930" w:type="dxa"/>
            <w:tcBorders>
              <w:top w:val="single" w:sz="6" w:space="0" w:color="60CAF3"/>
              <w:left w:val="single" w:sz="6" w:space="0" w:color="60CAF3"/>
              <w:bottom w:val="single" w:sz="6" w:space="0" w:color="60CAF3"/>
              <w:right w:val="single" w:sz="6" w:space="0" w:color="60CAF3"/>
            </w:tcBorders>
            <w:shd w:val="clear" w:color="auto" w:fill="CAEDFB"/>
            <w:hideMark/>
          </w:tcPr>
          <w:p w14:paraId="05C5DD0C"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295 800 </w:t>
            </w:r>
          </w:p>
        </w:tc>
        <w:tc>
          <w:tcPr>
            <w:tcW w:w="930" w:type="dxa"/>
            <w:tcBorders>
              <w:top w:val="single" w:sz="6" w:space="0" w:color="60CAF3"/>
              <w:left w:val="single" w:sz="6" w:space="0" w:color="60CAF3"/>
              <w:bottom w:val="single" w:sz="6" w:space="0" w:color="60CAF3"/>
              <w:right w:val="single" w:sz="6" w:space="0" w:color="60CAF3"/>
            </w:tcBorders>
            <w:shd w:val="clear" w:color="auto" w:fill="CAEDFB"/>
            <w:hideMark/>
          </w:tcPr>
          <w:p w14:paraId="12BDBD86"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215 220 </w:t>
            </w:r>
          </w:p>
        </w:tc>
        <w:tc>
          <w:tcPr>
            <w:tcW w:w="930" w:type="dxa"/>
            <w:tcBorders>
              <w:top w:val="single" w:sz="6" w:space="0" w:color="60CAF3"/>
              <w:left w:val="single" w:sz="6" w:space="0" w:color="60CAF3"/>
              <w:bottom w:val="single" w:sz="6" w:space="0" w:color="60CAF3"/>
              <w:right w:val="single" w:sz="6" w:space="0" w:color="60CAF3"/>
            </w:tcBorders>
            <w:shd w:val="clear" w:color="auto" w:fill="CAEDFB"/>
            <w:hideMark/>
          </w:tcPr>
          <w:p w14:paraId="141C7EF2"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282 500 </w:t>
            </w:r>
          </w:p>
        </w:tc>
        <w:tc>
          <w:tcPr>
            <w:tcW w:w="930" w:type="dxa"/>
            <w:tcBorders>
              <w:top w:val="single" w:sz="6" w:space="0" w:color="60CAF3"/>
              <w:left w:val="single" w:sz="6" w:space="0" w:color="60CAF3"/>
              <w:bottom w:val="single" w:sz="6" w:space="0" w:color="60CAF3"/>
              <w:right w:val="single" w:sz="6" w:space="0" w:color="60CAF3"/>
            </w:tcBorders>
            <w:shd w:val="clear" w:color="auto" w:fill="CAEDFB"/>
            <w:hideMark/>
          </w:tcPr>
          <w:p w14:paraId="243EC569"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327 682 </w:t>
            </w:r>
          </w:p>
        </w:tc>
        <w:tc>
          <w:tcPr>
            <w:tcW w:w="930" w:type="dxa"/>
            <w:tcBorders>
              <w:top w:val="single" w:sz="6" w:space="0" w:color="60CAF3"/>
              <w:left w:val="single" w:sz="6" w:space="0" w:color="60CAF3"/>
              <w:bottom w:val="single" w:sz="6" w:space="0" w:color="60CAF3"/>
              <w:right w:val="single" w:sz="6" w:space="0" w:color="60CAF3"/>
            </w:tcBorders>
            <w:shd w:val="clear" w:color="auto" w:fill="CAEDFB"/>
            <w:hideMark/>
          </w:tcPr>
          <w:p w14:paraId="1728092A"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218 204 </w:t>
            </w:r>
          </w:p>
        </w:tc>
        <w:tc>
          <w:tcPr>
            <w:tcW w:w="1335" w:type="dxa"/>
            <w:tcBorders>
              <w:top w:val="single" w:sz="6" w:space="0" w:color="60CAF3"/>
              <w:left w:val="single" w:sz="6" w:space="0" w:color="60CAF3"/>
              <w:bottom w:val="single" w:sz="6" w:space="0" w:color="60CAF3"/>
              <w:right w:val="single" w:sz="6" w:space="0" w:color="60CAF3"/>
            </w:tcBorders>
            <w:shd w:val="clear" w:color="auto" w:fill="CAEDFB"/>
            <w:hideMark/>
          </w:tcPr>
          <w:p w14:paraId="75F456B0"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1 538 255 </w:t>
            </w:r>
          </w:p>
        </w:tc>
        <w:tc>
          <w:tcPr>
            <w:tcW w:w="1110" w:type="dxa"/>
            <w:tcBorders>
              <w:top w:val="single" w:sz="6" w:space="0" w:color="60CAF3"/>
              <w:left w:val="single" w:sz="6" w:space="0" w:color="60CAF3"/>
              <w:bottom w:val="single" w:sz="6" w:space="0" w:color="60CAF3"/>
              <w:right w:val="single" w:sz="6" w:space="0" w:color="60CAF3"/>
            </w:tcBorders>
            <w:shd w:val="clear" w:color="auto" w:fill="CAEDFB"/>
            <w:hideMark/>
          </w:tcPr>
          <w:p w14:paraId="39AE9440"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3 155 886 </w:t>
            </w:r>
          </w:p>
        </w:tc>
      </w:tr>
    </w:tbl>
    <w:p w14:paraId="5F3F9171" w14:textId="77777777" w:rsidR="00617FC9" w:rsidRPr="00986D12" w:rsidRDefault="00617FC9" w:rsidP="00617FC9">
      <w:pPr>
        <w:pStyle w:val="Notes"/>
        <w:rPr>
          <w:rFonts w:asciiTheme="minorHAnsi" w:hAnsiTheme="minorHAnsi" w:cstheme="minorHAnsi"/>
        </w:rPr>
      </w:pPr>
      <w:r w:rsidRPr="00986D12">
        <w:rPr>
          <w:rFonts w:asciiTheme="minorHAnsi" w:hAnsiTheme="minorHAnsi" w:cstheme="minorHAnsi"/>
          <w:lang w:val="en-US"/>
        </w:rPr>
        <w:t>Source: </w:t>
      </w:r>
      <w:r w:rsidRPr="00986D12">
        <w:rPr>
          <w:rFonts w:asciiTheme="minorHAnsi" w:hAnsiTheme="minorHAnsi" w:cstheme="minorHAnsi"/>
        </w:rPr>
        <w:t>BDT operation plan system for Kigali Action Plan </w:t>
      </w:r>
    </w:p>
    <w:p w14:paraId="24BB8195" w14:textId="77777777" w:rsidR="00617FC9" w:rsidRPr="0046236F" w:rsidRDefault="00617FC9" w:rsidP="00BC7ABA">
      <w:pPr>
        <w:pStyle w:val="ListParagraph"/>
        <w:keepNext/>
        <w:numPr>
          <w:ilvl w:val="0"/>
          <w:numId w:val="26"/>
        </w:numPr>
        <w:spacing w:before="60" w:after="60"/>
        <w:ind w:left="714" w:hanging="357"/>
        <w:contextualSpacing w:val="0"/>
        <w:rPr>
          <w:rFonts w:asciiTheme="minorHAnsi" w:hAnsiTheme="minorHAnsi" w:cstheme="minorHAnsi"/>
          <w:b/>
          <w:sz w:val="24"/>
          <w:szCs w:val="24"/>
          <w:lang w:eastAsia="en-GB"/>
        </w:rPr>
      </w:pPr>
      <w:r w:rsidRPr="0046236F">
        <w:rPr>
          <w:rFonts w:asciiTheme="minorHAnsi" w:hAnsiTheme="minorHAnsi" w:cstheme="minorHAnsi"/>
          <w:b/>
          <w:sz w:val="24"/>
          <w:szCs w:val="24"/>
          <w:lang w:eastAsia="en-GB"/>
        </w:rPr>
        <w:t>Comparison of Workload Distribution Across Regional and Area Offices</w:t>
      </w:r>
    </w:p>
    <w:p w14:paraId="4866E953" w14:textId="77777777" w:rsidR="00617FC9" w:rsidRPr="0046236F" w:rsidRDefault="00617FC9" w:rsidP="00617FC9">
      <w:pPr>
        <w:pStyle w:val="Subtitle0"/>
        <w:jc w:val="center"/>
        <w:rPr>
          <w:rFonts w:asciiTheme="minorHAnsi" w:hAnsiTheme="minorHAnsi" w:cstheme="minorHAnsi"/>
          <w:color w:val="000000"/>
          <w:sz w:val="24"/>
          <w:szCs w:val="24"/>
        </w:rPr>
      </w:pPr>
      <w:r w:rsidRPr="0046236F">
        <w:rPr>
          <w:rFonts w:asciiTheme="minorHAnsi" w:hAnsiTheme="minorHAnsi" w:cstheme="minorHAnsi"/>
          <w:sz w:val="24"/>
          <w:szCs w:val="24"/>
          <w:lang w:val="en-US"/>
        </w:rPr>
        <w:t>Workload Dimension: Countries Served vs. Staffing Levels</w:t>
      </w:r>
    </w:p>
    <w:tbl>
      <w:tblPr>
        <w:tblW w:w="753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75"/>
        <w:gridCol w:w="1890"/>
        <w:gridCol w:w="1245"/>
        <w:gridCol w:w="2820"/>
      </w:tblGrid>
      <w:tr w:rsidR="00617FC9" w:rsidRPr="00986D12" w14:paraId="0203E39C" w14:textId="77777777" w:rsidTr="00696175">
        <w:trPr>
          <w:trHeight w:val="300"/>
          <w:jc w:val="center"/>
        </w:trPr>
        <w:tc>
          <w:tcPr>
            <w:tcW w:w="1575" w:type="dxa"/>
            <w:tcBorders>
              <w:top w:val="single" w:sz="6" w:space="0" w:color="FFFFFF"/>
              <w:left w:val="single" w:sz="6" w:space="0" w:color="FFFFFF"/>
              <w:bottom w:val="single" w:sz="6" w:space="0" w:color="FFFFFF"/>
              <w:right w:val="single" w:sz="6" w:space="0" w:color="FFFFFF"/>
            </w:tcBorders>
            <w:shd w:val="clear" w:color="auto" w:fill="45B0E1"/>
            <w:vAlign w:val="center"/>
            <w:hideMark/>
          </w:tcPr>
          <w:p w14:paraId="2F11F7D6" w14:textId="77777777" w:rsidR="00617FC9" w:rsidRPr="00986D12" w:rsidRDefault="00617FC9" w:rsidP="00696175">
            <w:pPr>
              <w:pStyle w:val="Tabletitle0"/>
              <w:rPr>
                <w:rFonts w:asciiTheme="minorHAnsi" w:hAnsiTheme="minorHAnsi" w:cstheme="minorHAnsi"/>
                <w:lang w:eastAsia="en-GB"/>
              </w:rPr>
            </w:pPr>
            <w:r w:rsidRPr="00986D12">
              <w:rPr>
                <w:rFonts w:asciiTheme="minorHAnsi" w:hAnsiTheme="minorHAnsi" w:cstheme="minorHAnsi"/>
                <w:lang w:eastAsia="en-GB"/>
              </w:rPr>
              <w:t>Region</w:t>
            </w:r>
          </w:p>
        </w:tc>
        <w:tc>
          <w:tcPr>
            <w:tcW w:w="1890" w:type="dxa"/>
            <w:tcBorders>
              <w:top w:val="single" w:sz="6" w:space="0" w:color="FFFFFF"/>
              <w:left w:val="single" w:sz="6" w:space="0" w:color="FFFFFF"/>
              <w:bottom w:val="single" w:sz="6" w:space="0" w:color="FFFFFF"/>
              <w:right w:val="single" w:sz="6" w:space="0" w:color="FFFFFF"/>
            </w:tcBorders>
            <w:shd w:val="clear" w:color="auto" w:fill="45B0E1"/>
            <w:vAlign w:val="center"/>
            <w:hideMark/>
          </w:tcPr>
          <w:p w14:paraId="5F5D88AF" w14:textId="77777777" w:rsidR="00617FC9" w:rsidRPr="00986D12" w:rsidRDefault="00617FC9" w:rsidP="00696175">
            <w:pPr>
              <w:pStyle w:val="Tabletitle0"/>
              <w:jc w:val="center"/>
              <w:rPr>
                <w:rFonts w:asciiTheme="minorHAnsi" w:hAnsiTheme="minorHAnsi" w:cstheme="minorHAnsi"/>
                <w:lang w:eastAsia="en-GB"/>
              </w:rPr>
            </w:pPr>
            <w:r w:rsidRPr="00986D12">
              <w:rPr>
                <w:rFonts w:asciiTheme="minorHAnsi" w:hAnsiTheme="minorHAnsi" w:cstheme="minorHAnsi"/>
                <w:lang w:eastAsia="en-GB"/>
              </w:rPr>
              <w:t>Countries Served</w:t>
            </w:r>
          </w:p>
        </w:tc>
        <w:tc>
          <w:tcPr>
            <w:tcW w:w="1245" w:type="dxa"/>
            <w:tcBorders>
              <w:top w:val="single" w:sz="6" w:space="0" w:color="FFFFFF"/>
              <w:left w:val="single" w:sz="6" w:space="0" w:color="FFFFFF"/>
              <w:bottom w:val="single" w:sz="6" w:space="0" w:color="FFFFFF"/>
              <w:right w:val="single" w:sz="6" w:space="0" w:color="FFFFFF"/>
            </w:tcBorders>
            <w:shd w:val="clear" w:color="auto" w:fill="45B0E1"/>
            <w:vAlign w:val="center"/>
            <w:hideMark/>
          </w:tcPr>
          <w:p w14:paraId="22518767" w14:textId="77777777" w:rsidR="00617FC9" w:rsidRPr="00986D12" w:rsidRDefault="00617FC9" w:rsidP="00696175">
            <w:pPr>
              <w:pStyle w:val="Tabletitle0"/>
              <w:jc w:val="center"/>
              <w:rPr>
                <w:rFonts w:asciiTheme="minorHAnsi" w:hAnsiTheme="minorHAnsi" w:cstheme="minorHAnsi"/>
                <w:lang w:eastAsia="en-GB"/>
              </w:rPr>
            </w:pPr>
            <w:r w:rsidRPr="00986D12">
              <w:rPr>
                <w:rFonts w:asciiTheme="minorHAnsi" w:hAnsiTheme="minorHAnsi" w:cstheme="minorHAnsi"/>
                <w:lang w:eastAsia="en-GB"/>
              </w:rPr>
              <w:t>Total Staff</w:t>
            </w:r>
          </w:p>
        </w:tc>
        <w:tc>
          <w:tcPr>
            <w:tcW w:w="2820" w:type="dxa"/>
            <w:tcBorders>
              <w:top w:val="single" w:sz="6" w:space="0" w:color="FFFFFF"/>
              <w:left w:val="single" w:sz="6" w:space="0" w:color="FFFFFF"/>
              <w:bottom w:val="single" w:sz="6" w:space="0" w:color="FFFFFF"/>
              <w:right w:val="single" w:sz="6" w:space="0" w:color="FFFFFF"/>
            </w:tcBorders>
            <w:shd w:val="clear" w:color="auto" w:fill="45B0E1"/>
            <w:vAlign w:val="center"/>
            <w:hideMark/>
          </w:tcPr>
          <w:p w14:paraId="2CC44E7D" w14:textId="77777777" w:rsidR="00617FC9" w:rsidRPr="00986D12" w:rsidRDefault="00617FC9" w:rsidP="00696175">
            <w:pPr>
              <w:pStyle w:val="Tabletitle0"/>
              <w:jc w:val="center"/>
              <w:rPr>
                <w:rFonts w:asciiTheme="minorHAnsi" w:hAnsiTheme="minorHAnsi" w:cstheme="minorHAnsi"/>
                <w:lang w:eastAsia="en-GB"/>
              </w:rPr>
            </w:pPr>
            <w:r w:rsidRPr="00986D12">
              <w:rPr>
                <w:rFonts w:asciiTheme="minorHAnsi" w:hAnsiTheme="minorHAnsi" w:cstheme="minorHAnsi"/>
                <w:lang w:eastAsia="en-GB"/>
              </w:rPr>
              <w:t>Approx. Countries per Staff</w:t>
            </w:r>
          </w:p>
        </w:tc>
      </w:tr>
      <w:tr w:rsidR="00617FC9" w:rsidRPr="00986D12" w14:paraId="26F2133C" w14:textId="77777777" w:rsidTr="00696175">
        <w:trPr>
          <w:trHeight w:val="300"/>
          <w:jc w:val="center"/>
        </w:trPr>
        <w:tc>
          <w:tcPr>
            <w:tcW w:w="1575"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6A3F951C"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Europe</w:t>
            </w:r>
          </w:p>
        </w:tc>
        <w:tc>
          <w:tcPr>
            <w:tcW w:w="1890"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24485148"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46</w:t>
            </w:r>
          </w:p>
        </w:tc>
        <w:tc>
          <w:tcPr>
            <w:tcW w:w="1245"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0562F62D"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3</w:t>
            </w:r>
          </w:p>
        </w:tc>
        <w:tc>
          <w:tcPr>
            <w:tcW w:w="2820"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408AC69C"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~15.3</w:t>
            </w:r>
          </w:p>
        </w:tc>
      </w:tr>
      <w:tr w:rsidR="00617FC9" w:rsidRPr="00986D12" w14:paraId="3BE370DA" w14:textId="77777777" w:rsidTr="00696175">
        <w:trPr>
          <w:trHeight w:val="300"/>
          <w:jc w:val="center"/>
        </w:trPr>
        <w:tc>
          <w:tcPr>
            <w:tcW w:w="1575" w:type="dxa"/>
            <w:tcBorders>
              <w:top w:val="single" w:sz="6" w:space="0" w:color="FFFFFF"/>
              <w:left w:val="single" w:sz="6" w:space="0" w:color="FFFFFF"/>
              <w:bottom w:val="single" w:sz="6" w:space="0" w:color="FFFFFF"/>
              <w:right w:val="single" w:sz="6" w:space="0" w:color="FFFFFF"/>
            </w:tcBorders>
            <w:vAlign w:val="center"/>
            <w:hideMark/>
          </w:tcPr>
          <w:p w14:paraId="2FD89FFE"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Africa</w:t>
            </w:r>
          </w:p>
        </w:tc>
        <w:tc>
          <w:tcPr>
            <w:tcW w:w="1890" w:type="dxa"/>
            <w:tcBorders>
              <w:top w:val="single" w:sz="6" w:space="0" w:color="FFFFFF"/>
              <w:left w:val="single" w:sz="6" w:space="0" w:color="FFFFFF"/>
              <w:bottom w:val="single" w:sz="6" w:space="0" w:color="FFFFFF"/>
              <w:right w:val="single" w:sz="6" w:space="0" w:color="FFFFFF"/>
            </w:tcBorders>
            <w:vAlign w:val="center"/>
            <w:hideMark/>
          </w:tcPr>
          <w:p w14:paraId="247E99C8"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43</w:t>
            </w:r>
          </w:p>
        </w:tc>
        <w:tc>
          <w:tcPr>
            <w:tcW w:w="1245" w:type="dxa"/>
            <w:tcBorders>
              <w:top w:val="single" w:sz="6" w:space="0" w:color="FFFFFF"/>
              <w:left w:val="single" w:sz="6" w:space="0" w:color="FFFFFF"/>
              <w:bottom w:val="single" w:sz="6" w:space="0" w:color="FFFFFF"/>
              <w:right w:val="single" w:sz="6" w:space="0" w:color="FFFFFF"/>
            </w:tcBorders>
            <w:vAlign w:val="center"/>
            <w:hideMark/>
          </w:tcPr>
          <w:p w14:paraId="27DE6493"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18</w:t>
            </w:r>
          </w:p>
        </w:tc>
        <w:tc>
          <w:tcPr>
            <w:tcW w:w="2820" w:type="dxa"/>
            <w:tcBorders>
              <w:top w:val="single" w:sz="6" w:space="0" w:color="FFFFFF"/>
              <w:left w:val="single" w:sz="6" w:space="0" w:color="FFFFFF"/>
              <w:bottom w:val="single" w:sz="6" w:space="0" w:color="FFFFFF"/>
              <w:right w:val="single" w:sz="6" w:space="0" w:color="FFFFFF"/>
            </w:tcBorders>
            <w:vAlign w:val="center"/>
            <w:hideMark/>
          </w:tcPr>
          <w:p w14:paraId="19C529DB"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~2.4</w:t>
            </w:r>
          </w:p>
        </w:tc>
      </w:tr>
      <w:tr w:rsidR="00617FC9" w:rsidRPr="00986D12" w14:paraId="683B83D2" w14:textId="77777777" w:rsidTr="00696175">
        <w:trPr>
          <w:trHeight w:val="300"/>
          <w:jc w:val="center"/>
        </w:trPr>
        <w:tc>
          <w:tcPr>
            <w:tcW w:w="1575"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1F6D412D"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Asia-Pacific</w:t>
            </w:r>
          </w:p>
        </w:tc>
        <w:tc>
          <w:tcPr>
            <w:tcW w:w="1890"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3D6A16FE"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39</w:t>
            </w:r>
          </w:p>
        </w:tc>
        <w:tc>
          <w:tcPr>
            <w:tcW w:w="1245"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2A00D83B"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17</w:t>
            </w:r>
          </w:p>
        </w:tc>
        <w:tc>
          <w:tcPr>
            <w:tcW w:w="2820"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7D740D9F"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~2.3</w:t>
            </w:r>
          </w:p>
        </w:tc>
      </w:tr>
      <w:tr w:rsidR="00617FC9" w:rsidRPr="00986D12" w14:paraId="24C9CE75" w14:textId="77777777" w:rsidTr="00696175">
        <w:trPr>
          <w:trHeight w:val="300"/>
          <w:jc w:val="center"/>
        </w:trPr>
        <w:tc>
          <w:tcPr>
            <w:tcW w:w="1575" w:type="dxa"/>
            <w:tcBorders>
              <w:top w:val="single" w:sz="6" w:space="0" w:color="FFFFFF"/>
              <w:left w:val="single" w:sz="6" w:space="0" w:color="FFFFFF"/>
              <w:bottom w:val="single" w:sz="6" w:space="0" w:color="FFFFFF"/>
              <w:right w:val="single" w:sz="6" w:space="0" w:color="FFFFFF"/>
            </w:tcBorders>
            <w:vAlign w:val="center"/>
            <w:hideMark/>
          </w:tcPr>
          <w:p w14:paraId="4E3D0141"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Americas</w:t>
            </w:r>
          </w:p>
        </w:tc>
        <w:tc>
          <w:tcPr>
            <w:tcW w:w="1890" w:type="dxa"/>
            <w:tcBorders>
              <w:top w:val="single" w:sz="6" w:space="0" w:color="FFFFFF"/>
              <w:left w:val="single" w:sz="6" w:space="0" w:color="FFFFFF"/>
              <w:bottom w:val="single" w:sz="6" w:space="0" w:color="FFFFFF"/>
              <w:right w:val="single" w:sz="6" w:space="0" w:color="FFFFFF"/>
            </w:tcBorders>
            <w:vAlign w:val="center"/>
            <w:hideMark/>
          </w:tcPr>
          <w:p w14:paraId="1565FF05"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35</w:t>
            </w:r>
          </w:p>
        </w:tc>
        <w:tc>
          <w:tcPr>
            <w:tcW w:w="1245" w:type="dxa"/>
            <w:tcBorders>
              <w:top w:val="single" w:sz="6" w:space="0" w:color="FFFFFF"/>
              <w:left w:val="single" w:sz="6" w:space="0" w:color="FFFFFF"/>
              <w:bottom w:val="single" w:sz="6" w:space="0" w:color="FFFFFF"/>
              <w:right w:val="single" w:sz="6" w:space="0" w:color="FFFFFF"/>
            </w:tcBorders>
            <w:vAlign w:val="center"/>
            <w:hideMark/>
          </w:tcPr>
          <w:p w14:paraId="04F52595"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13</w:t>
            </w:r>
          </w:p>
        </w:tc>
        <w:tc>
          <w:tcPr>
            <w:tcW w:w="2820" w:type="dxa"/>
            <w:tcBorders>
              <w:top w:val="single" w:sz="6" w:space="0" w:color="FFFFFF"/>
              <w:left w:val="single" w:sz="6" w:space="0" w:color="FFFFFF"/>
              <w:bottom w:val="single" w:sz="6" w:space="0" w:color="FFFFFF"/>
              <w:right w:val="single" w:sz="6" w:space="0" w:color="FFFFFF"/>
            </w:tcBorders>
            <w:vAlign w:val="center"/>
            <w:hideMark/>
          </w:tcPr>
          <w:p w14:paraId="4BAF7289"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~2.7</w:t>
            </w:r>
          </w:p>
        </w:tc>
      </w:tr>
      <w:tr w:rsidR="00617FC9" w:rsidRPr="00986D12" w14:paraId="4B305CC3" w14:textId="77777777" w:rsidTr="00696175">
        <w:trPr>
          <w:trHeight w:val="300"/>
          <w:jc w:val="center"/>
        </w:trPr>
        <w:tc>
          <w:tcPr>
            <w:tcW w:w="1575"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6D022C6D"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Arab States</w:t>
            </w:r>
          </w:p>
        </w:tc>
        <w:tc>
          <w:tcPr>
            <w:tcW w:w="1890"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076F4E35"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22</w:t>
            </w:r>
          </w:p>
        </w:tc>
        <w:tc>
          <w:tcPr>
            <w:tcW w:w="1245"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5417FD6D"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10</w:t>
            </w:r>
          </w:p>
        </w:tc>
        <w:tc>
          <w:tcPr>
            <w:tcW w:w="2820"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376224F3"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~2.2</w:t>
            </w:r>
          </w:p>
        </w:tc>
      </w:tr>
      <w:tr w:rsidR="00617FC9" w:rsidRPr="00986D12" w14:paraId="04FBC4FB" w14:textId="77777777" w:rsidTr="00696175">
        <w:trPr>
          <w:trHeight w:val="300"/>
          <w:jc w:val="center"/>
        </w:trPr>
        <w:tc>
          <w:tcPr>
            <w:tcW w:w="1575" w:type="dxa"/>
            <w:tcBorders>
              <w:top w:val="single" w:sz="6" w:space="0" w:color="FFFFFF"/>
              <w:left w:val="single" w:sz="6" w:space="0" w:color="FFFFFF"/>
              <w:bottom w:val="single" w:sz="6" w:space="0" w:color="FFFFFF"/>
              <w:right w:val="single" w:sz="6" w:space="0" w:color="FFFFFF"/>
            </w:tcBorders>
            <w:vAlign w:val="center"/>
            <w:hideMark/>
          </w:tcPr>
          <w:p w14:paraId="1963808E"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CIS</w:t>
            </w:r>
          </w:p>
        </w:tc>
        <w:tc>
          <w:tcPr>
            <w:tcW w:w="1890" w:type="dxa"/>
            <w:tcBorders>
              <w:top w:val="single" w:sz="6" w:space="0" w:color="FFFFFF"/>
              <w:left w:val="single" w:sz="6" w:space="0" w:color="FFFFFF"/>
              <w:bottom w:val="single" w:sz="6" w:space="0" w:color="FFFFFF"/>
              <w:right w:val="single" w:sz="6" w:space="0" w:color="FFFFFF"/>
            </w:tcBorders>
            <w:vAlign w:val="center"/>
            <w:hideMark/>
          </w:tcPr>
          <w:p w14:paraId="194787A7"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9</w:t>
            </w:r>
          </w:p>
        </w:tc>
        <w:tc>
          <w:tcPr>
            <w:tcW w:w="1245" w:type="dxa"/>
            <w:tcBorders>
              <w:top w:val="single" w:sz="6" w:space="0" w:color="FFFFFF"/>
              <w:left w:val="single" w:sz="6" w:space="0" w:color="FFFFFF"/>
              <w:bottom w:val="single" w:sz="6" w:space="0" w:color="FFFFFF"/>
              <w:right w:val="single" w:sz="6" w:space="0" w:color="FFFFFF"/>
            </w:tcBorders>
            <w:vAlign w:val="center"/>
            <w:hideMark/>
          </w:tcPr>
          <w:p w14:paraId="682BD0C1"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3</w:t>
            </w:r>
          </w:p>
        </w:tc>
        <w:tc>
          <w:tcPr>
            <w:tcW w:w="2820" w:type="dxa"/>
            <w:tcBorders>
              <w:top w:val="single" w:sz="6" w:space="0" w:color="FFFFFF"/>
              <w:left w:val="single" w:sz="6" w:space="0" w:color="FFFFFF"/>
              <w:bottom w:val="single" w:sz="6" w:space="0" w:color="FFFFFF"/>
              <w:right w:val="single" w:sz="6" w:space="0" w:color="FFFFFF"/>
            </w:tcBorders>
            <w:vAlign w:val="center"/>
            <w:hideMark/>
          </w:tcPr>
          <w:p w14:paraId="73F47A11"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~3</w:t>
            </w:r>
          </w:p>
        </w:tc>
      </w:tr>
    </w:tbl>
    <w:p w14:paraId="49C08CC0" w14:textId="77777777" w:rsidR="00617FC9" w:rsidRPr="0046236F" w:rsidRDefault="00617FC9" w:rsidP="00617FC9">
      <w:pPr>
        <w:pStyle w:val="Subtitle0"/>
        <w:jc w:val="center"/>
        <w:rPr>
          <w:rFonts w:asciiTheme="minorHAnsi" w:hAnsiTheme="minorHAnsi" w:cstheme="minorHAnsi"/>
          <w:sz w:val="24"/>
          <w:szCs w:val="24"/>
          <w:lang w:val="en-US"/>
        </w:rPr>
      </w:pPr>
      <w:r w:rsidRPr="0046236F">
        <w:rPr>
          <w:rFonts w:asciiTheme="minorHAnsi" w:hAnsiTheme="minorHAnsi" w:cstheme="minorHAnsi"/>
          <w:sz w:val="24"/>
          <w:szCs w:val="24"/>
          <w:lang w:val="en-US"/>
        </w:rPr>
        <w:t>Staff, number of countries served and number of projects</w:t>
      </w:r>
    </w:p>
    <w:p w14:paraId="7AE48B19" w14:textId="77777777" w:rsidR="00617FC9" w:rsidRPr="00986D12" w:rsidRDefault="00617FC9" w:rsidP="00617FC9">
      <w:pPr>
        <w:jc w:val="center"/>
        <w:rPr>
          <w:rFonts w:asciiTheme="minorHAnsi" w:hAnsiTheme="minorHAnsi" w:cstheme="minorHAnsi"/>
          <w:sz w:val="18"/>
          <w:szCs w:val="18"/>
          <w:lang w:eastAsia="en-GB"/>
        </w:rPr>
      </w:pPr>
      <w:r w:rsidRPr="00986D12">
        <w:rPr>
          <w:rFonts w:asciiTheme="minorHAnsi" w:hAnsiTheme="minorHAnsi" w:cstheme="minorHAnsi"/>
          <w:noProof/>
        </w:rPr>
        <w:drawing>
          <wp:inline distT="0" distB="0" distL="0" distR="0" wp14:anchorId="7D9F2B6A" wp14:editId="5E517412">
            <wp:extent cx="5410200" cy="3409950"/>
            <wp:effectExtent l="0" t="0" r="0" b="0"/>
            <wp:docPr id="13331869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10200" cy="3409950"/>
                    </a:xfrm>
                    <a:prstGeom prst="rect">
                      <a:avLst/>
                    </a:prstGeom>
                    <a:noFill/>
                    <a:ln>
                      <a:noFill/>
                    </a:ln>
                  </pic:spPr>
                </pic:pic>
              </a:graphicData>
            </a:graphic>
          </wp:inline>
        </w:drawing>
      </w:r>
    </w:p>
    <w:p w14:paraId="2CB926C2" w14:textId="77777777" w:rsidR="00617FC9" w:rsidRPr="0046236F" w:rsidRDefault="00617FC9" w:rsidP="00BC7ABA">
      <w:pPr>
        <w:pStyle w:val="ListParagraph"/>
        <w:numPr>
          <w:ilvl w:val="0"/>
          <w:numId w:val="27"/>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Europe shows the highest country-to-staff ratio by a very large margin (~15 countries per staff member).</w:t>
      </w:r>
    </w:p>
    <w:p w14:paraId="5610B0E0" w14:textId="77777777" w:rsidR="00617FC9" w:rsidRPr="0046236F" w:rsidRDefault="00617FC9" w:rsidP="00BC7ABA">
      <w:pPr>
        <w:pStyle w:val="ListParagraph"/>
        <w:numPr>
          <w:ilvl w:val="0"/>
          <w:numId w:val="28"/>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CIS has a moderate ratio (~3 countries per staff member).</w:t>
      </w:r>
    </w:p>
    <w:p w14:paraId="595E5764" w14:textId="77777777" w:rsidR="00617FC9" w:rsidRPr="0046236F" w:rsidRDefault="00617FC9" w:rsidP="00BC7ABA">
      <w:pPr>
        <w:pStyle w:val="ListParagraph"/>
        <w:numPr>
          <w:ilvl w:val="0"/>
          <w:numId w:val="29"/>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Africa, Asia-Pacific, Arab States, and Americas operate within a relatively similar range (2–3 countries per staff member). </w:t>
      </w:r>
    </w:p>
    <w:p w14:paraId="134B8540" w14:textId="77777777" w:rsidR="00617FC9" w:rsidRPr="0046236F" w:rsidRDefault="00617FC9" w:rsidP="00617FC9">
      <w:pPr>
        <w:pStyle w:val="Subtitle0"/>
        <w:jc w:val="center"/>
        <w:rPr>
          <w:rFonts w:asciiTheme="minorHAnsi" w:hAnsiTheme="minorHAnsi" w:cstheme="minorHAnsi"/>
          <w:color w:val="000000"/>
          <w:sz w:val="24"/>
          <w:szCs w:val="24"/>
        </w:rPr>
      </w:pPr>
      <w:r w:rsidRPr="0046236F">
        <w:rPr>
          <w:rFonts w:asciiTheme="minorHAnsi" w:hAnsiTheme="minorHAnsi" w:cstheme="minorHAnsi"/>
          <w:sz w:val="24"/>
          <w:szCs w:val="24"/>
          <w:lang w:val="en-US"/>
        </w:rPr>
        <w:lastRenderedPageBreak/>
        <w:t>Projects Implemented (as of 30 September 2025)</w:t>
      </w:r>
      <w:r w:rsidRPr="0046236F">
        <w:rPr>
          <w:rFonts w:asciiTheme="minorHAnsi" w:hAnsiTheme="minorHAnsi" w:cstheme="minorHAnsi"/>
          <w:color w:val="000000"/>
          <w:sz w:val="24"/>
          <w:szCs w:val="24"/>
          <w:lang w:val="en-US"/>
        </w:rPr>
        <w:t>  </w:t>
      </w:r>
    </w:p>
    <w:tbl>
      <w:tblPr>
        <w:tblW w:w="699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3075"/>
        <w:gridCol w:w="1800"/>
      </w:tblGrid>
      <w:tr w:rsidR="00617FC9" w:rsidRPr="00986D12" w14:paraId="6EB576B1" w14:textId="77777777" w:rsidTr="00696175">
        <w:trPr>
          <w:trHeight w:val="300"/>
          <w:tblHeader/>
          <w:jc w:val="center"/>
        </w:trPr>
        <w:tc>
          <w:tcPr>
            <w:tcW w:w="2115" w:type="dxa"/>
            <w:tcBorders>
              <w:top w:val="single" w:sz="6" w:space="0" w:color="FFFFFF"/>
              <w:left w:val="single" w:sz="6" w:space="0" w:color="FFFFFF"/>
              <w:bottom w:val="single" w:sz="6" w:space="0" w:color="FFFFFF"/>
              <w:right w:val="single" w:sz="6" w:space="0" w:color="FFFFFF"/>
            </w:tcBorders>
            <w:shd w:val="clear" w:color="auto" w:fill="45B0E1"/>
            <w:vAlign w:val="center"/>
            <w:hideMark/>
          </w:tcPr>
          <w:p w14:paraId="5343ADA2" w14:textId="77777777" w:rsidR="00617FC9" w:rsidRPr="00986D12" w:rsidRDefault="00617FC9" w:rsidP="00696175">
            <w:pPr>
              <w:pStyle w:val="Tabletitle0"/>
              <w:rPr>
                <w:rFonts w:asciiTheme="minorHAnsi" w:hAnsiTheme="minorHAnsi" w:cstheme="minorHAnsi"/>
                <w:color w:val="FFFFFF" w:themeColor="background1"/>
                <w:lang w:eastAsia="en-GB"/>
              </w:rPr>
            </w:pPr>
            <w:r w:rsidRPr="00986D12">
              <w:rPr>
                <w:rFonts w:asciiTheme="minorHAnsi" w:hAnsiTheme="minorHAnsi" w:cstheme="minorHAnsi"/>
                <w:color w:val="FFFFFF" w:themeColor="background1"/>
                <w:lang w:eastAsia="en-GB"/>
              </w:rPr>
              <w:t>Region</w:t>
            </w:r>
          </w:p>
        </w:tc>
        <w:tc>
          <w:tcPr>
            <w:tcW w:w="3075" w:type="dxa"/>
            <w:tcBorders>
              <w:top w:val="single" w:sz="6" w:space="0" w:color="FFFFFF"/>
              <w:left w:val="single" w:sz="6" w:space="0" w:color="FFFFFF"/>
              <w:bottom w:val="single" w:sz="6" w:space="0" w:color="FFFFFF"/>
              <w:right w:val="single" w:sz="6" w:space="0" w:color="FFFFFF"/>
            </w:tcBorders>
            <w:shd w:val="clear" w:color="auto" w:fill="45B0E1"/>
            <w:vAlign w:val="center"/>
            <w:hideMark/>
          </w:tcPr>
          <w:p w14:paraId="66690155" w14:textId="77777777" w:rsidR="00617FC9" w:rsidRPr="00986D12" w:rsidRDefault="00617FC9" w:rsidP="00696175">
            <w:pPr>
              <w:pStyle w:val="Tabletitle0"/>
              <w:jc w:val="center"/>
              <w:rPr>
                <w:rFonts w:asciiTheme="minorHAnsi" w:hAnsiTheme="minorHAnsi" w:cstheme="minorHAnsi"/>
                <w:color w:val="FFFFFF" w:themeColor="background1"/>
                <w:lang w:eastAsia="en-GB"/>
              </w:rPr>
            </w:pPr>
            <w:r w:rsidRPr="00986D12">
              <w:rPr>
                <w:rFonts w:asciiTheme="minorHAnsi" w:hAnsiTheme="minorHAnsi" w:cstheme="minorHAnsi"/>
                <w:color w:val="FFFFFF" w:themeColor="background1"/>
                <w:lang w:eastAsia="en-GB"/>
              </w:rPr>
              <w:t>Projects with Activities </w:t>
            </w:r>
            <w:r w:rsidRPr="00986D12">
              <w:rPr>
                <w:rFonts w:asciiTheme="minorHAnsi" w:hAnsiTheme="minorHAnsi" w:cstheme="minorHAnsi"/>
                <w:color w:val="FFFFFF" w:themeColor="background1"/>
                <w:lang w:eastAsia="en-GB"/>
              </w:rPr>
              <w:br/>
              <w:t>(2023–2025 data)</w:t>
            </w:r>
          </w:p>
        </w:tc>
        <w:tc>
          <w:tcPr>
            <w:tcW w:w="1800" w:type="dxa"/>
            <w:tcBorders>
              <w:top w:val="single" w:sz="6" w:space="0" w:color="FFFFFF"/>
              <w:left w:val="single" w:sz="6" w:space="0" w:color="FFFFFF"/>
              <w:bottom w:val="single" w:sz="6" w:space="0" w:color="FFFFFF"/>
              <w:right w:val="single" w:sz="6" w:space="0" w:color="FFFFFF"/>
            </w:tcBorders>
            <w:shd w:val="clear" w:color="auto" w:fill="45B0E1"/>
            <w:vAlign w:val="center"/>
            <w:hideMark/>
          </w:tcPr>
          <w:p w14:paraId="6564FFC8" w14:textId="77777777" w:rsidR="00617FC9" w:rsidRPr="00986D12" w:rsidRDefault="00617FC9" w:rsidP="00696175">
            <w:pPr>
              <w:pStyle w:val="Tabletitle0"/>
              <w:jc w:val="center"/>
              <w:rPr>
                <w:rFonts w:asciiTheme="minorHAnsi" w:hAnsiTheme="minorHAnsi" w:cstheme="minorHAnsi"/>
                <w:color w:val="FFFFFF" w:themeColor="background1"/>
                <w:lang w:eastAsia="en-GB"/>
              </w:rPr>
            </w:pPr>
            <w:r w:rsidRPr="00986D12">
              <w:rPr>
                <w:rFonts w:asciiTheme="minorHAnsi" w:hAnsiTheme="minorHAnsi" w:cstheme="minorHAnsi"/>
                <w:color w:val="FFFFFF" w:themeColor="background1"/>
                <w:lang w:eastAsia="en-GB"/>
              </w:rPr>
              <w:t>CHF Total (approx.)</w:t>
            </w:r>
          </w:p>
        </w:tc>
      </w:tr>
      <w:tr w:rsidR="00617FC9" w:rsidRPr="00986D12" w14:paraId="22B99E12" w14:textId="77777777" w:rsidTr="00696175">
        <w:trPr>
          <w:trHeight w:val="300"/>
          <w:jc w:val="center"/>
        </w:trPr>
        <w:tc>
          <w:tcPr>
            <w:tcW w:w="2115"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429758BD"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Africa</w:t>
            </w:r>
          </w:p>
        </w:tc>
        <w:tc>
          <w:tcPr>
            <w:tcW w:w="3075"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43342EFD"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22</w:t>
            </w:r>
          </w:p>
        </w:tc>
        <w:tc>
          <w:tcPr>
            <w:tcW w:w="1800"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43FB8211"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28.97M</w:t>
            </w:r>
          </w:p>
        </w:tc>
      </w:tr>
      <w:tr w:rsidR="00617FC9" w:rsidRPr="00986D12" w14:paraId="5F6BAE5E" w14:textId="77777777" w:rsidTr="00696175">
        <w:trPr>
          <w:trHeight w:val="300"/>
          <w:jc w:val="center"/>
        </w:trPr>
        <w:tc>
          <w:tcPr>
            <w:tcW w:w="2115" w:type="dxa"/>
            <w:tcBorders>
              <w:top w:val="single" w:sz="6" w:space="0" w:color="FFFFFF"/>
              <w:left w:val="single" w:sz="6" w:space="0" w:color="FFFFFF"/>
              <w:bottom w:val="single" w:sz="6" w:space="0" w:color="FFFFFF"/>
              <w:right w:val="single" w:sz="6" w:space="0" w:color="FFFFFF"/>
            </w:tcBorders>
            <w:vAlign w:val="center"/>
            <w:hideMark/>
          </w:tcPr>
          <w:p w14:paraId="45F1CE7D"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Americas</w:t>
            </w:r>
          </w:p>
        </w:tc>
        <w:tc>
          <w:tcPr>
            <w:tcW w:w="3075" w:type="dxa"/>
            <w:tcBorders>
              <w:top w:val="single" w:sz="6" w:space="0" w:color="FFFFFF"/>
              <w:left w:val="single" w:sz="6" w:space="0" w:color="FFFFFF"/>
              <w:bottom w:val="single" w:sz="6" w:space="0" w:color="FFFFFF"/>
              <w:right w:val="single" w:sz="6" w:space="0" w:color="FFFFFF"/>
            </w:tcBorders>
            <w:vAlign w:val="center"/>
            <w:hideMark/>
          </w:tcPr>
          <w:p w14:paraId="688B62DB"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24</w:t>
            </w:r>
          </w:p>
        </w:tc>
        <w:tc>
          <w:tcPr>
            <w:tcW w:w="1800" w:type="dxa"/>
            <w:tcBorders>
              <w:top w:val="single" w:sz="6" w:space="0" w:color="FFFFFF"/>
              <w:left w:val="single" w:sz="6" w:space="0" w:color="FFFFFF"/>
              <w:bottom w:val="single" w:sz="6" w:space="0" w:color="FFFFFF"/>
              <w:right w:val="single" w:sz="6" w:space="0" w:color="FFFFFF"/>
            </w:tcBorders>
            <w:vAlign w:val="center"/>
            <w:hideMark/>
          </w:tcPr>
          <w:p w14:paraId="465C5668"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42.89M</w:t>
            </w:r>
          </w:p>
        </w:tc>
      </w:tr>
      <w:tr w:rsidR="00617FC9" w:rsidRPr="00986D12" w14:paraId="07C07033" w14:textId="77777777" w:rsidTr="00696175">
        <w:trPr>
          <w:trHeight w:val="300"/>
          <w:jc w:val="center"/>
        </w:trPr>
        <w:tc>
          <w:tcPr>
            <w:tcW w:w="2115"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410D3D24"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Asia-Pacific</w:t>
            </w:r>
          </w:p>
        </w:tc>
        <w:tc>
          <w:tcPr>
            <w:tcW w:w="3075"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33EF649F"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19</w:t>
            </w:r>
          </w:p>
        </w:tc>
        <w:tc>
          <w:tcPr>
            <w:tcW w:w="1800"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01F3F9BD"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8.07M</w:t>
            </w:r>
          </w:p>
        </w:tc>
      </w:tr>
      <w:tr w:rsidR="00617FC9" w:rsidRPr="00986D12" w14:paraId="0CD5F264" w14:textId="77777777" w:rsidTr="00696175">
        <w:trPr>
          <w:trHeight w:val="300"/>
          <w:jc w:val="center"/>
        </w:trPr>
        <w:tc>
          <w:tcPr>
            <w:tcW w:w="2115" w:type="dxa"/>
            <w:tcBorders>
              <w:top w:val="single" w:sz="6" w:space="0" w:color="FFFFFF"/>
              <w:left w:val="single" w:sz="6" w:space="0" w:color="FFFFFF"/>
              <w:bottom w:val="single" w:sz="6" w:space="0" w:color="FFFFFF"/>
              <w:right w:val="single" w:sz="6" w:space="0" w:color="FFFFFF"/>
            </w:tcBorders>
            <w:vAlign w:val="center"/>
            <w:hideMark/>
          </w:tcPr>
          <w:p w14:paraId="7C9D1244"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Arab States</w:t>
            </w:r>
          </w:p>
        </w:tc>
        <w:tc>
          <w:tcPr>
            <w:tcW w:w="3075" w:type="dxa"/>
            <w:tcBorders>
              <w:top w:val="single" w:sz="6" w:space="0" w:color="FFFFFF"/>
              <w:left w:val="single" w:sz="6" w:space="0" w:color="FFFFFF"/>
              <w:bottom w:val="single" w:sz="6" w:space="0" w:color="FFFFFF"/>
              <w:right w:val="single" w:sz="6" w:space="0" w:color="FFFFFF"/>
            </w:tcBorders>
            <w:vAlign w:val="center"/>
            <w:hideMark/>
          </w:tcPr>
          <w:p w14:paraId="30D2C550"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10</w:t>
            </w:r>
          </w:p>
        </w:tc>
        <w:tc>
          <w:tcPr>
            <w:tcW w:w="1800" w:type="dxa"/>
            <w:tcBorders>
              <w:top w:val="single" w:sz="6" w:space="0" w:color="FFFFFF"/>
              <w:left w:val="single" w:sz="6" w:space="0" w:color="FFFFFF"/>
              <w:bottom w:val="single" w:sz="6" w:space="0" w:color="FFFFFF"/>
              <w:right w:val="single" w:sz="6" w:space="0" w:color="FFFFFF"/>
            </w:tcBorders>
            <w:vAlign w:val="center"/>
            <w:hideMark/>
          </w:tcPr>
          <w:p w14:paraId="20E85A1E"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8.35M</w:t>
            </w:r>
          </w:p>
        </w:tc>
      </w:tr>
      <w:tr w:rsidR="00617FC9" w:rsidRPr="00986D12" w14:paraId="3D53B313" w14:textId="77777777" w:rsidTr="00696175">
        <w:trPr>
          <w:trHeight w:val="300"/>
          <w:jc w:val="center"/>
        </w:trPr>
        <w:tc>
          <w:tcPr>
            <w:tcW w:w="2115"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06C0905E"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Europe</w:t>
            </w:r>
          </w:p>
        </w:tc>
        <w:tc>
          <w:tcPr>
            <w:tcW w:w="3075"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246F15CE"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5</w:t>
            </w:r>
          </w:p>
        </w:tc>
        <w:tc>
          <w:tcPr>
            <w:tcW w:w="1800"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54A44764"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4.01M</w:t>
            </w:r>
          </w:p>
        </w:tc>
      </w:tr>
      <w:tr w:rsidR="00617FC9" w:rsidRPr="00986D12" w14:paraId="4A7C40FE" w14:textId="77777777" w:rsidTr="00696175">
        <w:trPr>
          <w:trHeight w:val="300"/>
          <w:jc w:val="center"/>
        </w:trPr>
        <w:tc>
          <w:tcPr>
            <w:tcW w:w="2115" w:type="dxa"/>
            <w:tcBorders>
              <w:top w:val="single" w:sz="6" w:space="0" w:color="FFFFFF"/>
              <w:left w:val="single" w:sz="6" w:space="0" w:color="FFFFFF"/>
              <w:bottom w:val="single" w:sz="6" w:space="0" w:color="FFFFFF"/>
              <w:right w:val="single" w:sz="6" w:space="0" w:color="FFFFFF"/>
            </w:tcBorders>
            <w:vAlign w:val="center"/>
            <w:hideMark/>
          </w:tcPr>
          <w:p w14:paraId="4F09C162"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CIS</w:t>
            </w:r>
          </w:p>
        </w:tc>
        <w:tc>
          <w:tcPr>
            <w:tcW w:w="3075" w:type="dxa"/>
            <w:tcBorders>
              <w:top w:val="single" w:sz="6" w:space="0" w:color="FFFFFF"/>
              <w:left w:val="single" w:sz="6" w:space="0" w:color="FFFFFF"/>
              <w:bottom w:val="single" w:sz="6" w:space="0" w:color="FFFFFF"/>
              <w:right w:val="single" w:sz="6" w:space="0" w:color="FFFFFF"/>
            </w:tcBorders>
            <w:vAlign w:val="center"/>
            <w:hideMark/>
          </w:tcPr>
          <w:p w14:paraId="444CB281"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4</w:t>
            </w:r>
          </w:p>
        </w:tc>
        <w:tc>
          <w:tcPr>
            <w:tcW w:w="1800" w:type="dxa"/>
            <w:tcBorders>
              <w:top w:val="single" w:sz="6" w:space="0" w:color="FFFFFF"/>
              <w:left w:val="single" w:sz="6" w:space="0" w:color="FFFFFF"/>
              <w:bottom w:val="single" w:sz="6" w:space="0" w:color="FFFFFF"/>
              <w:right w:val="single" w:sz="6" w:space="0" w:color="FFFFFF"/>
            </w:tcBorders>
            <w:vAlign w:val="center"/>
            <w:hideMark/>
          </w:tcPr>
          <w:p w14:paraId="4D68D9E7"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0.86M</w:t>
            </w:r>
          </w:p>
        </w:tc>
      </w:tr>
      <w:tr w:rsidR="00617FC9" w:rsidRPr="00986D12" w14:paraId="0B4CF227" w14:textId="77777777" w:rsidTr="00696175">
        <w:trPr>
          <w:trHeight w:val="300"/>
          <w:jc w:val="center"/>
        </w:trPr>
        <w:tc>
          <w:tcPr>
            <w:tcW w:w="2115"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1BD63475"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Multi-Regional</w:t>
            </w:r>
          </w:p>
        </w:tc>
        <w:tc>
          <w:tcPr>
            <w:tcW w:w="3075"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03A71A5D"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52</w:t>
            </w:r>
          </w:p>
        </w:tc>
        <w:tc>
          <w:tcPr>
            <w:tcW w:w="1800" w:type="dxa"/>
            <w:tcBorders>
              <w:top w:val="single" w:sz="6" w:space="0" w:color="FFFFFF"/>
              <w:left w:val="single" w:sz="6" w:space="0" w:color="FFFFFF"/>
              <w:bottom w:val="single" w:sz="6" w:space="0" w:color="FFFFFF"/>
              <w:right w:val="single" w:sz="6" w:space="0" w:color="FFFFFF"/>
            </w:tcBorders>
            <w:shd w:val="clear" w:color="auto" w:fill="C1E4F5"/>
            <w:vAlign w:val="center"/>
            <w:hideMark/>
          </w:tcPr>
          <w:p w14:paraId="3CAB1B8E" w14:textId="77777777" w:rsidR="00617FC9" w:rsidRPr="00986D12" w:rsidRDefault="00617FC9" w:rsidP="00696175">
            <w:pPr>
              <w:pStyle w:val="Texttable"/>
              <w:jc w:val="center"/>
              <w:rPr>
                <w:rFonts w:asciiTheme="minorHAnsi" w:hAnsiTheme="minorHAnsi" w:cstheme="minorHAnsi"/>
                <w:lang w:eastAsia="en-GB"/>
              </w:rPr>
            </w:pPr>
            <w:r w:rsidRPr="00986D12">
              <w:rPr>
                <w:rFonts w:asciiTheme="minorHAnsi" w:hAnsiTheme="minorHAnsi" w:cstheme="minorHAnsi"/>
                <w:lang w:eastAsia="en-GB"/>
              </w:rPr>
              <w:t>41.65M</w:t>
            </w:r>
          </w:p>
        </w:tc>
      </w:tr>
    </w:tbl>
    <w:p w14:paraId="21F2744C" w14:textId="77777777" w:rsidR="00617FC9" w:rsidRPr="0046236F" w:rsidRDefault="00617FC9" w:rsidP="00BC7ABA">
      <w:pPr>
        <w:pStyle w:val="ListParagraph"/>
        <w:numPr>
          <w:ilvl w:val="0"/>
          <w:numId w:val="30"/>
        </w:numPr>
        <w:spacing w:before="60" w:after="60"/>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eastAsia="en-GB"/>
        </w:rPr>
        <w:t>Americas and Africa carry the largest project portfolios in financial and quantitative terms. </w:t>
      </w:r>
    </w:p>
    <w:p w14:paraId="6D644EF0" w14:textId="77777777" w:rsidR="00617FC9" w:rsidRPr="0046236F" w:rsidRDefault="00617FC9" w:rsidP="00BC7ABA">
      <w:pPr>
        <w:pStyle w:val="ListParagraph"/>
        <w:numPr>
          <w:ilvl w:val="0"/>
          <w:numId w:val="30"/>
        </w:numPr>
        <w:spacing w:before="60" w:after="60"/>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eastAsia="en-GB"/>
        </w:rPr>
        <w:t>Asia-Pacific also has substantial project volume but lower average funding per project compared to the Americas. </w:t>
      </w:r>
    </w:p>
    <w:p w14:paraId="3C354A65" w14:textId="77777777" w:rsidR="00617FC9" w:rsidRPr="0046236F" w:rsidRDefault="00617FC9" w:rsidP="00BC7ABA">
      <w:pPr>
        <w:pStyle w:val="ListParagraph"/>
        <w:numPr>
          <w:ilvl w:val="0"/>
          <w:numId w:val="30"/>
        </w:numPr>
        <w:spacing w:before="60" w:after="60"/>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eastAsia="en-GB"/>
        </w:rPr>
        <w:t>Europe and CIS have relatively smaller development project portfolios. </w:t>
      </w:r>
    </w:p>
    <w:p w14:paraId="6373CC3F" w14:textId="77777777" w:rsidR="00617FC9" w:rsidRPr="0046236F" w:rsidRDefault="00617FC9" w:rsidP="00BC7ABA">
      <w:pPr>
        <w:pStyle w:val="ListParagraph"/>
        <w:numPr>
          <w:ilvl w:val="0"/>
          <w:numId w:val="30"/>
        </w:numPr>
        <w:spacing w:before="60" w:after="60"/>
        <w:contextualSpacing w:val="0"/>
        <w:rPr>
          <w:rFonts w:asciiTheme="minorHAnsi" w:hAnsiTheme="minorHAnsi" w:cstheme="minorHAnsi"/>
          <w:sz w:val="24"/>
          <w:szCs w:val="24"/>
          <w:lang w:eastAsia="en-GB"/>
        </w:rPr>
      </w:pPr>
      <w:r w:rsidRPr="0046236F">
        <w:rPr>
          <w:rFonts w:asciiTheme="minorHAnsi" w:hAnsiTheme="minorHAnsi" w:cstheme="minorHAnsi"/>
          <w:sz w:val="24"/>
          <w:szCs w:val="24"/>
          <w:lang w:eastAsia="en-GB"/>
        </w:rPr>
        <w:t>A significant portion (52 projects) is multi-regional, indicating cross-regional coordination demands on HQ and regional offices. </w:t>
      </w:r>
    </w:p>
    <w:p w14:paraId="6C6F78A2" w14:textId="77777777" w:rsidR="00617FC9" w:rsidRPr="0091596C" w:rsidRDefault="00617FC9" w:rsidP="00617FC9">
      <w:pPr>
        <w:pStyle w:val="Subtitle0"/>
        <w:jc w:val="center"/>
        <w:rPr>
          <w:rFonts w:asciiTheme="minorHAnsi" w:hAnsiTheme="minorHAnsi" w:cstheme="minorHAnsi"/>
          <w:sz w:val="24"/>
          <w:szCs w:val="24"/>
          <w:lang w:val="en-US"/>
        </w:rPr>
      </w:pPr>
      <w:r w:rsidRPr="0091596C">
        <w:rPr>
          <w:rFonts w:asciiTheme="minorHAnsi" w:hAnsiTheme="minorHAnsi" w:cstheme="minorHAnsi"/>
          <w:sz w:val="24"/>
          <w:szCs w:val="24"/>
          <w:lang w:val="en-US"/>
        </w:rPr>
        <w:t>Project volume by region</w:t>
      </w:r>
    </w:p>
    <w:p w14:paraId="0B73C056" w14:textId="77777777" w:rsidR="00617FC9" w:rsidRPr="00986D12" w:rsidRDefault="00617FC9" w:rsidP="00617FC9">
      <w:pPr>
        <w:jc w:val="center"/>
        <w:rPr>
          <w:rFonts w:asciiTheme="minorHAnsi" w:hAnsiTheme="minorHAnsi" w:cstheme="minorHAnsi"/>
          <w:lang w:eastAsia="en-GB"/>
        </w:rPr>
      </w:pPr>
      <w:r w:rsidRPr="00986D12">
        <w:rPr>
          <w:rFonts w:asciiTheme="minorHAnsi" w:hAnsiTheme="minorHAnsi" w:cstheme="minorHAnsi"/>
          <w:noProof/>
          <w:lang w:eastAsia="en-GB"/>
        </w:rPr>
        <w:drawing>
          <wp:inline distT="0" distB="0" distL="0" distR="0" wp14:anchorId="75DECC66" wp14:editId="7F545A8A">
            <wp:extent cx="4514850" cy="30861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514850" cy="3086100"/>
                    </a:xfrm>
                    <a:prstGeom prst="rect">
                      <a:avLst/>
                    </a:prstGeom>
                    <a:noFill/>
                    <a:ln>
                      <a:noFill/>
                    </a:ln>
                  </pic:spPr>
                </pic:pic>
              </a:graphicData>
            </a:graphic>
          </wp:inline>
        </w:drawing>
      </w:r>
      <w:r w:rsidRPr="00986D12">
        <w:rPr>
          <w:rFonts w:asciiTheme="minorHAnsi" w:hAnsiTheme="minorHAnsi" w:cstheme="minorHAnsi"/>
          <w:color w:val="000000"/>
          <w:lang w:eastAsia="en-GB"/>
        </w:rPr>
        <w:t> </w:t>
      </w:r>
    </w:p>
    <w:p w14:paraId="72A662DB" w14:textId="77777777" w:rsidR="00617FC9" w:rsidRPr="0046236F" w:rsidRDefault="00617FC9" w:rsidP="00BC7ABA">
      <w:pPr>
        <w:pStyle w:val="ListParagraph"/>
        <w:numPr>
          <w:ilvl w:val="0"/>
          <w:numId w:val="32"/>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Americas and Africa carry the largest project portfolios in financial and quantitative terms. </w:t>
      </w:r>
    </w:p>
    <w:p w14:paraId="742B4D90" w14:textId="77777777" w:rsidR="00617FC9" w:rsidRPr="0046236F" w:rsidRDefault="00617FC9" w:rsidP="00BC7ABA">
      <w:pPr>
        <w:pStyle w:val="ListParagraph"/>
        <w:numPr>
          <w:ilvl w:val="0"/>
          <w:numId w:val="33"/>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Asia-Pacific also has substantial project volume but lower average funding per project compared to the Americas. </w:t>
      </w:r>
    </w:p>
    <w:p w14:paraId="3C4B7DA1" w14:textId="77777777" w:rsidR="00617FC9" w:rsidRPr="0046236F" w:rsidRDefault="00617FC9" w:rsidP="00BC7ABA">
      <w:pPr>
        <w:pStyle w:val="ListParagraph"/>
        <w:numPr>
          <w:ilvl w:val="0"/>
          <w:numId w:val="34"/>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Europe and CIS have relatively smaller development project portfolios. </w:t>
      </w:r>
    </w:p>
    <w:p w14:paraId="371F6E1E" w14:textId="77777777" w:rsidR="00617FC9" w:rsidRPr="0046236F" w:rsidRDefault="00617FC9" w:rsidP="00BC7ABA">
      <w:pPr>
        <w:pStyle w:val="ListParagraph"/>
        <w:numPr>
          <w:ilvl w:val="0"/>
          <w:numId w:val="35"/>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A significant portion (52 projects) is multi-regional, indicating cross-regional coordination demands on HQ and regional offices. </w:t>
      </w:r>
    </w:p>
    <w:p w14:paraId="4BD04C90" w14:textId="77777777" w:rsidR="00617FC9" w:rsidRPr="0046236F" w:rsidRDefault="00617FC9" w:rsidP="008342DC">
      <w:pPr>
        <w:pStyle w:val="KPItitle"/>
        <w:spacing w:before="240" w:after="120"/>
        <w:rPr>
          <w:rFonts w:asciiTheme="minorHAnsi" w:eastAsia="Avenir Nxt2 W1G" w:hAnsiTheme="minorHAnsi" w:cstheme="minorHAnsi"/>
          <w:sz w:val="24"/>
          <w:szCs w:val="24"/>
        </w:rPr>
      </w:pPr>
      <w:bookmarkStart w:id="128" w:name="_Toc224213058"/>
      <w:bookmarkStart w:id="129" w:name="_Toc224236489"/>
      <w:r w:rsidRPr="0046236F">
        <w:rPr>
          <w:rFonts w:asciiTheme="minorHAnsi" w:hAnsiTheme="minorHAnsi" w:cstheme="minorHAnsi"/>
          <w:sz w:val="24"/>
          <w:szCs w:val="24"/>
        </w:rPr>
        <w:lastRenderedPageBreak/>
        <w:t>KPI 14 — The recruitment strateg</w:t>
      </w:r>
      <w:r w:rsidRPr="0046236F">
        <w:rPr>
          <w:rFonts w:asciiTheme="minorHAnsi" w:eastAsia="Avenir Nxt2 W1G" w:hAnsiTheme="minorHAnsi" w:cstheme="minorHAnsi"/>
          <w:sz w:val="24"/>
          <w:szCs w:val="24"/>
        </w:rPr>
        <w:t>y including:</w:t>
      </w:r>
      <w:bookmarkEnd w:id="128"/>
      <w:bookmarkEnd w:id="129"/>
    </w:p>
    <w:p w14:paraId="11161E16" w14:textId="77777777" w:rsidR="00617FC9" w:rsidRPr="0046236F" w:rsidRDefault="00617FC9" w:rsidP="008342DC">
      <w:pPr>
        <w:pStyle w:val="ListParagraph"/>
        <w:numPr>
          <w:ilvl w:val="0"/>
          <w:numId w:val="36"/>
        </w:numPr>
        <w:spacing w:before="60" w:after="60"/>
        <w:ind w:left="714" w:hanging="357"/>
        <w:contextualSpacing w:val="0"/>
        <w:jc w:val="both"/>
        <w:rPr>
          <w:rFonts w:asciiTheme="minorHAnsi" w:hAnsiTheme="minorHAnsi" w:cstheme="minorHAnsi"/>
          <w:sz w:val="24"/>
          <w:szCs w:val="24"/>
          <w:lang w:val="en-US" w:eastAsia="en-GB"/>
        </w:rPr>
      </w:pPr>
      <w:r w:rsidRPr="0046236F">
        <w:rPr>
          <w:rFonts w:asciiTheme="minorHAnsi" w:hAnsiTheme="minorHAnsi" w:cstheme="minorHAnsi"/>
          <w:sz w:val="24"/>
          <w:szCs w:val="24"/>
          <w:lang w:eastAsia="en-GB"/>
        </w:rPr>
        <w:t xml:space="preserve">number </w:t>
      </w:r>
      <w:r w:rsidRPr="0046236F">
        <w:rPr>
          <w:rFonts w:asciiTheme="minorHAnsi" w:hAnsiTheme="minorHAnsi" w:cstheme="minorHAnsi"/>
          <w:sz w:val="24"/>
          <w:szCs w:val="24"/>
          <w:lang w:val="en-US" w:eastAsia="en-GB"/>
        </w:rPr>
        <w:t>and type of vacant positions per Regional and Area Office (per year in review)</w:t>
      </w:r>
    </w:p>
    <w:p w14:paraId="188CE971" w14:textId="77777777" w:rsidR="00617FC9" w:rsidRPr="0046236F" w:rsidRDefault="00617FC9" w:rsidP="008342DC">
      <w:pPr>
        <w:pStyle w:val="ListParagraph"/>
        <w:numPr>
          <w:ilvl w:val="0"/>
          <w:numId w:val="36"/>
        </w:numPr>
        <w:spacing w:before="60" w:after="60"/>
        <w:ind w:left="714" w:hanging="357"/>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average time of recruitment of new staff in Regional and Area Office (from identification of vacant /needed position to the contract signature)</w:t>
      </w:r>
    </w:p>
    <w:p w14:paraId="70E45769" w14:textId="77777777" w:rsidR="00617FC9" w:rsidRPr="0046236F" w:rsidRDefault="00617FC9" w:rsidP="008342DC">
      <w:pPr>
        <w:pStyle w:val="ListParagraph"/>
        <w:numPr>
          <w:ilvl w:val="0"/>
          <w:numId w:val="36"/>
        </w:numPr>
        <w:spacing w:before="60" w:after="60"/>
        <w:ind w:left="714" w:hanging="357"/>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implementation of improvements to recruitment processes and tools in Regional and Area Office to enable the identification and recruitment of talent with relevant project management expertise</w:t>
      </w:r>
    </w:p>
    <w:p w14:paraId="02FA3C4D" w14:textId="77777777" w:rsidR="00617FC9" w:rsidRPr="0046236F" w:rsidRDefault="00617FC9" w:rsidP="008342DC">
      <w:pPr>
        <w:pStyle w:val="ListParagraph"/>
        <w:numPr>
          <w:ilvl w:val="0"/>
          <w:numId w:val="36"/>
        </w:numPr>
        <w:spacing w:before="60" w:after="60"/>
        <w:ind w:left="714" w:hanging="357"/>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implementation of staff mobility policy (per Regional and Area Office, per year in review)</w:t>
      </w:r>
    </w:p>
    <w:p w14:paraId="54E811D7" w14:textId="77777777" w:rsidR="00617FC9" w:rsidRPr="0046236F" w:rsidRDefault="00617FC9" w:rsidP="008342DC">
      <w:pPr>
        <w:spacing w:before="100" w:after="100"/>
        <w:jc w:val="both"/>
        <w:rPr>
          <w:rFonts w:asciiTheme="minorHAnsi" w:hAnsiTheme="minorHAnsi" w:cstheme="minorHAnsi"/>
          <w:szCs w:val="24"/>
        </w:rPr>
      </w:pPr>
      <w:r w:rsidRPr="0046236F">
        <w:rPr>
          <w:rFonts w:asciiTheme="minorHAnsi" w:hAnsiTheme="minorHAnsi" w:cstheme="minorHAnsi"/>
          <w:szCs w:val="24"/>
        </w:rPr>
        <w:t>Evidence from document analysis and survey responses provides a consistent picture of structural staffing challenges affecting the regional presence, particularly in relation to vacancy patterns, recruitment timelines and the limited development of dedicated recruitment tools for field offices.</w:t>
      </w:r>
    </w:p>
    <w:p w14:paraId="660143F7" w14:textId="77777777" w:rsidR="00617FC9" w:rsidRPr="0046236F" w:rsidRDefault="00617FC9" w:rsidP="008342DC">
      <w:pPr>
        <w:spacing w:before="100" w:after="100"/>
        <w:jc w:val="both"/>
        <w:rPr>
          <w:rFonts w:asciiTheme="minorHAnsi" w:hAnsiTheme="minorHAnsi" w:cstheme="minorHAnsi"/>
          <w:szCs w:val="24"/>
        </w:rPr>
      </w:pPr>
      <w:r w:rsidRPr="0046236F">
        <w:rPr>
          <w:rFonts w:asciiTheme="minorHAnsi" w:hAnsiTheme="minorHAnsi" w:cstheme="minorHAnsi"/>
          <w:szCs w:val="24"/>
        </w:rPr>
        <w:t>Documented vacancy data (see table in supplementary notes) indicate recurring gaps across Regional and Area Offices between 2022 and 2025. Vacancies affect both Professional and General Service posts and include programme delivery roles, advisory functions and administrative support positions. In several offices, the same types of posts appear vacant across consecutive years, indicating that some positions remain unfilled for extended periods. Such patterns suggest that vacancies are not isolated occurrences but a recurrent feature of staffing dynamics across the field network.</w:t>
      </w:r>
    </w:p>
    <w:p w14:paraId="599949EC" w14:textId="77777777" w:rsidR="00617FC9" w:rsidRPr="0046236F" w:rsidRDefault="00617FC9" w:rsidP="008342DC">
      <w:pPr>
        <w:spacing w:before="100" w:after="100"/>
        <w:jc w:val="both"/>
        <w:rPr>
          <w:rFonts w:asciiTheme="minorHAnsi" w:hAnsiTheme="minorHAnsi" w:cstheme="minorHAnsi"/>
          <w:szCs w:val="24"/>
          <w:lang w:eastAsia="en-GB"/>
        </w:rPr>
      </w:pPr>
      <w:r w:rsidRPr="0046236F">
        <w:rPr>
          <w:rFonts w:asciiTheme="minorHAnsi" w:hAnsiTheme="minorHAnsi" w:cstheme="minorHAnsi"/>
          <w:szCs w:val="24"/>
          <w:lang w:eastAsia="en-GB"/>
        </w:rPr>
        <w:t>Recruitment timelines (see table) further illustrate these structural constraints. Available data show that completed recruitment processes frequently require between approximately nine and fourteen months from the initiation of a vacancy request to the closure of the recruitment case. Several cases exceed twelve months, and multiple recruitment actions initiated in 2025 remain ongoing. The persistence of long recruitment durations suggests that delays are not merely episodic but reflect structural features of recruitment processes affecting field offices.</w:t>
      </w:r>
    </w:p>
    <w:p w14:paraId="68B5D1DA" w14:textId="77777777" w:rsidR="00617FC9" w:rsidRPr="0046236F" w:rsidRDefault="00617FC9" w:rsidP="00617FC9">
      <w:pPr>
        <w:pStyle w:val="Subtitle0"/>
        <w:jc w:val="center"/>
        <w:rPr>
          <w:rFonts w:asciiTheme="minorHAnsi" w:hAnsiTheme="minorHAnsi" w:cstheme="minorHAnsi"/>
          <w:sz w:val="24"/>
          <w:szCs w:val="24"/>
          <w:lang w:val="en-US"/>
        </w:rPr>
      </w:pPr>
      <w:r w:rsidRPr="0046236F">
        <w:rPr>
          <w:rFonts w:asciiTheme="minorHAnsi" w:hAnsiTheme="minorHAnsi" w:cstheme="minorHAnsi"/>
          <w:sz w:val="24"/>
          <w:szCs w:val="24"/>
          <w:lang w:val="en-US"/>
        </w:rPr>
        <w:t>Regional and Area Office recruitment processing</w:t>
      </w:r>
    </w:p>
    <w:tbl>
      <w:tblPr>
        <w:tblW w:w="0" w:type="auto"/>
        <w:jc w:val="cente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Look w:val="04A0" w:firstRow="1" w:lastRow="0" w:firstColumn="1" w:lastColumn="0" w:noHBand="0" w:noVBand="1"/>
      </w:tblPr>
      <w:tblGrid>
        <w:gridCol w:w="2119"/>
        <w:gridCol w:w="2551"/>
        <w:gridCol w:w="3827"/>
      </w:tblGrid>
      <w:tr w:rsidR="00617FC9" w:rsidRPr="00986D12" w14:paraId="39E15481" w14:textId="77777777" w:rsidTr="005E67F6">
        <w:trPr>
          <w:trHeight w:val="300"/>
          <w:tblHeader/>
          <w:jc w:val="center"/>
        </w:trPr>
        <w:tc>
          <w:tcPr>
            <w:tcW w:w="2119" w:type="dxa"/>
            <w:shd w:val="clear" w:color="auto" w:fill="45B0E1"/>
            <w:tcMar>
              <w:left w:w="105" w:type="dxa"/>
              <w:right w:w="105" w:type="dxa"/>
            </w:tcMar>
            <w:vAlign w:val="bottom"/>
          </w:tcPr>
          <w:p w14:paraId="22408059" w14:textId="77777777" w:rsidR="00617FC9" w:rsidRPr="00986D12" w:rsidRDefault="00617FC9" w:rsidP="001139B7">
            <w:pPr>
              <w:pStyle w:val="Texttable"/>
              <w:spacing w:before="20" w:after="20"/>
              <w:rPr>
                <w:rFonts w:asciiTheme="minorHAnsi" w:hAnsiTheme="minorHAnsi" w:cstheme="minorHAnsi"/>
                <w:b/>
                <w:color w:val="FFFFFF" w:themeColor="background1"/>
              </w:rPr>
            </w:pPr>
            <w:r w:rsidRPr="00986D12">
              <w:rPr>
                <w:rFonts w:asciiTheme="minorHAnsi" w:hAnsiTheme="minorHAnsi" w:cstheme="minorHAnsi"/>
                <w:b/>
                <w:color w:val="FFFFFF" w:themeColor="background1"/>
              </w:rPr>
              <w:t>Year</w:t>
            </w:r>
          </w:p>
        </w:tc>
        <w:tc>
          <w:tcPr>
            <w:tcW w:w="2551" w:type="dxa"/>
            <w:shd w:val="clear" w:color="auto" w:fill="45B0E1"/>
            <w:tcMar>
              <w:left w:w="105" w:type="dxa"/>
              <w:right w:w="105" w:type="dxa"/>
            </w:tcMar>
            <w:vAlign w:val="bottom"/>
          </w:tcPr>
          <w:p w14:paraId="1F889C3E" w14:textId="77777777" w:rsidR="00617FC9" w:rsidRPr="00986D12" w:rsidRDefault="00617FC9" w:rsidP="001139B7">
            <w:pPr>
              <w:pStyle w:val="Texttable"/>
              <w:spacing w:before="20" w:after="20"/>
              <w:jc w:val="center"/>
              <w:rPr>
                <w:rFonts w:asciiTheme="minorHAnsi" w:hAnsiTheme="minorHAnsi" w:cstheme="minorHAnsi"/>
                <w:b/>
                <w:color w:val="FFFFFF" w:themeColor="background1"/>
              </w:rPr>
            </w:pPr>
            <w:r w:rsidRPr="00986D12">
              <w:rPr>
                <w:rFonts w:asciiTheme="minorHAnsi" w:hAnsiTheme="minorHAnsi" w:cstheme="minorHAnsi"/>
                <w:b/>
                <w:color w:val="FFFFFF" w:themeColor="background1"/>
              </w:rPr>
              <w:t>Vacancy Number</w:t>
            </w:r>
          </w:p>
        </w:tc>
        <w:tc>
          <w:tcPr>
            <w:tcW w:w="3827" w:type="dxa"/>
            <w:shd w:val="clear" w:color="auto" w:fill="45B0E1"/>
            <w:tcMar>
              <w:left w:w="105" w:type="dxa"/>
              <w:right w:w="105" w:type="dxa"/>
            </w:tcMar>
            <w:vAlign w:val="bottom"/>
          </w:tcPr>
          <w:p w14:paraId="56DEBC0E" w14:textId="77777777" w:rsidR="00617FC9" w:rsidRPr="00986D12" w:rsidRDefault="00617FC9" w:rsidP="001139B7">
            <w:pPr>
              <w:pStyle w:val="Texttable"/>
              <w:spacing w:before="20" w:after="20"/>
              <w:jc w:val="center"/>
              <w:rPr>
                <w:rFonts w:asciiTheme="minorHAnsi" w:hAnsiTheme="minorHAnsi" w:cstheme="minorHAnsi"/>
                <w:b/>
                <w:color w:val="FFFFFF" w:themeColor="background1"/>
              </w:rPr>
            </w:pPr>
            <w:r w:rsidRPr="00986D12">
              <w:rPr>
                <w:rFonts w:asciiTheme="minorHAnsi" w:hAnsiTheme="minorHAnsi" w:cstheme="minorHAnsi"/>
                <w:b/>
                <w:color w:val="FFFFFF" w:themeColor="background1"/>
              </w:rPr>
              <w:t>Number of days for recruitment processing*</w:t>
            </w:r>
          </w:p>
        </w:tc>
      </w:tr>
      <w:tr w:rsidR="00617FC9" w:rsidRPr="00986D12" w14:paraId="029C5376" w14:textId="77777777" w:rsidTr="005E67F6">
        <w:trPr>
          <w:trHeight w:val="285"/>
          <w:jc w:val="center"/>
        </w:trPr>
        <w:tc>
          <w:tcPr>
            <w:tcW w:w="2119" w:type="dxa"/>
            <w:tcMar>
              <w:left w:w="105" w:type="dxa"/>
              <w:right w:w="105" w:type="dxa"/>
            </w:tcMar>
            <w:vAlign w:val="bottom"/>
          </w:tcPr>
          <w:p w14:paraId="1473B687" w14:textId="77777777" w:rsidR="00617FC9" w:rsidRPr="00986D12" w:rsidRDefault="00617FC9" w:rsidP="001139B7">
            <w:pPr>
              <w:pStyle w:val="Texttable"/>
              <w:spacing w:before="20" w:after="20"/>
              <w:rPr>
                <w:rFonts w:asciiTheme="minorHAnsi" w:hAnsiTheme="minorHAnsi" w:cstheme="minorHAnsi"/>
              </w:rPr>
            </w:pPr>
            <w:r w:rsidRPr="00986D12">
              <w:rPr>
                <w:rFonts w:asciiTheme="minorHAnsi" w:hAnsiTheme="minorHAnsi" w:cstheme="minorHAnsi"/>
              </w:rPr>
              <w:t>2023</w:t>
            </w:r>
          </w:p>
        </w:tc>
        <w:tc>
          <w:tcPr>
            <w:tcW w:w="2551" w:type="dxa"/>
            <w:tcMar>
              <w:left w:w="105" w:type="dxa"/>
              <w:right w:w="105" w:type="dxa"/>
            </w:tcMar>
            <w:vAlign w:val="bottom"/>
          </w:tcPr>
          <w:p w14:paraId="362E0E78"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1147P</w:t>
            </w:r>
          </w:p>
        </w:tc>
        <w:tc>
          <w:tcPr>
            <w:tcW w:w="3827" w:type="dxa"/>
            <w:tcMar>
              <w:left w:w="105" w:type="dxa"/>
              <w:right w:w="105" w:type="dxa"/>
            </w:tcMar>
            <w:vAlign w:val="bottom"/>
          </w:tcPr>
          <w:p w14:paraId="1FEDD8A1"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370</w:t>
            </w:r>
          </w:p>
        </w:tc>
      </w:tr>
      <w:tr w:rsidR="00617FC9" w:rsidRPr="00986D12" w14:paraId="61254D8C" w14:textId="77777777" w:rsidTr="005E67F6">
        <w:trPr>
          <w:trHeight w:val="285"/>
          <w:jc w:val="center"/>
        </w:trPr>
        <w:tc>
          <w:tcPr>
            <w:tcW w:w="2119" w:type="dxa"/>
            <w:shd w:val="clear" w:color="auto" w:fill="C1E4F5"/>
            <w:tcMar>
              <w:left w:w="105" w:type="dxa"/>
              <w:right w:w="105" w:type="dxa"/>
            </w:tcMar>
            <w:vAlign w:val="bottom"/>
          </w:tcPr>
          <w:p w14:paraId="423A8778" w14:textId="77777777" w:rsidR="00617FC9" w:rsidRPr="00986D12" w:rsidRDefault="00617FC9" w:rsidP="001139B7">
            <w:pPr>
              <w:pStyle w:val="Texttable"/>
              <w:spacing w:before="20" w:after="20"/>
              <w:rPr>
                <w:rFonts w:asciiTheme="minorHAnsi" w:hAnsiTheme="minorHAnsi" w:cstheme="minorHAnsi"/>
              </w:rPr>
            </w:pPr>
          </w:p>
        </w:tc>
        <w:tc>
          <w:tcPr>
            <w:tcW w:w="2551" w:type="dxa"/>
            <w:shd w:val="clear" w:color="auto" w:fill="C1E4F5"/>
            <w:tcMar>
              <w:left w:w="105" w:type="dxa"/>
              <w:right w:w="105" w:type="dxa"/>
            </w:tcMar>
            <w:vAlign w:val="bottom"/>
          </w:tcPr>
          <w:p w14:paraId="5A6BE9E0"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1148P</w:t>
            </w:r>
          </w:p>
        </w:tc>
        <w:tc>
          <w:tcPr>
            <w:tcW w:w="3827" w:type="dxa"/>
            <w:shd w:val="clear" w:color="auto" w:fill="C1E4F5"/>
            <w:tcMar>
              <w:left w:w="105" w:type="dxa"/>
              <w:right w:w="105" w:type="dxa"/>
            </w:tcMar>
            <w:vAlign w:val="bottom"/>
          </w:tcPr>
          <w:p w14:paraId="78F81AB3"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370</w:t>
            </w:r>
          </w:p>
        </w:tc>
      </w:tr>
      <w:tr w:rsidR="00617FC9" w:rsidRPr="00986D12" w14:paraId="21D852F9" w14:textId="77777777" w:rsidTr="005E67F6">
        <w:trPr>
          <w:trHeight w:val="285"/>
          <w:jc w:val="center"/>
        </w:trPr>
        <w:tc>
          <w:tcPr>
            <w:tcW w:w="2119" w:type="dxa"/>
            <w:tcMar>
              <w:left w:w="105" w:type="dxa"/>
              <w:right w:w="105" w:type="dxa"/>
            </w:tcMar>
            <w:vAlign w:val="bottom"/>
          </w:tcPr>
          <w:p w14:paraId="6F1CCBE6" w14:textId="77777777" w:rsidR="00617FC9" w:rsidRPr="00986D12" w:rsidRDefault="00617FC9" w:rsidP="001139B7">
            <w:pPr>
              <w:pStyle w:val="Texttable"/>
              <w:spacing w:before="20" w:after="20"/>
              <w:rPr>
                <w:rFonts w:asciiTheme="minorHAnsi" w:hAnsiTheme="minorHAnsi" w:cstheme="minorHAnsi"/>
              </w:rPr>
            </w:pPr>
          </w:p>
        </w:tc>
        <w:tc>
          <w:tcPr>
            <w:tcW w:w="2551" w:type="dxa"/>
            <w:tcMar>
              <w:left w:w="105" w:type="dxa"/>
              <w:right w:w="105" w:type="dxa"/>
            </w:tcMar>
            <w:vAlign w:val="bottom"/>
          </w:tcPr>
          <w:p w14:paraId="3EC720CE"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1180P</w:t>
            </w:r>
          </w:p>
        </w:tc>
        <w:tc>
          <w:tcPr>
            <w:tcW w:w="3827" w:type="dxa"/>
            <w:tcMar>
              <w:left w:w="105" w:type="dxa"/>
              <w:right w:w="105" w:type="dxa"/>
            </w:tcMar>
            <w:vAlign w:val="bottom"/>
          </w:tcPr>
          <w:p w14:paraId="78424830"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380</w:t>
            </w:r>
          </w:p>
        </w:tc>
      </w:tr>
      <w:tr w:rsidR="00617FC9" w:rsidRPr="00986D12" w14:paraId="6D345127" w14:textId="77777777" w:rsidTr="005E67F6">
        <w:trPr>
          <w:trHeight w:val="285"/>
          <w:jc w:val="center"/>
        </w:trPr>
        <w:tc>
          <w:tcPr>
            <w:tcW w:w="2119" w:type="dxa"/>
            <w:shd w:val="clear" w:color="auto" w:fill="C1E4F5"/>
            <w:tcMar>
              <w:left w:w="105" w:type="dxa"/>
              <w:right w:w="105" w:type="dxa"/>
            </w:tcMar>
            <w:vAlign w:val="bottom"/>
          </w:tcPr>
          <w:p w14:paraId="02F3E5EA" w14:textId="77777777" w:rsidR="00617FC9" w:rsidRPr="00986D12" w:rsidRDefault="00617FC9" w:rsidP="001139B7">
            <w:pPr>
              <w:pStyle w:val="Texttable"/>
              <w:spacing w:before="20" w:after="20"/>
              <w:rPr>
                <w:rFonts w:asciiTheme="minorHAnsi" w:hAnsiTheme="minorHAnsi" w:cstheme="minorHAnsi"/>
              </w:rPr>
            </w:pPr>
          </w:p>
        </w:tc>
        <w:tc>
          <w:tcPr>
            <w:tcW w:w="2551" w:type="dxa"/>
            <w:shd w:val="clear" w:color="auto" w:fill="C1E4F5"/>
            <w:tcMar>
              <w:left w:w="105" w:type="dxa"/>
              <w:right w:w="105" w:type="dxa"/>
            </w:tcMar>
            <w:vAlign w:val="bottom"/>
          </w:tcPr>
          <w:p w14:paraId="61C7F21C"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1346P</w:t>
            </w:r>
          </w:p>
        </w:tc>
        <w:tc>
          <w:tcPr>
            <w:tcW w:w="3827" w:type="dxa"/>
            <w:shd w:val="clear" w:color="auto" w:fill="C1E4F5"/>
            <w:tcMar>
              <w:left w:w="105" w:type="dxa"/>
              <w:right w:w="105" w:type="dxa"/>
            </w:tcMar>
            <w:vAlign w:val="bottom"/>
          </w:tcPr>
          <w:p w14:paraId="4EA00D8A"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286</w:t>
            </w:r>
          </w:p>
        </w:tc>
      </w:tr>
      <w:tr w:rsidR="00617FC9" w:rsidRPr="00986D12" w14:paraId="36041478" w14:textId="77777777" w:rsidTr="005E67F6">
        <w:trPr>
          <w:trHeight w:val="300"/>
          <w:jc w:val="center"/>
        </w:trPr>
        <w:tc>
          <w:tcPr>
            <w:tcW w:w="2119" w:type="dxa"/>
            <w:tcMar>
              <w:left w:w="105" w:type="dxa"/>
              <w:right w:w="105" w:type="dxa"/>
            </w:tcMar>
            <w:vAlign w:val="bottom"/>
          </w:tcPr>
          <w:p w14:paraId="0B1A4633" w14:textId="77777777" w:rsidR="00617FC9" w:rsidRPr="00986D12" w:rsidRDefault="00617FC9" w:rsidP="001139B7">
            <w:pPr>
              <w:pStyle w:val="Texttable"/>
              <w:spacing w:before="20" w:after="20"/>
              <w:rPr>
                <w:rFonts w:asciiTheme="minorHAnsi" w:hAnsiTheme="minorHAnsi" w:cstheme="minorHAnsi"/>
              </w:rPr>
            </w:pPr>
          </w:p>
        </w:tc>
        <w:tc>
          <w:tcPr>
            <w:tcW w:w="2551" w:type="dxa"/>
            <w:tcMar>
              <w:left w:w="105" w:type="dxa"/>
              <w:right w:w="105" w:type="dxa"/>
            </w:tcMar>
            <w:vAlign w:val="bottom"/>
          </w:tcPr>
          <w:p w14:paraId="0A03BDEA"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1378P</w:t>
            </w:r>
          </w:p>
        </w:tc>
        <w:tc>
          <w:tcPr>
            <w:tcW w:w="3827" w:type="dxa"/>
            <w:tcMar>
              <w:left w:w="105" w:type="dxa"/>
              <w:right w:w="105" w:type="dxa"/>
            </w:tcMar>
            <w:vAlign w:val="bottom"/>
          </w:tcPr>
          <w:p w14:paraId="4C997400"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417</w:t>
            </w:r>
          </w:p>
        </w:tc>
      </w:tr>
      <w:tr w:rsidR="00617FC9" w:rsidRPr="00986D12" w14:paraId="74D61DA9" w14:textId="77777777" w:rsidTr="005E67F6">
        <w:trPr>
          <w:trHeight w:val="300"/>
          <w:jc w:val="center"/>
        </w:trPr>
        <w:tc>
          <w:tcPr>
            <w:tcW w:w="2119" w:type="dxa"/>
            <w:shd w:val="clear" w:color="auto" w:fill="C1E4F5"/>
            <w:tcMar>
              <w:left w:w="105" w:type="dxa"/>
              <w:right w:w="105" w:type="dxa"/>
            </w:tcMar>
            <w:vAlign w:val="bottom"/>
          </w:tcPr>
          <w:p w14:paraId="55920BB8" w14:textId="77777777" w:rsidR="00617FC9" w:rsidRPr="00986D12" w:rsidRDefault="00617FC9" w:rsidP="001139B7">
            <w:pPr>
              <w:pStyle w:val="Texttable"/>
              <w:spacing w:before="20" w:after="20"/>
              <w:rPr>
                <w:rFonts w:asciiTheme="minorHAnsi" w:hAnsiTheme="minorHAnsi" w:cstheme="minorHAnsi"/>
              </w:rPr>
            </w:pPr>
          </w:p>
        </w:tc>
        <w:tc>
          <w:tcPr>
            <w:tcW w:w="2551" w:type="dxa"/>
            <w:shd w:val="clear" w:color="auto" w:fill="C1E4F5"/>
            <w:tcMar>
              <w:left w:w="105" w:type="dxa"/>
              <w:right w:w="105" w:type="dxa"/>
            </w:tcMar>
            <w:vAlign w:val="bottom"/>
          </w:tcPr>
          <w:p w14:paraId="5ED880A9" w14:textId="77777777" w:rsidR="00617FC9" w:rsidRPr="00986D12" w:rsidRDefault="00617FC9" w:rsidP="001139B7">
            <w:pPr>
              <w:pStyle w:val="Texttable"/>
              <w:spacing w:before="20" w:after="20"/>
              <w:jc w:val="center"/>
              <w:rPr>
                <w:rFonts w:asciiTheme="minorHAnsi" w:hAnsiTheme="minorHAnsi" w:cstheme="minorHAnsi"/>
              </w:rPr>
            </w:pPr>
          </w:p>
        </w:tc>
        <w:tc>
          <w:tcPr>
            <w:tcW w:w="3827" w:type="dxa"/>
            <w:shd w:val="clear" w:color="auto" w:fill="C1E4F5"/>
            <w:tcMar>
              <w:left w:w="105" w:type="dxa"/>
              <w:right w:w="105" w:type="dxa"/>
            </w:tcMar>
            <w:vAlign w:val="bottom"/>
          </w:tcPr>
          <w:p w14:paraId="32CCC609" w14:textId="77777777" w:rsidR="00617FC9" w:rsidRPr="00986D12" w:rsidRDefault="00617FC9" w:rsidP="001139B7">
            <w:pPr>
              <w:pStyle w:val="Texttable"/>
              <w:spacing w:before="20" w:after="20"/>
              <w:jc w:val="center"/>
              <w:rPr>
                <w:rFonts w:asciiTheme="minorHAnsi" w:hAnsiTheme="minorHAnsi" w:cstheme="minorHAnsi"/>
              </w:rPr>
            </w:pPr>
          </w:p>
        </w:tc>
      </w:tr>
      <w:tr w:rsidR="00617FC9" w:rsidRPr="00986D12" w14:paraId="4B10E795" w14:textId="77777777" w:rsidTr="005E67F6">
        <w:trPr>
          <w:trHeight w:val="285"/>
          <w:jc w:val="center"/>
        </w:trPr>
        <w:tc>
          <w:tcPr>
            <w:tcW w:w="2119" w:type="dxa"/>
            <w:tcMar>
              <w:left w:w="105" w:type="dxa"/>
              <w:right w:w="105" w:type="dxa"/>
            </w:tcMar>
            <w:vAlign w:val="bottom"/>
          </w:tcPr>
          <w:p w14:paraId="553CC6CB" w14:textId="77777777" w:rsidR="00617FC9" w:rsidRPr="00986D12" w:rsidRDefault="00617FC9" w:rsidP="001139B7">
            <w:pPr>
              <w:pStyle w:val="Texttable"/>
              <w:spacing w:before="20" w:after="20"/>
              <w:rPr>
                <w:rFonts w:asciiTheme="minorHAnsi" w:hAnsiTheme="minorHAnsi" w:cstheme="minorHAnsi"/>
              </w:rPr>
            </w:pPr>
            <w:r w:rsidRPr="00986D12">
              <w:rPr>
                <w:rFonts w:asciiTheme="minorHAnsi" w:hAnsiTheme="minorHAnsi" w:cstheme="minorHAnsi"/>
              </w:rPr>
              <w:t>2024</w:t>
            </w:r>
          </w:p>
        </w:tc>
        <w:tc>
          <w:tcPr>
            <w:tcW w:w="2551" w:type="dxa"/>
            <w:tcMar>
              <w:left w:w="105" w:type="dxa"/>
              <w:right w:w="105" w:type="dxa"/>
            </w:tcMar>
            <w:vAlign w:val="bottom"/>
          </w:tcPr>
          <w:p w14:paraId="17A330E4"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1547P</w:t>
            </w:r>
          </w:p>
        </w:tc>
        <w:tc>
          <w:tcPr>
            <w:tcW w:w="3827" w:type="dxa"/>
            <w:tcMar>
              <w:left w:w="105" w:type="dxa"/>
              <w:right w:w="105" w:type="dxa"/>
            </w:tcMar>
            <w:vAlign w:val="bottom"/>
          </w:tcPr>
          <w:p w14:paraId="6A9757D1"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362</w:t>
            </w:r>
          </w:p>
        </w:tc>
      </w:tr>
      <w:tr w:rsidR="00617FC9" w:rsidRPr="00986D12" w14:paraId="1AAFEC7C" w14:textId="77777777" w:rsidTr="005E67F6">
        <w:trPr>
          <w:trHeight w:val="285"/>
          <w:jc w:val="center"/>
        </w:trPr>
        <w:tc>
          <w:tcPr>
            <w:tcW w:w="2119" w:type="dxa"/>
            <w:shd w:val="clear" w:color="auto" w:fill="C1E4F5"/>
            <w:tcMar>
              <w:left w:w="105" w:type="dxa"/>
              <w:right w:w="105" w:type="dxa"/>
            </w:tcMar>
            <w:vAlign w:val="bottom"/>
          </w:tcPr>
          <w:p w14:paraId="6291263A" w14:textId="77777777" w:rsidR="00617FC9" w:rsidRPr="00986D12" w:rsidRDefault="00617FC9" w:rsidP="001139B7">
            <w:pPr>
              <w:pStyle w:val="Texttable"/>
              <w:spacing w:before="20" w:after="20"/>
              <w:rPr>
                <w:rFonts w:asciiTheme="minorHAnsi" w:hAnsiTheme="minorHAnsi" w:cstheme="minorHAnsi"/>
              </w:rPr>
            </w:pPr>
          </w:p>
        </w:tc>
        <w:tc>
          <w:tcPr>
            <w:tcW w:w="2551" w:type="dxa"/>
            <w:shd w:val="clear" w:color="auto" w:fill="C1E4F5"/>
            <w:tcMar>
              <w:left w:w="105" w:type="dxa"/>
              <w:right w:w="105" w:type="dxa"/>
            </w:tcMar>
            <w:vAlign w:val="bottom"/>
          </w:tcPr>
          <w:p w14:paraId="75747CDF"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1555P</w:t>
            </w:r>
          </w:p>
        </w:tc>
        <w:tc>
          <w:tcPr>
            <w:tcW w:w="3827" w:type="dxa"/>
            <w:shd w:val="clear" w:color="auto" w:fill="C1E4F5"/>
            <w:tcMar>
              <w:left w:w="105" w:type="dxa"/>
              <w:right w:w="105" w:type="dxa"/>
            </w:tcMar>
            <w:vAlign w:val="bottom"/>
          </w:tcPr>
          <w:p w14:paraId="10E7763E"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329</w:t>
            </w:r>
          </w:p>
        </w:tc>
      </w:tr>
      <w:tr w:rsidR="00617FC9" w:rsidRPr="00986D12" w14:paraId="5DA3FFE0" w14:textId="77777777" w:rsidTr="005E67F6">
        <w:trPr>
          <w:trHeight w:val="300"/>
          <w:jc w:val="center"/>
        </w:trPr>
        <w:tc>
          <w:tcPr>
            <w:tcW w:w="2119" w:type="dxa"/>
            <w:tcMar>
              <w:left w:w="105" w:type="dxa"/>
              <w:right w:w="105" w:type="dxa"/>
            </w:tcMar>
            <w:vAlign w:val="bottom"/>
          </w:tcPr>
          <w:p w14:paraId="6A102138" w14:textId="77777777" w:rsidR="00617FC9" w:rsidRPr="00986D12" w:rsidRDefault="00617FC9" w:rsidP="001139B7">
            <w:pPr>
              <w:pStyle w:val="Texttable"/>
              <w:spacing w:before="20" w:after="20"/>
              <w:rPr>
                <w:rFonts w:asciiTheme="minorHAnsi" w:hAnsiTheme="minorHAnsi" w:cstheme="minorHAnsi"/>
              </w:rPr>
            </w:pPr>
          </w:p>
        </w:tc>
        <w:tc>
          <w:tcPr>
            <w:tcW w:w="2551" w:type="dxa"/>
            <w:tcMar>
              <w:left w:w="105" w:type="dxa"/>
              <w:right w:w="105" w:type="dxa"/>
            </w:tcMar>
            <w:vAlign w:val="bottom"/>
          </w:tcPr>
          <w:p w14:paraId="07D748D3"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1756P</w:t>
            </w:r>
          </w:p>
        </w:tc>
        <w:tc>
          <w:tcPr>
            <w:tcW w:w="3827" w:type="dxa"/>
            <w:tcMar>
              <w:left w:w="105" w:type="dxa"/>
              <w:right w:w="105" w:type="dxa"/>
            </w:tcMar>
            <w:vAlign w:val="bottom"/>
          </w:tcPr>
          <w:p w14:paraId="69117435"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344</w:t>
            </w:r>
          </w:p>
        </w:tc>
      </w:tr>
      <w:tr w:rsidR="00617FC9" w:rsidRPr="00986D12" w14:paraId="041C7BD2" w14:textId="77777777" w:rsidTr="005E67F6">
        <w:trPr>
          <w:trHeight w:val="300"/>
          <w:jc w:val="center"/>
        </w:trPr>
        <w:tc>
          <w:tcPr>
            <w:tcW w:w="2119" w:type="dxa"/>
            <w:shd w:val="clear" w:color="auto" w:fill="C1E4F5"/>
            <w:tcMar>
              <w:left w:w="105" w:type="dxa"/>
              <w:right w:w="105" w:type="dxa"/>
            </w:tcMar>
            <w:vAlign w:val="bottom"/>
          </w:tcPr>
          <w:p w14:paraId="779C206B" w14:textId="77777777" w:rsidR="00617FC9" w:rsidRPr="00986D12" w:rsidRDefault="00617FC9" w:rsidP="001139B7">
            <w:pPr>
              <w:pStyle w:val="Texttable"/>
              <w:spacing w:before="20" w:after="20"/>
              <w:rPr>
                <w:rFonts w:asciiTheme="minorHAnsi" w:hAnsiTheme="minorHAnsi" w:cstheme="minorHAnsi"/>
              </w:rPr>
            </w:pPr>
          </w:p>
        </w:tc>
        <w:tc>
          <w:tcPr>
            <w:tcW w:w="2551" w:type="dxa"/>
            <w:shd w:val="clear" w:color="auto" w:fill="C1E4F5"/>
            <w:tcMar>
              <w:left w:w="105" w:type="dxa"/>
              <w:right w:w="105" w:type="dxa"/>
            </w:tcMar>
            <w:vAlign w:val="bottom"/>
          </w:tcPr>
          <w:p w14:paraId="3B94A63A" w14:textId="77777777" w:rsidR="00617FC9" w:rsidRPr="00986D12" w:rsidRDefault="00617FC9" w:rsidP="001139B7">
            <w:pPr>
              <w:pStyle w:val="Texttable"/>
              <w:spacing w:before="20" w:after="20"/>
              <w:jc w:val="center"/>
              <w:rPr>
                <w:rFonts w:asciiTheme="minorHAnsi" w:hAnsiTheme="minorHAnsi" w:cstheme="minorHAnsi"/>
              </w:rPr>
            </w:pPr>
          </w:p>
        </w:tc>
        <w:tc>
          <w:tcPr>
            <w:tcW w:w="3827" w:type="dxa"/>
            <w:shd w:val="clear" w:color="auto" w:fill="C1E4F5"/>
            <w:tcMar>
              <w:left w:w="105" w:type="dxa"/>
              <w:right w:w="105" w:type="dxa"/>
            </w:tcMar>
            <w:vAlign w:val="bottom"/>
          </w:tcPr>
          <w:p w14:paraId="50B9D490" w14:textId="77777777" w:rsidR="00617FC9" w:rsidRPr="00986D12" w:rsidRDefault="00617FC9" w:rsidP="001139B7">
            <w:pPr>
              <w:pStyle w:val="Texttable"/>
              <w:spacing w:before="20" w:after="20"/>
              <w:jc w:val="center"/>
              <w:rPr>
                <w:rFonts w:asciiTheme="minorHAnsi" w:hAnsiTheme="minorHAnsi" w:cstheme="minorHAnsi"/>
              </w:rPr>
            </w:pPr>
          </w:p>
        </w:tc>
      </w:tr>
      <w:tr w:rsidR="00617FC9" w:rsidRPr="00986D12" w14:paraId="44E7B823" w14:textId="77777777" w:rsidTr="005E67F6">
        <w:trPr>
          <w:trHeight w:val="285"/>
          <w:jc w:val="center"/>
        </w:trPr>
        <w:tc>
          <w:tcPr>
            <w:tcW w:w="2119" w:type="dxa"/>
            <w:tcMar>
              <w:left w:w="105" w:type="dxa"/>
              <w:right w:w="105" w:type="dxa"/>
            </w:tcMar>
            <w:vAlign w:val="bottom"/>
          </w:tcPr>
          <w:p w14:paraId="53C6E328" w14:textId="77777777" w:rsidR="00617FC9" w:rsidRPr="00986D12" w:rsidRDefault="00617FC9" w:rsidP="001139B7">
            <w:pPr>
              <w:pStyle w:val="Texttable"/>
              <w:keepNext/>
              <w:spacing w:before="20" w:after="20"/>
              <w:rPr>
                <w:rFonts w:asciiTheme="minorHAnsi" w:hAnsiTheme="minorHAnsi" w:cstheme="minorHAnsi"/>
              </w:rPr>
            </w:pPr>
            <w:r w:rsidRPr="00986D12">
              <w:rPr>
                <w:rFonts w:asciiTheme="minorHAnsi" w:hAnsiTheme="minorHAnsi" w:cstheme="minorHAnsi"/>
              </w:rPr>
              <w:t>2025</w:t>
            </w:r>
          </w:p>
        </w:tc>
        <w:tc>
          <w:tcPr>
            <w:tcW w:w="2551" w:type="dxa"/>
            <w:tcMar>
              <w:left w:w="105" w:type="dxa"/>
              <w:right w:w="105" w:type="dxa"/>
            </w:tcMar>
            <w:vAlign w:val="bottom"/>
          </w:tcPr>
          <w:p w14:paraId="10055465" w14:textId="77777777" w:rsidR="00617FC9" w:rsidRPr="00986D12" w:rsidRDefault="00617FC9" w:rsidP="001139B7">
            <w:pPr>
              <w:pStyle w:val="Texttable"/>
              <w:keepNext/>
              <w:spacing w:before="20" w:after="20"/>
              <w:jc w:val="center"/>
              <w:rPr>
                <w:rFonts w:asciiTheme="minorHAnsi" w:hAnsiTheme="minorHAnsi" w:cstheme="minorHAnsi"/>
              </w:rPr>
            </w:pPr>
            <w:r w:rsidRPr="00986D12">
              <w:rPr>
                <w:rFonts w:asciiTheme="minorHAnsi" w:hAnsiTheme="minorHAnsi" w:cstheme="minorHAnsi"/>
              </w:rPr>
              <w:t>1893P</w:t>
            </w:r>
          </w:p>
        </w:tc>
        <w:tc>
          <w:tcPr>
            <w:tcW w:w="3827" w:type="dxa"/>
            <w:tcMar>
              <w:left w:w="105" w:type="dxa"/>
              <w:right w:w="105" w:type="dxa"/>
            </w:tcMar>
            <w:vAlign w:val="bottom"/>
          </w:tcPr>
          <w:p w14:paraId="37835885" w14:textId="77777777" w:rsidR="00617FC9" w:rsidRPr="00986D12" w:rsidRDefault="00617FC9" w:rsidP="001139B7">
            <w:pPr>
              <w:pStyle w:val="Texttable"/>
              <w:keepNext/>
              <w:spacing w:before="20" w:after="20"/>
              <w:jc w:val="center"/>
              <w:rPr>
                <w:rFonts w:asciiTheme="minorHAnsi" w:hAnsiTheme="minorHAnsi" w:cstheme="minorHAnsi"/>
              </w:rPr>
            </w:pPr>
            <w:r w:rsidRPr="00986D12">
              <w:rPr>
                <w:rFonts w:asciiTheme="minorHAnsi" w:hAnsiTheme="minorHAnsi" w:cstheme="minorHAnsi"/>
              </w:rPr>
              <w:t>357</w:t>
            </w:r>
          </w:p>
        </w:tc>
      </w:tr>
      <w:tr w:rsidR="00617FC9" w:rsidRPr="00986D12" w14:paraId="339E42DF" w14:textId="77777777" w:rsidTr="005E67F6">
        <w:trPr>
          <w:trHeight w:val="285"/>
          <w:jc w:val="center"/>
        </w:trPr>
        <w:tc>
          <w:tcPr>
            <w:tcW w:w="2119" w:type="dxa"/>
            <w:shd w:val="clear" w:color="auto" w:fill="C1E4F5"/>
            <w:tcMar>
              <w:left w:w="105" w:type="dxa"/>
              <w:right w:w="105" w:type="dxa"/>
            </w:tcMar>
            <w:vAlign w:val="bottom"/>
          </w:tcPr>
          <w:p w14:paraId="088FFE0B" w14:textId="77777777" w:rsidR="00617FC9" w:rsidRPr="00986D12" w:rsidRDefault="00617FC9" w:rsidP="001139B7">
            <w:pPr>
              <w:pStyle w:val="Texttable"/>
              <w:spacing w:before="20" w:after="20"/>
              <w:rPr>
                <w:rFonts w:asciiTheme="minorHAnsi" w:hAnsiTheme="minorHAnsi" w:cstheme="minorHAnsi"/>
              </w:rPr>
            </w:pPr>
          </w:p>
        </w:tc>
        <w:tc>
          <w:tcPr>
            <w:tcW w:w="2551" w:type="dxa"/>
            <w:shd w:val="clear" w:color="auto" w:fill="C1E4F5"/>
            <w:tcMar>
              <w:left w:w="105" w:type="dxa"/>
              <w:right w:w="105" w:type="dxa"/>
            </w:tcMar>
            <w:vAlign w:val="bottom"/>
          </w:tcPr>
          <w:p w14:paraId="1711B1FB"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1898P</w:t>
            </w:r>
          </w:p>
        </w:tc>
        <w:tc>
          <w:tcPr>
            <w:tcW w:w="3827" w:type="dxa"/>
            <w:shd w:val="clear" w:color="auto" w:fill="C1E4F5"/>
            <w:tcMar>
              <w:left w:w="105" w:type="dxa"/>
              <w:right w:w="105" w:type="dxa"/>
            </w:tcMar>
            <w:vAlign w:val="bottom"/>
          </w:tcPr>
          <w:p w14:paraId="1CE5B6B0"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235</w:t>
            </w:r>
          </w:p>
        </w:tc>
      </w:tr>
      <w:tr w:rsidR="00617FC9" w:rsidRPr="00986D12" w14:paraId="4500514A" w14:textId="77777777" w:rsidTr="005E67F6">
        <w:trPr>
          <w:trHeight w:val="285"/>
          <w:jc w:val="center"/>
        </w:trPr>
        <w:tc>
          <w:tcPr>
            <w:tcW w:w="2119" w:type="dxa"/>
            <w:tcMar>
              <w:left w:w="105" w:type="dxa"/>
              <w:right w:w="105" w:type="dxa"/>
            </w:tcMar>
            <w:vAlign w:val="bottom"/>
          </w:tcPr>
          <w:p w14:paraId="5978430C" w14:textId="77777777" w:rsidR="00617FC9" w:rsidRPr="00986D12" w:rsidRDefault="00617FC9" w:rsidP="001139B7">
            <w:pPr>
              <w:pStyle w:val="Texttable"/>
              <w:spacing w:before="20" w:after="20"/>
              <w:rPr>
                <w:rFonts w:asciiTheme="minorHAnsi" w:hAnsiTheme="minorHAnsi" w:cstheme="minorHAnsi"/>
              </w:rPr>
            </w:pPr>
          </w:p>
        </w:tc>
        <w:tc>
          <w:tcPr>
            <w:tcW w:w="2551" w:type="dxa"/>
            <w:tcMar>
              <w:left w:w="105" w:type="dxa"/>
              <w:right w:w="105" w:type="dxa"/>
            </w:tcMar>
            <w:vAlign w:val="bottom"/>
          </w:tcPr>
          <w:p w14:paraId="75B0FB9F"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1965P</w:t>
            </w:r>
          </w:p>
        </w:tc>
        <w:tc>
          <w:tcPr>
            <w:tcW w:w="3827" w:type="dxa"/>
            <w:tcMar>
              <w:left w:w="105" w:type="dxa"/>
              <w:right w:w="105" w:type="dxa"/>
            </w:tcMar>
            <w:vAlign w:val="bottom"/>
          </w:tcPr>
          <w:p w14:paraId="21B201EB"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284</w:t>
            </w:r>
          </w:p>
        </w:tc>
      </w:tr>
      <w:tr w:rsidR="00617FC9" w:rsidRPr="00986D12" w14:paraId="1541465B" w14:textId="77777777" w:rsidTr="005E67F6">
        <w:trPr>
          <w:trHeight w:val="285"/>
          <w:jc w:val="center"/>
        </w:trPr>
        <w:tc>
          <w:tcPr>
            <w:tcW w:w="2119" w:type="dxa"/>
            <w:shd w:val="clear" w:color="auto" w:fill="C1E4F5"/>
            <w:tcMar>
              <w:left w:w="105" w:type="dxa"/>
              <w:right w:w="105" w:type="dxa"/>
            </w:tcMar>
            <w:vAlign w:val="bottom"/>
          </w:tcPr>
          <w:p w14:paraId="383B5136" w14:textId="77777777" w:rsidR="00617FC9" w:rsidRPr="00986D12" w:rsidRDefault="00617FC9" w:rsidP="001139B7">
            <w:pPr>
              <w:pStyle w:val="Texttable"/>
              <w:spacing w:before="20" w:after="20"/>
              <w:rPr>
                <w:rFonts w:asciiTheme="minorHAnsi" w:hAnsiTheme="minorHAnsi" w:cstheme="minorHAnsi"/>
              </w:rPr>
            </w:pPr>
          </w:p>
        </w:tc>
        <w:tc>
          <w:tcPr>
            <w:tcW w:w="2551" w:type="dxa"/>
            <w:shd w:val="clear" w:color="auto" w:fill="C1E4F5"/>
            <w:tcMar>
              <w:left w:w="105" w:type="dxa"/>
              <w:right w:w="105" w:type="dxa"/>
            </w:tcMar>
            <w:vAlign w:val="bottom"/>
          </w:tcPr>
          <w:p w14:paraId="56A7497A"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2201P</w:t>
            </w:r>
          </w:p>
        </w:tc>
        <w:tc>
          <w:tcPr>
            <w:tcW w:w="3827" w:type="dxa"/>
            <w:shd w:val="clear" w:color="auto" w:fill="C1E4F5"/>
            <w:tcMar>
              <w:left w:w="105" w:type="dxa"/>
              <w:right w:w="105" w:type="dxa"/>
            </w:tcMar>
            <w:vAlign w:val="bottom"/>
          </w:tcPr>
          <w:p w14:paraId="6ABAA462"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Ongoing</w:t>
            </w:r>
          </w:p>
        </w:tc>
      </w:tr>
      <w:tr w:rsidR="00617FC9" w:rsidRPr="00986D12" w14:paraId="4F012693" w14:textId="77777777" w:rsidTr="005E67F6">
        <w:trPr>
          <w:trHeight w:val="300"/>
          <w:jc w:val="center"/>
        </w:trPr>
        <w:tc>
          <w:tcPr>
            <w:tcW w:w="2119" w:type="dxa"/>
            <w:tcMar>
              <w:left w:w="105" w:type="dxa"/>
              <w:right w:w="105" w:type="dxa"/>
            </w:tcMar>
            <w:vAlign w:val="bottom"/>
          </w:tcPr>
          <w:p w14:paraId="0434C31D" w14:textId="77777777" w:rsidR="00617FC9" w:rsidRPr="00986D12" w:rsidRDefault="00617FC9" w:rsidP="001139B7">
            <w:pPr>
              <w:pStyle w:val="Texttable"/>
              <w:spacing w:before="20" w:after="20"/>
              <w:rPr>
                <w:rFonts w:asciiTheme="minorHAnsi" w:hAnsiTheme="minorHAnsi" w:cstheme="minorHAnsi"/>
              </w:rPr>
            </w:pPr>
          </w:p>
        </w:tc>
        <w:tc>
          <w:tcPr>
            <w:tcW w:w="2551" w:type="dxa"/>
            <w:tcMar>
              <w:left w:w="105" w:type="dxa"/>
              <w:right w:w="105" w:type="dxa"/>
            </w:tcMar>
            <w:vAlign w:val="bottom"/>
          </w:tcPr>
          <w:p w14:paraId="772DEFE5"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2225P</w:t>
            </w:r>
          </w:p>
        </w:tc>
        <w:tc>
          <w:tcPr>
            <w:tcW w:w="3827" w:type="dxa"/>
            <w:tcMar>
              <w:left w:w="105" w:type="dxa"/>
              <w:right w:w="105" w:type="dxa"/>
            </w:tcMar>
            <w:vAlign w:val="bottom"/>
          </w:tcPr>
          <w:p w14:paraId="38592585" w14:textId="77777777" w:rsidR="00617FC9" w:rsidRPr="00986D12" w:rsidRDefault="00617FC9" w:rsidP="001139B7">
            <w:pPr>
              <w:pStyle w:val="Texttable"/>
              <w:spacing w:before="20" w:after="20"/>
              <w:jc w:val="center"/>
              <w:rPr>
                <w:rFonts w:asciiTheme="minorHAnsi" w:hAnsiTheme="minorHAnsi" w:cstheme="minorHAnsi"/>
              </w:rPr>
            </w:pPr>
            <w:r w:rsidRPr="00986D12">
              <w:rPr>
                <w:rFonts w:asciiTheme="minorHAnsi" w:hAnsiTheme="minorHAnsi" w:cstheme="minorHAnsi"/>
              </w:rPr>
              <w:t>Ongoing</w:t>
            </w:r>
          </w:p>
        </w:tc>
      </w:tr>
    </w:tbl>
    <w:p w14:paraId="7A31A546" w14:textId="77777777" w:rsidR="00617FC9" w:rsidRPr="00986D12" w:rsidRDefault="00617FC9" w:rsidP="00617FC9">
      <w:pPr>
        <w:pStyle w:val="Notes"/>
        <w:rPr>
          <w:rFonts w:asciiTheme="minorHAnsi" w:hAnsiTheme="minorHAnsi" w:cstheme="minorHAnsi"/>
        </w:rPr>
      </w:pPr>
      <w:r w:rsidRPr="00986D12">
        <w:rPr>
          <w:rFonts w:asciiTheme="minorHAnsi" w:eastAsia="Avenir Nxt2 W1G" w:hAnsiTheme="minorHAnsi" w:cstheme="minorHAnsi"/>
        </w:rPr>
        <w:t xml:space="preserve">Source: </w:t>
      </w:r>
      <w:r w:rsidRPr="00986D12">
        <w:rPr>
          <w:rFonts w:asciiTheme="minorHAnsi" w:hAnsiTheme="minorHAnsi" w:cstheme="minorHAnsi"/>
        </w:rPr>
        <w:t>Information provided by ITU-HR-ODR Division.</w:t>
      </w:r>
    </w:p>
    <w:p w14:paraId="5D9E6065" w14:textId="77777777" w:rsidR="00617FC9" w:rsidRPr="00986D12" w:rsidRDefault="00617FC9" w:rsidP="00617FC9">
      <w:pPr>
        <w:pStyle w:val="Notes"/>
        <w:rPr>
          <w:rFonts w:asciiTheme="minorHAnsi" w:hAnsiTheme="minorHAnsi" w:cstheme="minorHAnsi"/>
        </w:rPr>
      </w:pPr>
      <w:r w:rsidRPr="00986D12">
        <w:rPr>
          <w:rFonts w:asciiTheme="minorHAnsi" w:hAnsiTheme="minorHAnsi" w:cstheme="minorHAnsi"/>
        </w:rPr>
        <w:t>*Number of days refer to the recruitment process starts on the day the ODR division received a request to advertise a vacancy and ends on the day negative replies are issued to unsuccessful applicants.</w:t>
      </w:r>
    </w:p>
    <w:p w14:paraId="1FE4E72C"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lastRenderedPageBreak/>
        <w:t>Membership Survey responses provide complementary perceptions regarding staffing adequacy. Forty-nine per cent</w:t>
      </w:r>
      <w:r w:rsidRPr="0046236F" w:rsidDel="006B3589">
        <w:rPr>
          <w:rFonts w:asciiTheme="minorHAnsi" w:hAnsiTheme="minorHAnsi" w:cstheme="minorHAnsi"/>
          <w:szCs w:val="24"/>
        </w:rPr>
        <w:t xml:space="preserve"> </w:t>
      </w:r>
      <w:r w:rsidRPr="0046236F">
        <w:rPr>
          <w:rFonts w:asciiTheme="minorHAnsi" w:hAnsiTheme="minorHAnsi" w:cstheme="minorHAnsi"/>
          <w:szCs w:val="24"/>
        </w:rPr>
        <w:t>of respondents agree that human resources available to Regional and Area Offices are adequate to meet operational objectives, while a significant share remain neutral or express reservations regarding staffing sufficiency (Q3_b). This distribution of responses indicates that, while staffing levels are viewed as broadly functional, concerns remain regarding the capacity of Regional and Area Offices to fully meet expectations with existing human resources.</w:t>
      </w:r>
    </w:p>
    <w:p w14:paraId="2B854CB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Perceptions regarding recruitment processes show similar patterns. Forty-nine per cent</w:t>
      </w:r>
      <w:r w:rsidRPr="0046236F" w:rsidDel="006B3589">
        <w:rPr>
          <w:rFonts w:asciiTheme="minorHAnsi" w:hAnsiTheme="minorHAnsi" w:cstheme="minorHAnsi"/>
          <w:szCs w:val="24"/>
        </w:rPr>
        <w:t xml:space="preserve"> </w:t>
      </w:r>
      <w:r w:rsidRPr="0046236F">
        <w:rPr>
          <w:rFonts w:asciiTheme="minorHAnsi" w:hAnsiTheme="minorHAnsi" w:cstheme="minorHAnsi"/>
          <w:szCs w:val="24"/>
        </w:rPr>
        <w:t>of Membership Survey respondents agree that recruitment processes for project managers and experts in Regional and Area Offices are adequate, while a substantial share remain neutral and a smaller proportion express disagreement (Q6_g). These responses suggest that the effectiveness of recruitment mechanisms is viewed as moderate rather than strongly positive, which aligns with the structural recruitment delays identified in the document analysis.</w:t>
      </w:r>
    </w:p>
    <w:p w14:paraId="33DCD821" w14:textId="77777777" w:rsidR="00617FC9" w:rsidRPr="0046236F" w:rsidRDefault="00617FC9" w:rsidP="00617FC9">
      <w:pPr>
        <w:jc w:val="both"/>
        <w:rPr>
          <w:rFonts w:asciiTheme="minorHAnsi" w:hAnsiTheme="minorHAnsi" w:cstheme="minorHAnsi"/>
          <w:b/>
          <w:szCs w:val="24"/>
        </w:rPr>
      </w:pPr>
      <w:r w:rsidRPr="0046236F">
        <w:rPr>
          <w:rFonts w:asciiTheme="minorHAnsi" w:hAnsiTheme="minorHAnsi" w:cstheme="minorHAnsi"/>
          <w:szCs w:val="24"/>
        </w:rPr>
        <w:t xml:space="preserve">Documentary evidence regarding improvements to recruitment tools indicates limited progress in this area. While vacancy notices have become clearer and posts are systematically advertised on the ITU career portal and external recruitment platforms, no major process improvements specific to Regional and Area Offices have been implemented in recent years. Planned initiatives such as a functional mobility framework remain under consideration but have not yet been effectively operationalized due to funding constraints. </w:t>
      </w:r>
    </w:p>
    <w:p w14:paraId="3A5C470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Information on staff mobility also indicates limited movement between headquarters and field offices. Available data show only a small number of staff transfers between headquarters and Regional or Area Offices during the period under review, suggesting that mobility mechanisms have so far played a limited role in addressing staffing needs across the regional network. In the Internal Assessment Survey, 66% of respondents agree or strongly agree that implementing the staff mobility policy would positively impact ITU Regional Presence (Q13).</w:t>
      </w:r>
    </w:p>
    <w:p w14:paraId="011E882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Taken together, the evidence indicates that Regional and Area Offices face persistent staffing challenges, including extended recruitment timelines and limited mechanisms to support mobility or expedite hiring. Survey results reflect these constraints: while staff express moderate confidence in current processes, they also signal that improvements are needed to ensure adequate staffing levels for programme delivery and engagement with Member States.</w:t>
      </w:r>
    </w:p>
    <w:p w14:paraId="0B591BA1"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7485A775"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Overall, the findings indicate that while the existing recruitment framework provides the basic mechanisms required to fill positions in Regional and Area Offices, structural delays in recruitment, recurring vacancy patterns and limited mobility mechanisms continue to constrain the effective staffing of the regional presence. Taken together, these findings suggest that strengthening recruitment processes, improving workforce planning and expanding mobility mechanisms could contribute to improving the resilience and operational capacity of Regional and Area Offices.</w:t>
      </w:r>
    </w:p>
    <w:p w14:paraId="46763325"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Data Sources</w:t>
      </w:r>
    </w:p>
    <w:p w14:paraId="3F94E96F" w14:textId="77777777" w:rsidR="00617FC9" w:rsidRPr="0046236F" w:rsidRDefault="00617FC9" w:rsidP="00BC7ABA">
      <w:pPr>
        <w:pStyle w:val="ListParagraph"/>
        <w:numPr>
          <w:ilvl w:val="0"/>
          <w:numId w:val="37"/>
        </w:numPr>
        <w:spacing w:before="60" w:after="60"/>
        <w:contextualSpacing w:val="0"/>
        <w:rPr>
          <w:rFonts w:asciiTheme="minorHAnsi" w:hAnsiTheme="minorHAnsi" w:cstheme="minorHAnsi"/>
          <w:sz w:val="24"/>
          <w:szCs w:val="24"/>
        </w:rPr>
      </w:pPr>
      <w:r w:rsidRPr="0046236F">
        <w:rPr>
          <w:rFonts w:asciiTheme="minorHAnsi" w:hAnsiTheme="minorHAnsi" w:cstheme="minorHAnsi"/>
          <w:sz w:val="24"/>
          <w:szCs w:val="24"/>
          <w:lang w:val="en-US"/>
        </w:rPr>
        <w:t>Information from ITU HR Department mainly ODR Division</w:t>
      </w:r>
    </w:p>
    <w:p w14:paraId="4ECC1CBE"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Supplementary Notes</w:t>
      </w:r>
    </w:p>
    <w:p w14:paraId="5EC90871" w14:textId="77777777" w:rsidR="0046236F" w:rsidRDefault="0046236F">
      <w:pPr>
        <w:tabs>
          <w:tab w:val="clear" w:pos="567"/>
          <w:tab w:val="clear" w:pos="1134"/>
          <w:tab w:val="clear" w:pos="1701"/>
          <w:tab w:val="clear" w:pos="2268"/>
          <w:tab w:val="clear" w:pos="2835"/>
        </w:tabs>
        <w:overflowPunct/>
        <w:autoSpaceDE/>
        <w:autoSpaceDN/>
        <w:adjustRightInd/>
        <w:spacing w:before="0"/>
        <w:textAlignment w:val="auto"/>
        <w:rPr>
          <w:rFonts w:asciiTheme="minorHAnsi" w:eastAsia="Aptos" w:hAnsiTheme="minorHAnsi" w:cstheme="minorHAnsi"/>
          <w:b/>
          <w:bCs/>
          <w:kern w:val="2"/>
          <w:szCs w:val="24"/>
          <w:lang w:eastAsia="en-GB"/>
          <w14:ligatures w14:val="standardContextual"/>
        </w:rPr>
      </w:pPr>
      <w:r>
        <w:rPr>
          <w:rFonts w:asciiTheme="minorHAnsi" w:hAnsiTheme="minorHAnsi" w:cstheme="minorHAnsi"/>
          <w:szCs w:val="24"/>
        </w:rPr>
        <w:br w:type="page"/>
      </w:r>
    </w:p>
    <w:p w14:paraId="07778190" w14:textId="764FBFE9" w:rsidR="00617FC9" w:rsidRPr="0046236F" w:rsidRDefault="00617FC9" w:rsidP="00617FC9">
      <w:pPr>
        <w:pStyle w:val="Subtitle0"/>
        <w:jc w:val="center"/>
        <w:rPr>
          <w:rFonts w:asciiTheme="minorHAnsi" w:hAnsiTheme="minorHAnsi" w:cstheme="minorHAnsi"/>
          <w:sz w:val="24"/>
          <w:szCs w:val="24"/>
        </w:rPr>
      </w:pPr>
      <w:r w:rsidRPr="0046236F">
        <w:rPr>
          <w:rFonts w:asciiTheme="minorHAnsi" w:hAnsiTheme="minorHAnsi" w:cstheme="minorHAnsi"/>
          <w:sz w:val="24"/>
          <w:szCs w:val="24"/>
        </w:rPr>
        <w:lastRenderedPageBreak/>
        <w:t xml:space="preserve">Post types and vacancies advertisement start &amp; end dates (where applicable) </w:t>
      </w:r>
      <w:r w:rsidR="00F67613">
        <w:rPr>
          <w:rFonts w:asciiTheme="minorHAnsi" w:hAnsiTheme="minorHAnsi" w:cstheme="minorHAnsi"/>
          <w:sz w:val="24"/>
          <w:szCs w:val="24"/>
        </w:rPr>
        <w:br/>
      </w:r>
      <w:r w:rsidRPr="0046236F">
        <w:rPr>
          <w:rFonts w:asciiTheme="minorHAnsi" w:hAnsiTheme="minorHAnsi" w:cstheme="minorHAnsi"/>
          <w:sz w:val="24"/>
          <w:szCs w:val="24"/>
        </w:rPr>
        <w:t>for regional/area offices</w:t>
      </w:r>
      <w:r w:rsidRPr="0046236F">
        <w:rPr>
          <w:rFonts w:asciiTheme="minorHAnsi" w:hAnsiTheme="minorHAnsi" w:cstheme="minorHAnsi"/>
          <w:sz w:val="24"/>
          <w:szCs w:val="24"/>
          <w:vertAlign w:val="superscript"/>
        </w:rPr>
        <w:footnoteReference w:id="3"/>
      </w:r>
    </w:p>
    <w:tbl>
      <w:tblPr>
        <w:tblStyle w:val="ListTable3-Accent41"/>
        <w:tblW w:w="0" w:type="auto"/>
        <w:jc w:val="center"/>
        <w:tblLook w:val="04A0" w:firstRow="1" w:lastRow="0" w:firstColumn="1" w:lastColumn="0" w:noHBand="0" w:noVBand="1"/>
      </w:tblPr>
      <w:tblGrid>
        <w:gridCol w:w="1278"/>
        <w:gridCol w:w="482"/>
        <w:gridCol w:w="1209"/>
        <w:gridCol w:w="287"/>
        <w:gridCol w:w="2284"/>
        <w:gridCol w:w="1780"/>
        <w:gridCol w:w="1696"/>
      </w:tblGrid>
      <w:tr w:rsidR="00617FC9" w:rsidRPr="00986D12" w14:paraId="389819C4" w14:textId="77777777" w:rsidTr="00696175">
        <w:trPr>
          <w:cnfStyle w:val="100000000000" w:firstRow="1" w:lastRow="0" w:firstColumn="0" w:lastColumn="0" w:oddVBand="0" w:evenVBand="0" w:oddHBand="0" w:evenHBand="0" w:firstRowFirstColumn="0" w:firstRowLastColumn="0" w:lastRowFirstColumn="0" w:lastRowLastColumn="0"/>
          <w:trHeight w:val="855"/>
          <w:tblHeader/>
          <w:jc w:val="center"/>
        </w:trPr>
        <w:tc>
          <w:tcPr>
            <w:cnfStyle w:val="001000000100" w:firstRow="0" w:lastRow="0" w:firstColumn="1" w:lastColumn="0" w:oddVBand="0" w:evenVBand="0" w:oddHBand="0" w:evenHBand="0" w:firstRowFirstColumn="1" w:firstRowLastColumn="0" w:lastRowFirstColumn="0" w:lastRowLastColumn="0"/>
            <w:tcW w:w="1278" w:type="dxa"/>
          </w:tcPr>
          <w:p w14:paraId="0EB2314E" w14:textId="77777777" w:rsidR="00617FC9" w:rsidRPr="00986D12" w:rsidRDefault="00617FC9" w:rsidP="00696175">
            <w:pPr>
              <w:pStyle w:val="Tabletitle0"/>
              <w:rPr>
                <w:rFonts w:asciiTheme="minorHAnsi" w:hAnsiTheme="minorHAnsi" w:cstheme="minorHAnsi"/>
                <w:b/>
                <w:sz w:val="16"/>
                <w:szCs w:val="16"/>
              </w:rPr>
            </w:pPr>
            <w:r w:rsidRPr="00986D12">
              <w:rPr>
                <w:rFonts w:asciiTheme="minorHAnsi" w:hAnsiTheme="minorHAnsi" w:cstheme="minorHAnsi"/>
                <w:b/>
                <w:sz w:val="16"/>
                <w:szCs w:val="16"/>
              </w:rPr>
              <w:t>Regional Office / Area Office</w:t>
            </w:r>
          </w:p>
        </w:tc>
        <w:tc>
          <w:tcPr>
            <w:tcW w:w="1691" w:type="dxa"/>
            <w:gridSpan w:val="2"/>
          </w:tcPr>
          <w:p w14:paraId="651A3575" w14:textId="77777777" w:rsidR="00617FC9" w:rsidRPr="00986D12" w:rsidRDefault="00617FC9" w:rsidP="00696175">
            <w:pPr>
              <w:pStyle w:val="Tabletitl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6"/>
                <w:szCs w:val="16"/>
              </w:rPr>
            </w:pPr>
            <w:r w:rsidRPr="00986D12">
              <w:rPr>
                <w:rFonts w:asciiTheme="minorHAnsi" w:hAnsiTheme="minorHAnsi" w:cstheme="minorHAnsi"/>
                <w:b/>
                <w:sz w:val="16"/>
                <w:szCs w:val="16"/>
              </w:rPr>
              <w:t xml:space="preserve">2022 Post type &amp; Vacancy dates </w:t>
            </w:r>
          </w:p>
        </w:tc>
        <w:tc>
          <w:tcPr>
            <w:tcW w:w="287" w:type="dxa"/>
          </w:tcPr>
          <w:p w14:paraId="3981A538" w14:textId="77777777" w:rsidR="00617FC9" w:rsidRPr="00986D12" w:rsidRDefault="00617FC9" w:rsidP="00696175">
            <w:pPr>
              <w:pStyle w:val="Tabletitl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6"/>
                <w:szCs w:val="16"/>
              </w:rPr>
            </w:pPr>
          </w:p>
        </w:tc>
        <w:tc>
          <w:tcPr>
            <w:tcW w:w="2284" w:type="dxa"/>
          </w:tcPr>
          <w:p w14:paraId="3DAC1568" w14:textId="77777777" w:rsidR="00617FC9" w:rsidRPr="00986D12" w:rsidRDefault="00617FC9" w:rsidP="00696175">
            <w:pPr>
              <w:pStyle w:val="Tabletitl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6"/>
                <w:szCs w:val="16"/>
              </w:rPr>
            </w:pPr>
            <w:r w:rsidRPr="00986D12">
              <w:rPr>
                <w:rFonts w:asciiTheme="minorHAnsi" w:hAnsiTheme="minorHAnsi" w:cstheme="minorHAnsi"/>
                <w:b/>
                <w:sz w:val="16"/>
                <w:szCs w:val="16"/>
              </w:rPr>
              <w:t>2023 Post type &amp; Vacancy dates</w:t>
            </w:r>
          </w:p>
        </w:tc>
        <w:tc>
          <w:tcPr>
            <w:tcW w:w="1780" w:type="dxa"/>
          </w:tcPr>
          <w:p w14:paraId="0DBE1C3D" w14:textId="77777777" w:rsidR="00617FC9" w:rsidRPr="00986D12" w:rsidRDefault="00617FC9" w:rsidP="00696175">
            <w:pPr>
              <w:pStyle w:val="Tabletitl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6"/>
                <w:szCs w:val="16"/>
              </w:rPr>
            </w:pPr>
            <w:r w:rsidRPr="00986D12">
              <w:rPr>
                <w:rFonts w:asciiTheme="minorHAnsi" w:hAnsiTheme="minorHAnsi" w:cstheme="minorHAnsi"/>
                <w:b/>
                <w:sz w:val="16"/>
                <w:szCs w:val="16"/>
              </w:rPr>
              <w:t>2024 Post type &amp; Vacancy dates</w:t>
            </w:r>
          </w:p>
        </w:tc>
        <w:tc>
          <w:tcPr>
            <w:tcW w:w="1696" w:type="dxa"/>
          </w:tcPr>
          <w:p w14:paraId="514E0163" w14:textId="77777777" w:rsidR="00617FC9" w:rsidRPr="00986D12" w:rsidRDefault="00617FC9" w:rsidP="00696175">
            <w:pPr>
              <w:pStyle w:val="Tabletitl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6"/>
                <w:szCs w:val="16"/>
              </w:rPr>
            </w:pPr>
            <w:r w:rsidRPr="00986D12">
              <w:rPr>
                <w:rFonts w:asciiTheme="minorHAnsi" w:hAnsiTheme="minorHAnsi" w:cstheme="minorHAnsi"/>
                <w:b/>
                <w:sz w:val="16"/>
                <w:szCs w:val="16"/>
              </w:rPr>
              <w:t>2025 Post type &amp; Vacancy dates</w:t>
            </w:r>
          </w:p>
        </w:tc>
      </w:tr>
      <w:tr w:rsidR="00617FC9" w:rsidRPr="00986D12" w14:paraId="5AA64E87" w14:textId="77777777" w:rsidTr="0069617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60" w:type="dxa"/>
            <w:gridSpan w:val="2"/>
            <w:shd w:val="clear" w:color="auto" w:fill="C1E4F5"/>
          </w:tcPr>
          <w:p w14:paraId="3E215623"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AFRICA</w:t>
            </w:r>
          </w:p>
        </w:tc>
        <w:tc>
          <w:tcPr>
            <w:tcW w:w="3780" w:type="dxa"/>
            <w:gridSpan w:val="3"/>
            <w:shd w:val="clear" w:color="auto" w:fill="C1E4F5"/>
          </w:tcPr>
          <w:p w14:paraId="1FF23FB4"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780" w:type="dxa"/>
            <w:shd w:val="clear" w:color="auto" w:fill="C1E4F5"/>
          </w:tcPr>
          <w:p w14:paraId="2B829EB4"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696" w:type="dxa"/>
            <w:shd w:val="clear" w:color="auto" w:fill="C1E4F5"/>
          </w:tcPr>
          <w:p w14:paraId="4D0F2FB7"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617FC9" w:rsidRPr="00986D12" w14:paraId="1346DE1C" w14:textId="77777777" w:rsidTr="00696175">
        <w:trPr>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391F8316"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Addis Ababa</w:t>
            </w:r>
          </w:p>
        </w:tc>
        <w:tc>
          <w:tcPr>
            <w:tcW w:w="1691" w:type="dxa"/>
            <w:gridSpan w:val="2"/>
          </w:tcPr>
          <w:p w14:paraId="08F4A801"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TD25R/P4/580 'Programme Coordinator'</w:t>
            </w:r>
          </w:p>
          <w:p w14:paraId="2CDDED01"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(date not provided)</w:t>
            </w:r>
          </w:p>
        </w:tc>
        <w:tc>
          <w:tcPr>
            <w:tcW w:w="287" w:type="dxa"/>
          </w:tcPr>
          <w:p w14:paraId="58DA1382"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284" w:type="dxa"/>
          </w:tcPr>
          <w:p w14:paraId="412B3B64"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780" w:type="dxa"/>
          </w:tcPr>
          <w:p w14:paraId="32924B03"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TD25R/P4/580 'Programme Coordinator'</w:t>
            </w:r>
            <w:r w:rsidRPr="00986D12">
              <w:rPr>
                <w:rFonts w:asciiTheme="minorHAnsi" w:hAnsiTheme="minorHAnsi" w:cstheme="minorHAnsi"/>
                <w:sz w:val="16"/>
                <w:szCs w:val="16"/>
              </w:rPr>
              <w:br/>
              <w:t>from 1 Nov. 24 to 31 Dec. 24</w:t>
            </w:r>
          </w:p>
        </w:tc>
        <w:tc>
          <w:tcPr>
            <w:tcW w:w="1696" w:type="dxa"/>
          </w:tcPr>
          <w:p w14:paraId="31548A35"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TD25R/P4/580 'Programme Coordinator'</w:t>
            </w:r>
            <w:r w:rsidRPr="00986D12">
              <w:rPr>
                <w:rFonts w:asciiTheme="minorHAnsi" w:hAnsiTheme="minorHAnsi" w:cstheme="minorHAnsi"/>
                <w:sz w:val="16"/>
                <w:szCs w:val="16"/>
              </w:rPr>
              <w:br/>
              <w:t>from 1 Jan. 25 to 31 Oct. 25</w:t>
            </w:r>
          </w:p>
        </w:tc>
      </w:tr>
      <w:tr w:rsidR="00617FC9" w:rsidRPr="00986D12" w14:paraId="327978D3" w14:textId="77777777" w:rsidTr="00696175">
        <w:trPr>
          <w:cnfStyle w:val="000000100000" w:firstRow="0" w:lastRow="0" w:firstColumn="0" w:lastColumn="0" w:oddVBand="0" w:evenVBand="0" w:oddHBand="1" w:evenHBand="0" w:firstRowFirstColumn="0" w:firstRowLastColumn="0" w:lastRowFirstColumn="0" w:lastRowLastColumn="0"/>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20C39D42"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Addis Ababa</w:t>
            </w:r>
          </w:p>
        </w:tc>
        <w:tc>
          <w:tcPr>
            <w:tcW w:w="1691" w:type="dxa"/>
            <w:gridSpan w:val="2"/>
          </w:tcPr>
          <w:p w14:paraId="0B74B297"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87" w:type="dxa"/>
          </w:tcPr>
          <w:p w14:paraId="16F3F485"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284" w:type="dxa"/>
          </w:tcPr>
          <w:p w14:paraId="27F8457F"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TD25R/P3/581 'Programme Officer'</w:t>
            </w:r>
          </w:p>
          <w:p w14:paraId="7A8ECEEF"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(date not provided)</w:t>
            </w:r>
            <w:r w:rsidRPr="00986D12" w:rsidDel="004F6710">
              <w:rPr>
                <w:rFonts w:asciiTheme="minorHAnsi" w:hAnsiTheme="minorHAnsi" w:cstheme="minorHAnsi"/>
                <w:sz w:val="16"/>
                <w:szCs w:val="16"/>
              </w:rPr>
              <w:t xml:space="preserve"> </w:t>
            </w:r>
            <w:r w:rsidRPr="00986D12" w:rsidDel="004F6710">
              <w:rPr>
                <w:rFonts w:asciiTheme="minorHAnsi" w:hAnsiTheme="minorHAnsi" w:cstheme="minorHAnsi"/>
                <w:sz w:val="16"/>
                <w:szCs w:val="16"/>
              </w:rPr>
              <w:br/>
            </w:r>
          </w:p>
        </w:tc>
        <w:tc>
          <w:tcPr>
            <w:tcW w:w="1780" w:type="dxa"/>
          </w:tcPr>
          <w:p w14:paraId="53A590B2"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TD25R/P3/581 'Programme Officer'</w:t>
            </w:r>
            <w:r w:rsidRPr="00986D12">
              <w:rPr>
                <w:rFonts w:asciiTheme="minorHAnsi" w:hAnsiTheme="minorHAnsi" w:cstheme="minorHAnsi"/>
                <w:sz w:val="16"/>
                <w:szCs w:val="16"/>
              </w:rPr>
              <w:br/>
              <w:t>from 1 Jan. 24 to 31 May 24</w:t>
            </w:r>
          </w:p>
        </w:tc>
        <w:tc>
          <w:tcPr>
            <w:tcW w:w="1696" w:type="dxa"/>
          </w:tcPr>
          <w:p w14:paraId="11ACEFD5"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617FC9" w:rsidRPr="00986D12" w14:paraId="679F0478" w14:textId="77777777" w:rsidTr="00696175">
        <w:trPr>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791D0433"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Addis Ababa</w:t>
            </w:r>
          </w:p>
        </w:tc>
        <w:tc>
          <w:tcPr>
            <w:tcW w:w="1691" w:type="dxa"/>
            <w:gridSpan w:val="2"/>
          </w:tcPr>
          <w:p w14:paraId="693718A7"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87" w:type="dxa"/>
          </w:tcPr>
          <w:p w14:paraId="01B9AFE4"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284" w:type="dxa"/>
          </w:tcPr>
          <w:p w14:paraId="4B9D5C8C"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TD25R/P2/833 'External Affairs Officer'</w:t>
            </w:r>
            <w:r w:rsidRPr="00986D12">
              <w:rPr>
                <w:rFonts w:asciiTheme="minorHAnsi" w:hAnsiTheme="minorHAnsi" w:cstheme="minorHAnsi"/>
                <w:sz w:val="16"/>
                <w:szCs w:val="16"/>
              </w:rPr>
              <w:br/>
              <w:t>from 1 Sep. 23 to 31 Dec. 23</w:t>
            </w:r>
          </w:p>
        </w:tc>
        <w:tc>
          <w:tcPr>
            <w:tcW w:w="1780" w:type="dxa"/>
          </w:tcPr>
          <w:p w14:paraId="6EF452D5"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TD25R/P2/833 'External Affairs Officer'</w:t>
            </w:r>
            <w:r w:rsidRPr="00986D12">
              <w:rPr>
                <w:rFonts w:asciiTheme="minorHAnsi" w:hAnsiTheme="minorHAnsi" w:cstheme="minorHAnsi"/>
                <w:sz w:val="16"/>
                <w:szCs w:val="16"/>
              </w:rPr>
              <w:br/>
              <w:t>from 1 Sep. 24 to 31 Dec. 24</w:t>
            </w:r>
          </w:p>
          <w:p w14:paraId="2E1A9C68"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696" w:type="dxa"/>
          </w:tcPr>
          <w:p w14:paraId="4DEF1254"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617FC9" w:rsidRPr="00986D12" w14:paraId="3F00FC7D" w14:textId="77777777" w:rsidTr="00696175">
        <w:trPr>
          <w:cnfStyle w:val="000000100000" w:firstRow="0" w:lastRow="0" w:firstColumn="0" w:lastColumn="0" w:oddVBand="0" w:evenVBand="0" w:oddHBand="1" w:evenHBand="0" w:firstRowFirstColumn="0" w:firstRowLastColumn="0" w:lastRowFirstColumn="0" w:lastRowLastColumn="0"/>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5A7B5545"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Addis Ababa</w:t>
            </w:r>
          </w:p>
        </w:tc>
        <w:tc>
          <w:tcPr>
            <w:tcW w:w="1691" w:type="dxa"/>
            <w:gridSpan w:val="2"/>
          </w:tcPr>
          <w:p w14:paraId="48832490"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87" w:type="dxa"/>
          </w:tcPr>
          <w:p w14:paraId="6A1E82C0"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284" w:type="dxa"/>
          </w:tcPr>
          <w:p w14:paraId="2F8AE2CE"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780" w:type="dxa"/>
          </w:tcPr>
          <w:p w14:paraId="7E2BD79E"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TD25R/P2/882 'Programme Administrator'</w:t>
            </w:r>
            <w:r w:rsidRPr="00986D12">
              <w:rPr>
                <w:rFonts w:asciiTheme="minorHAnsi" w:hAnsiTheme="minorHAnsi" w:cstheme="minorHAnsi"/>
                <w:sz w:val="16"/>
                <w:szCs w:val="16"/>
              </w:rPr>
              <w:br/>
              <w:t>from 1 Sep. 24 to 31 Dec. 24</w:t>
            </w:r>
          </w:p>
        </w:tc>
        <w:tc>
          <w:tcPr>
            <w:tcW w:w="1696" w:type="dxa"/>
          </w:tcPr>
          <w:p w14:paraId="72FBBFFB"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TD25R/P2/882 'Programme Administrator'</w:t>
            </w:r>
            <w:r w:rsidRPr="00986D12">
              <w:rPr>
                <w:rFonts w:asciiTheme="minorHAnsi" w:hAnsiTheme="minorHAnsi" w:cstheme="minorHAnsi"/>
                <w:sz w:val="16"/>
                <w:szCs w:val="16"/>
              </w:rPr>
              <w:br/>
              <w:t>from 1 Jan. 25 to 30 Jun. 25</w:t>
            </w:r>
          </w:p>
        </w:tc>
      </w:tr>
      <w:tr w:rsidR="00617FC9" w:rsidRPr="00986D12" w14:paraId="1C8962AF" w14:textId="77777777" w:rsidTr="00696175">
        <w:trPr>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23E32E70"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Harare</w:t>
            </w:r>
          </w:p>
        </w:tc>
        <w:tc>
          <w:tcPr>
            <w:tcW w:w="1691" w:type="dxa"/>
            <w:gridSpan w:val="2"/>
          </w:tcPr>
          <w:p w14:paraId="5D794F29"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87" w:type="dxa"/>
          </w:tcPr>
          <w:p w14:paraId="11DEB4E2"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284" w:type="dxa"/>
          </w:tcPr>
          <w:p w14:paraId="27CE058A"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 xml:space="preserve">TD25R/P5/780 'ITU Area Representative' </w:t>
            </w:r>
            <w:r w:rsidRPr="00986D12">
              <w:rPr>
                <w:rFonts w:asciiTheme="minorHAnsi" w:hAnsiTheme="minorHAnsi" w:cstheme="minorHAnsi"/>
                <w:sz w:val="16"/>
                <w:szCs w:val="16"/>
              </w:rPr>
              <w:br/>
              <w:t>from 1 Oct. 23 to 31 Dec. 23</w:t>
            </w:r>
          </w:p>
        </w:tc>
        <w:tc>
          <w:tcPr>
            <w:tcW w:w="1780" w:type="dxa"/>
          </w:tcPr>
          <w:p w14:paraId="25B744E5"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TD25R/P5/780 'ITU Area Representative'</w:t>
            </w:r>
            <w:r w:rsidRPr="00986D12">
              <w:rPr>
                <w:rFonts w:asciiTheme="minorHAnsi" w:hAnsiTheme="minorHAnsi" w:cstheme="minorHAnsi"/>
                <w:sz w:val="16"/>
                <w:szCs w:val="16"/>
              </w:rPr>
              <w:br/>
              <w:t>from 1 Jan. 24 to 31 Aug. 24</w:t>
            </w:r>
          </w:p>
        </w:tc>
        <w:tc>
          <w:tcPr>
            <w:tcW w:w="1696" w:type="dxa"/>
          </w:tcPr>
          <w:p w14:paraId="02DABCCB"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617FC9" w:rsidRPr="00986D12" w14:paraId="414465BD" w14:textId="77777777" w:rsidTr="00696175">
        <w:trPr>
          <w:cnfStyle w:val="000000100000" w:firstRow="0" w:lastRow="0" w:firstColumn="0" w:lastColumn="0" w:oddVBand="0" w:evenVBand="0" w:oddHBand="1" w:evenHBand="0" w:firstRowFirstColumn="0" w:firstRowLastColumn="0" w:lastRowFirstColumn="0" w:lastRowLastColumn="0"/>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5D9B8A1F"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Harare</w:t>
            </w:r>
          </w:p>
        </w:tc>
        <w:tc>
          <w:tcPr>
            <w:tcW w:w="1691" w:type="dxa"/>
            <w:gridSpan w:val="2"/>
          </w:tcPr>
          <w:p w14:paraId="330EC119"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87" w:type="dxa"/>
          </w:tcPr>
          <w:p w14:paraId="58129CE5"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284" w:type="dxa"/>
          </w:tcPr>
          <w:p w14:paraId="5D19DB99"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TD25R/P2/435 'Associate Programme Officer'</w:t>
            </w:r>
            <w:r w:rsidRPr="00986D12">
              <w:rPr>
                <w:rFonts w:asciiTheme="minorHAnsi" w:hAnsiTheme="minorHAnsi" w:cstheme="minorHAnsi"/>
                <w:sz w:val="16"/>
                <w:szCs w:val="16"/>
              </w:rPr>
              <w:br/>
              <w:t>from 1 Sep. 23 to 31 Dec. 23</w:t>
            </w:r>
          </w:p>
        </w:tc>
        <w:tc>
          <w:tcPr>
            <w:tcW w:w="1780" w:type="dxa"/>
          </w:tcPr>
          <w:p w14:paraId="440A77B0"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TD25R/P2/435 'Associate Programme Officer'</w:t>
            </w:r>
          </w:p>
          <w:p w14:paraId="609E857C"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(date not provided)</w:t>
            </w:r>
          </w:p>
        </w:tc>
        <w:tc>
          <w:tcPr>
            <w:tcW w:w="1696" w:type="dxa"/>
          </w:tcPr>
          <w:p w14:paraId="3C73CB20"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TD25R/P2/435 'Associate Programme Officer'</w:t>
            </w:r>
            <w:r w:rsidRPr="00986D12">
              <w:rPr>
                <w:rFonts w:asciiTheme="minorHAnsi" w:hAnsiTheme="minorHAnsi" w:cstheme="minorHAnsi"/>
                <w:sz w:val="16"/>
                <w:szCs w:val="16"/>
              </w:rPr>
              <w:br/>
              <w:t>from 1 Jan. 25 to 31 Aug. 25</w:t>
            </w:r>
          </w:p>
        </w:tc>
      </w:tr>
      <w:tr w:rsidR="00617FC9" w:rsidRPr="00986D12" w14:paraId="2EADA05D" w14:textId="77777777" w:rsidTr="00696175">
        <w:trPr>
          <w:trHeight w:val="285"/>
          <w:jc w:val="center"/>
        </w:trPr>
        <w:tc>
          <w:tcPr>
            <w:cnfStyle w:val="001000000000" w:firstRow="0" w:lastRow="0" w:firstColumn="1" w:lastColumn="0" w:oddVBand="0" w:evenVBand="0" w:oddHBand="0" w:evenHBand="0" w:firstRowFirstColumn="0" w:firstRowLastColumn="0" w:lastRowFirstColumn="0" w:lastRowLastColumn="0"/>
            <w:tcW w:w="1760" w:type="dxa"/>
            <w:gridSpan w:val="2"/>
            <w:shd w:val="clear" w:color="auto" w:fill="C1E4F5"/>
          </w:tcPr>
          <w:p w14:paraId="77FFD8B3" w14:textId="77777777" w:rsidR="00617FC9" w:rsidRPr="00986D12" w:rsidRDefault="00617FC9" w:rsidP="00696175">
            <w:pPr>
              <w:pStyle w:val="Texttable"/>
              <w:keepNext/>
              <w:rPr>
                <w:rFonts w:asciiTheme="minorHAnsi" w:hAnsiTheme="minorHAnsi" w:cstheme="minorHAnsi"/>
                <w:sz w:val="16"/>
                <w:szCs w:val="16"/>
              </w:rPr>
            </w:pPr>
            <w:r w:rsidRPr="00986D12">
              <w:rPr>
                <w:rFonts w:asciiTheme="minorHAnsi" w:hAnsiTheme="minorHAnsi" w:cstheme="minorHAnsi"/>
                <w:sz w:val="16"/>
                <w:szCs w:val="16"/>
              </w:rPr>
              <w:t>AMERICAS</w:t>
            </w:r>
          </w:p>
        </w:tc>
        <w:tc>
          <w:tcPr>
            <w:tcW w:w="3780" w:type="dxa"/>
            <w:gridSpan w:val="3"/>
            <w:shd w:val="clear" w:color="auto" w:fill="C1E4F5"/>
          </w:tcPr>
          <w:p w14:paraId="2D295173" w14:textId="77777777" w:rsidR="00617FC9" w:rsidRPr="00986D12" w:rsidRDefault="00617FC9" w:rsidP="00696175">
            <w:pPr>
              <w:pStyle w:val="Texttable"/>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780" w:type="dxa"/>
            <w:shd w:val="clear" w:color="auto" w:fill="C1E4F5"/>
          </w:tcPr>
          <w:p w14:paraId="25267D86" w14:textId="77777777" w:rsidR="00617FC9" w:rsidRPr="00986D12" w:rsidRDefault="00617FC9" w:rsidP="00696175">
            <w:pPr>
              <w:pStyle w:val="Texttable"/>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696" w:type="dxa"/>
            <w:shd w:val="clear" w:color="auto" w:fill="C1E4F5"/>
          </w:tcPr>
          <w:p w14:paraId="50AA41DD" w14:textId="77777777" w:rsidR="00617FC9" w:rsidRPr="00986D12" w:rsidRDefault="00617FC9" w:rsidP="00696175">
            <w:pPr>
              <w:pStyle w:val="Texttable"/>
              <w:keepN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617FC9" w:rsidRPr="00986D12" w14:paraId="3D9A1318" w14:textId="77777777" w:rsidTr="00696175">
        <w:trPr>
          <w:cnfStyle w:val="000000100000" w:firstRow="0" w:lastRow="0" w:firstColumn="0" w:lastColumn="0" w:oddVBand="0" w:evenVBand="0" w:oddHBand="1" w:evenHBand="0" w:firstRowFirstColumn="0" w:firstRowLastColumn="0" w:lastRowFirstColumn="0" w:lastRowLastColumn="0"/>
          <w:trHeight w:val="1155"/>
          <w:jc w:val="center"/>
        </w:trPr>
        <w:tc>
          <w:tcPr>
            <w:cnfStyle w:val="001000000000" w:firstRow="0" w:lastRow="0" w:firstColumn="1" w:lastColumn="0" w:oddVBand="0" w:evenVBand="0" w:oddHBand="0" w:evenHBand="0" w:firstRowFirstColumn="0" w:firstRowLastColumn="0" w:lastRowFirstColumn="0" w:lastRowLastColumn="0"/>
            <w:tcW w:w="1278" w:type="dxa"/>
          </w:tcPr>
          <w:p w14:paraId="55EDEAE6"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Brasilia</w:t>
            </w:r>
          </w:p>
        </w:tc>
        <w:tc>
          <w:tcPr>
            <w:tcW w:w="1691" w:type="dxa"/>
            <w:gridSpan w:val="2"/>
          </w:tcPr>
          <w:p w14:paraId="23594E9A"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87" w:type="dxa"/>
          </w:tcPr>
          <w:p w14:paraId="342923A4"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284" w:type="dxa"/>
          </w:tcPr>
          <w:p w14:paraId="29491F2D"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TD26R/P5/611 'Senior Advisor'</w:t>
            </w:r>
          </w:p>
          <w:p w14:paraId="753DB798"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(date not provided)</w:t>
            </w:r>
          </w:p>
        </w:tc>
        <w:tc>
          <w:tcPr>
            <w:tcW w:w="1780" w:type="dxa"/>
          </w:tcPr>
          <w:p w14:paraId="5BB92F8A"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TD26R/P5/611 'Senior Advisor'</w:t>
            </w:r>
            <w:r w:rsidRPr="00986D12">
              <w:rPr>
                <w:rFonts w:asciiTheme="minorHAnsi" w:hAnsiTheme="minorHAnsi" w:cstheme="minorHAnsi"/>
                <w:sz w:val="16"/>
                <w:szCs w:val="16"/>
              </w:rPr>
              <w:br/>
              <w:t>from 1 Jan. 24 to 31 Oct. 24</w:t>
            </w:r>
          </w:p>
        </w:tc>
        <w:tc>
          <w:tcPr>
            <w:tcW w:w="1696" w:type="dxa"/>
          </w:tcPr>
          <w:p w14:paraId="6A619B92"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617FC9" w:rsidRPr="00986D12" w14:paraId="071C3C11" w14:textId="77777777" w:rsidTr="00696175">
        <w:trPr>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5ADB5E80"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Brasilia</w:t>
            </w:r>
          </w:p>
        </w:tc>
        <w:tc>
          <w:tcPr>
            <w:tcW w:w="1691" w:type="dxa"/>
            <w:gridSpan w:val="2"/>
          </w:tcPr>
          <w:p w14:paraId="2CC54C16"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87" w:type="dxa"/>
          </w:tcPr>
          <w:p w14:paraId="2804BDF0"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284" w:type="dxa"/>
          </w:tcPr>
          <w:p w14:paraId="58F760C6"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TD26R/P2/352 'Programme Officer'</w:t>
            </w:r>
            <w:r w:rsidRPr="00986D12">
              <w:rPr>
                <w:rFonts w:asciiTheme="minorHAnsi" w:hAnsiTheme="minorHAnsi" w:cstheme="minorHAnsi"/>
                <w:sz w:val="16"/>
                <w:szCs w:val="16"/>
              </w:rPr>
              <w:br/>
              <w:t>from 1 Mar. 23 to 31 Dec. 23</w:t>
            </w:r>
          </w:p>
        </w:tc>
        <w:tc>
          <w:tcPr>
            <w:tcW w:w="1780" w:type="dxa"/>
          </w:tcPr>
          <w:p w14:paraId="25487BCD"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TD26R/P2/352 'Programme Officer'</w:t>
            </w:r>
            <w:r w:rsidRPr="00986D12">
              <w:rPr>
                <w:rFonts w:asciiTheme="minorHAnsi" w:hAnsiTheme="minorHAnsi" w:cstheme="minorHAnsi"/>
                <w:sz w:val="16"/>
                <w:szCs w:val="16"/>
              </w:rPr>
              <w:br/>
              <w:t>from 1 Jan. 24 to 31 Mar. 24</w:t>
            </w:r>
          </w:p>
          <w:p w14:paraId="68C22237"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696" w:type="dxa"/>
          </w:tcPr>
          <w:p w14:paraId="7AA78167"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 xml:space="preserve"> </w:t>
            </w:r>
          </w:p>
        </w:tc>
      </w:tr>
      <w:tr w:rsidR="00617FC9" w:rsidRPr="00986D12" w14:paraId="1B08BFC1" w14:textId="77777777" w:rsidTr="00696175">
        <w:trPr>
          <w:cnfStyle w:val="000000100000" w:firstRow="0" w:lastRow="0" w:firstColumn="0" w:lastColumn="0" w:oddVBand="0" w:evenVBand="0" w:oddHBand="1" w:evenHBand="0" w:firstRowFirstColumn="0" w:firstRowLastColumn="0" w:lastRowFirstColumn="0" w:lastRowLastColumn="0"/>
          <w:trHeight w:val="570"/>
          <w:jc w:val="center"/>
        </w:trPr>
        <w:tc>
          <w:tcPr>
            <w:cnfStyle w:val="001000000000" w:firstRow="0" w:lastRow="0" w:firstColumn="1" w:lastColumn="0" w:oddVBand="0" w:evenVBand="0" w:oddHBand="0" w:evenHBand="0" w:firstRowFirstColumn="0" w:firstRowLastColumn="0" w:lastRowFirstColumn="0" w:lastRowLastColumn="0"/>
            <w:tcW w:w="1278" w:type="dxa"/>
          </w:tcPr>
          <w:p w14:paraId="6138FE2A"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Brasilia</w:t>
            </w:r>
          </w:p>
        </w:tc>
        <w:tc>
          <w:tcPr>
            <w:tcW w:w="1691" w:type="dxa"/>
            <w:gridSpan w:val="2"/>
          </w:tcPr>
          <w:p w14:paraId="627B6E9E"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87" w:type="dxa"/>
          </w:tcPr>
          <w:p w14:paraId="344F89AD"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284" w:type="dxa"/>
          </w:tcPr>
          <w:p w14:paraId="6A61895D"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780" w:type="dxa"/>
          </w:tcPr>
          <w:p w14:paraId="3ADF949E"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TD26R/P3/418 'Programme Officer'</w:t>
            </w:r>
            <w:r w:rsidRPr="00986D12">
              <w:rPr>
                <w:rFonts w:asciiTheme="minorHAnsi" w:hAnsiTheme="minorHAnsi" w:cstheme="minorHAnsi"/>
                <w:sz w:val="16"/>
                <w:szCs w:val="16"/>
              </w:rPr>
              <w:br/>
              <w:t>from 1 Nov. 24 to 31 Dec. 24</w:t>
            </w:r>
          </w:p>
        </w:tc>
        <w:tc>
          <w:tcPr>
            <w:tcW w:w="1696" w:type="dxa"/>
          </w:tcPr>
          <w:p w14:paraId="2E555774"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 xml:space="preserve">TD26R/P3/418 'Programme Officer' </w:t>
            </w:r>
            <w:r w:rsidRPr="00986D12">
              <w:rPr>
                <w:rFonts w:asciiTheme="minorHAnsi" w:hAnsiTheme="minorHAnsi" w:cstheme="minorHAnsi"/>
                <w:sz w:val="16"/>
                <w:szCs w:val="16"/>
              </w:rPr>
              <w:br/>
              <w:t>from 1 Jan. 25 to 14 Feb. 25 / 1 Nov. 25 to 31 Dec. 25</w:t>
            </w:r>
          </w:p>
        </w:tc>
      </w:tr>
      <w:tr w:rsidR="00617FC9" w:rsidRPr="00986D12" w14:paraId="1785DED6" w14:textId="77777777" w:rsidTr="00696175">
        <w:trPr>
          <w:trHeight w:val="570"/>
          <w:jc w:val="center"/>
        </w:trPr>
        <w:tc>
          <w:tcPr>
            <w:cnfStyle w:val="001000000000" w:firstRow="0" w:lastRow="0" w:firstColumn="1" w:lastColumn="0" w:oddVBand="0" w:evenVBand="0" w:oddHBand="0" w:evenHBand="0" w:firstRowFirstColumn="0" w:firstRowLastColumn="0" w:lastRowFirstColumn="0" w:lastRowLastColumn="0"/>
            <w:tcW w:w="1278" w:type="dxa"/>
          </w:tcPr>
          <w:p w14:paraId="39B114F2"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Brasilia</w:t>
            </w:r>
          </w:p>
        </w:tc>
        <w:tc>
          <w:tcPr>
            <w:tcW w:w="1691" w:type="dxa"/>
            <w:gridSpan w:val="2"/>
          </w:tcPr>
          <w:p w14:paraId="597D6CD7"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 xml:space="preserve">TD26R/G5/456 'Secretary' </w:t>
            </w:r>
            <w:r w:rsidRPr="00986D12">
              <w:rPr>
                <w:rFonts w:asciiTheme="minorHAnsi" w:hAnsiTheme="minorHAnsi" w:cstheme="minorHAnsi"/>
                <w:sz w:val="16"/>
                <w:szCs w:val="16"/>
              </w:rPr>
              <w:br/>
              <w:t>from 1 Oct. 22 to 31 Dec. 22</w:t>
            </w:r>
          </w:p>
        </w:tc>
        <w:tc>
          <w:tcPr>
            <w:tcW w:w="287" w:type="dxa"/>
          </w:tcPr>
          <w:p w14:paraId="3BC567A5" w14:textId="77777777" w:rsidR="00617FC9" w:rsidRPr="00986D12" w:rsidDel="00CA787C"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284" w:type="dxa"/>
          </w:tcPr>
          <w:p w14:paraId="1F26023B"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sidDel="00CA787C">
              <w:rPr>
                <w:rFonts w:asciiTheme="minorHAnsi" w:hAnsiTheme="minorHAnsi" w:cstheme="minorHAnsi"/>
                <w:sz w:val="16"/>
                <w:szCs w:val="16"/>
              </w:rPr>
              <w:t>TD26R/G5/456 'Secretary'</w:t>
            </w:r>
            <w:r w:rsidRPr="00986D12" w:rsidDel="00CA787C">
              <w:rPr>
                <w:rFonts w:asciiTheme="minorHAnsi" w:hAnsiTheme="minorHAnsi" w:cstheme="minorHAnsi"/>
                <w:sz w:val="16"/>
                <w:szCs w:val="16"/>
              </w:rPr>
              <w:br/>
              <w:t>from 1 Jan. 23 to 28 Feb. 23</w:t>
            </w:r>
          </w:p>
        </w:tc>
        <w:tc>
          <w:tcPr>
            <w:tcW w:w="1780" w:type="dxa"/>
          </w:tcPr>
          <w:p w14:paraId="10304A62"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696" w:type="dxa"/>
          </w:tcPr>
          <w:p w14:paraId="27A246E1"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617FC9" w:rsidRPr="00986D12" w14:paraId="7F6DBB54" w14:textId="77777777" w:rsidTr="00696175">
        <w:trPr>
          <w:cnfStyle w:val="000000100000" w:firstRow="0" w:lastRow="0" w:firstColumn="0" w:lastColumn="0" w:oddVBand="0" w:evenVBand="0" w:oddHBand="1" w:evenHBand="0" w:firstRowFirstColumn="0" w:firstRowLastColumn="0" w:lastRowFirstColumn="0" w:lastRowLastColumn="0"/>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05C27AF5"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lastRenderedPageBreak/>
              <w:t>Brasilia</w:t>
            </w:r>
          </w:p>
        </w:tc>
        <w:tc>
          <w:tcPr>
            <w:tcW w:w="1691" w:type="dxa"/>
            <w:gridSpan w:val="2"/>
          </w:tcPr>
          <w:p w14:paraId="10F3B9DC"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87" w:type="dxa"/>
          </w:tcPr>
          <w:p w14:paraId="712DF0E1"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284" w:type="dxa"/>
          </w:tcPr>
          <w:p w14:paraId="0A7EDE47"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780" w:type="dxa"/>
          </w:tcPr>
          <w:p w14:paraId="40220B0E"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TD26R/G6/791 'Administrative Assistant'</w:t>
            </w:r>
            <w:r w:rsidRPr="00986D12">
              <w:rPr>
                <w:rFonts w:asciiTheme="minorHAnsi" w:hAnsiTheme="minorHAnsi" w:cstheme="minorHAnsi"/>
                <w:sz w:val="16"/>
                <w:szCs w:val="16"/>
              </w:rPr>
              <w:br/>
              <w:t>from 1 Apr. 24 to 31 Dec. 24</w:t>
            </w:r>
          </w:p>
        </w:tc>
        <w:tc>
          <w:tcPr>
            <w:tcW w:w="1696" w:type="dxa"/>
          </w:tcPr>
          <w:p w14:paraId="750EF9F0"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TD26R/G6/791 'Administrative Assistant'</w:t>
            </w:r>
          </w:p>
          <w:p w14:paraId="5A9774EE"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(date not provided)</w:t>
            </w:r>
          </w:p>
        </w:tc>
      </w:tr>
      <w:tr w:rsidR="00617FC9" w:rsidRPr="00986D12" w14:paraId="19F39580" w14:textId="77777777" w:rsidTr="00696175">
        <w:trPr>
          <w:trHeight w:val="570"/>
          <w:jc w:val="center"/>
        </w:trPr>
        <w:tc>
          <w:tcPr>
            <w:cnfStyle w:val="001000000000" w:firstRow="0" w:lastRow="0" w:firstColumn="1" w:lastColumn="0" w:oddVBand="0" w:evenVBand="0" w:oddHBand="0" w:evenHBand="0" w:firstRowFirstColumn="0" w:firstRowLastColumn="0" w:lastRowFirstColumn="0" w:lastRowLastColumn="0"/>
            <w:tcW w:w="1278" w:type="dxa"/>
          </w:tcPr>
          <w:p w14:paraId="2FB882CC"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Santiago de Chile</w:t>
            </w:r>
          </w:p>
        </w:tc>
        <w:tc>
          <w:tcPr>
            <w:tcW w:w="1691" w:type="dxa"/>
            <w:gridSpan w:val="2"/>
          </w:tcPr>
          <w:p w14:paraId="547E9A8F"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TD26R/P2/374 'Programme Administrator'</w:t>
            </w:r>
          </w:p>
          <w:p w14:paraId="17FC409C"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(date not provided)</w:t>
            </w:r>
          </w:p>
        </w:tc>
        <w:tc>
          <w:tcPr>
            <w:tcW w:w="287" w:type="dxa"/>
          </w:tcPr>
          <w:p w14:paraId="43476049"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284" w:type="dxa"/>
          </w:tcPr>
          <w:p w14:paraId="2445B287"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780" w:type="dxa"/>
          </w:tcPr>
          <w:p w14:paraId="20DEAF00"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696" w:type="dxa"/>
          </w:tcPr>
          <w:p w14:paraId="19EC5131"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617FC9" w:rsidRPr="00986D12" w14:paraId="7968643D" w14:textId="77777777" w:rsidTr="00696175">
        <w:trPr>
          <w:cnfStyle w:val="000000100000" w:firstRow="0" w:lastRow="0" w:firstColumn="0" w:lastColumn="0" w:oddVBand="0" w:evenVBand="0" w:oddHBand="1" w:evenHBand="0" w:firstRowFirstColumn="0" w:firstRowLastColumn="0" w:lastRowFirstColumn="0" w:lastRowLastColumn="0"/>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30BB1B07"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Tegucigalpa</w:t>
            </w:r>
          </w:p>
        </w:tc>
        <w:tc>
          <w:tcPr>
            <w:tcW w:w="1691" w:type="dxa"/>
            <w:gridSpan w:val="2"/>
          </w:tcPr>
          <w:p w14:paraId="1508B8FB"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87" w:type="dxa"/>
          </w:tcPr>
          <w:p w14:paraId="0AAD3C12"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284" w:type="dxa"/>
          </w:tcPr>
          <w:p w14:paraId="32E62B92"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780" w:type="dxa"/>
          </w:tcPr>
          <w:p w14:paraId="4322603F"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696" w:type="dxa"/>
          </w:tcPr>
          <w:p w14:paraId="18D3336C"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 xml:space="preserve">TD26R/P3/663 'Programme Officer' </w:t>
            </w:r>
            <w:r w:rsidRPr="00986D12">
              <w:rPr>
                <w:rFonts w:asciiTheme="minorHAnsi" w:hAnsiTheme="minorHAnsi" w:cstheme="minorHAnsi"/>
                <w:sz w:val="16"/>
                <w:szCs w:val="16"/>
              </w:rPr>
              <w:br/>
              <w:t>from 15 Feb. 25 to 31 Oct. 25</w:t>
            </w:r>
          </w:p>
        </w:tc>
      </w:tr>
      <w:tr w:rsidR="00617FC9" w:rsidRPr="00986D12" w14:paraId="6C1EDF0F" w14:textId="77777777" w:rsidTr="00696175">
        <w:trPr>
          <w:trHeight w:val="285"/>
          <w:jc w:val="center"/>
        </w:trPr>
        <w:tc>
          <w:tcPr>
            <w:cnfStyle w:val="001000000000" w:firstRow="0" w:lastRow="0" w:firstColumn="1" w:lastColumn="0" w:oddVBand="0" w:evenVBand="0" w:oddHBand="0" w:evenHBand="0" w:firstRowFirstColumn="0" w:firstRowLastColumn="0" w:lastRowFirstColumn="0" w:lastRowLastColumn="0"/>
            <w:tcW w:w="1278" w:type="dxa"/>
          </w:tcPr>
          <w:p w14:paraId="34DA663B"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Bridgetown</w:t>
            </w:r>
          </w:p>
        </w:tc>
        <w:tc>
          <w:tcPr>
            <w:tcW w:w="1691" w:type="dxa"/>
            <w:gridSpan w:val="2"/>
          </w:tcPr>
          <w:p w14:paraId="3990B8D4"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87" w:type="dxa"/>
          </w:tcPr>
          <w:p w14:paraId="000F7D3A"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284" w:type="dxa"/>
          </w:tcPr>
          <w:p w14:paraId="6D43D63C"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780" w:type="dxa"/>
          </w:tcPr>
          <w:p w14:paraId="5E7EB687"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696" w:type="dxa"/>
          </w:tcPr>
          <w:p w14:paraId="3E2D54E6"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617FC9" w:rsidRPr="00986D12" w14:paraId="375E2089" w14:textId="77777777" w:rsidTr="0069617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60" w:type="dxa"/>
            <w:gridSpan w:val="2"/>
            <w:shd w:val="clear" w:color="auto" w:fill="C1E4F5"/>
          </w:tcPr>
          <w:p w14:paraId="776024AD"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ASIA-PACIFIC</w:t>
            </w:r>
          </w:p>
        </w:tc>
        <w:tc>
          <w:tcPr>
            <w:tcW w:w="3780" w:type="dxa"/>
            <w:gridSpan w:val="3"/>
            <w:shd w:val="clear" w:color="auto" w:fill="C1E4F5"/>
          </w:tcPr>
          <w:p w14:paraId="3E6C0625"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780" w:type="dxa"/>
            <w:shd w:val="clear" w:color="auto" w:fill="C1E4F5"/>
          </w:tcPr>
          <w:p w14:paraId="513498AD"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696" w:type="dxa"/>
            <w:shd w:val="clear" w:color="auto" w:fill="C1E4F5"/>
          </w:tcPr>
          <w:p w14:paraId="69D1F984"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617FC9" w:rsidRPr="00986D12" w14:paraId="043213D0" w14:textId="77777777" w:rsidTr="00696175">
        <w:trPr>
          <w:trHeight w:val="570"/>
          <w:jc w:val="center"/>
        </w:trPr>
        <w:tc>
          <w:tcPr>
            <w:cnfStyle w:val="001000000000" w:firstRow="0" w:lastRow="0" w:firstColumn="1" w:lastColumn="0" w:oddVBand="0" w:evenVBand="0" w:oddHBand="0" w:evenHBand="0" w:firstRowFirstColumn="0" w:firstRowLastColumn="0" w:lastRowFirstColumn="0" w:lastRowLastColumn="0"/>
            <w:tcW w:w="1278" w:type="dxa"/>
          </w:tcPr>
          <w:p w14:paraId="3112EA9B"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Bangkok</w:t>
            </w:r>
          </w:p>
        </w:tc>
        <w:tc>
          <w:tcPr>
            <w:tcW w:w="1691" w:type="dxa"/>
            <w:gridSpan w:val="2"/>
          </w:tcPr>
          <w:p w14:paraId="3DBF170C"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TD27R/G3/521 'Driver'</w:t>
            </w:r>
            <w:r w:rsidRPr="00986D12">
              <w:rPr>
                <w:rFonts w:asciiTheme="minorHAnsi" w:hAnsiTheme="minorHAnsi" w:cstheme="minorHAnsi"/>
                <w:sz w:val="16"/>
                <w:szCs w:val="16"/>
              </w:rPr>
              <w:br/>
              <w:t>from 1 Oct. 22 to 31 Dec. 22</w:t>
            </w:r>
          </w:p>
        </w:tc>
        <w:tc>
          <w:tcPr>
            <w:tcW w:w="287" w:type="dxa"/>
          </w:tcPr>
          <w:p w14:paraId="66E3FFEC"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284" w:type="dxa"/>
          </w:tcPr>
          <w:p w14:paraId="53DDF566"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TD27R/G3/521 'Driver'</w:t>
            </w:r>
          </w:p>
          <w:p w14:paraId="051C1CC8"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(date not provided)</w:t>
            </w:r>
          </w:p>
        </w:tc>
        <w:tc>
          <w:tcPr>
            <w:tcW w:w="1780" w:type="dxa"/>
          </w:tcPr>
          <w:p w14:paraId="2288C627"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TD27R/G3/521 'Driver'</w:t>
            </w:r>
            <w:r w:rsidRPr="00986D12">
              <w:rPr>
                <w:rFonts w:asciiTheme="minorHAnsi" w:hAnsiTheme="minorHAnsi" w:cstheme="minorHAnsi"/>
                <w:sz w:val="16"/>
                <w:szCs w:val="16"/>
              </w:rPr>
              <w:br/>
              <w:t>from 1 Jan. 24 to 30 Jun. 24</w:t>
            </w:r>
          </w:p>
        </w:tc>
        <w:tc>
          <w:tcPr>
            <w:tcW w:w="1696" w:type="dxa"/>
          </w:tcPr>
          <w:p w14:paraId="7426810F"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TD27R/P5/387 'Senior Advisor'</w:t>
            </w:r>
            <w:r w:rsidRPr="00986D12">
              <w:rPr>
                <w:rFonts w:asciiTheme="minorHAnsi" w:hAnsiTheme="minorHAnsi" w:cstheme="minorHAnsi"/>
                <w:sz w:val="16"/>
                <w:szCs w:val="16"/>
              </w:rPr>
              <w:br/>
              <w:t>from 19 Sep. 25 to 31 Dec. 25</w:t>
            </w:r>
          </w:p>
        </w:tc>
      </w:tr>
      <w:tr w:rsidR="00617FC9" w:rsidRPr="00986D12" w14:paraId="22F599CE" w14:textId="77777777" w:rsidTr="00696175">
        <w:trPr>
          <w:cnfStyle w:val="000000100000" w:firstRow="0" w:lastRow="0" w:firstColumn="0" w:lastColumn="0" w:oddVBand="0" w:evenVBand="0" w:oddHBand="1" w:evenHBand="0" w:firstRowFirstColumn="0" w:firstRowLastColumn="0" w:lastRowFirstColumn="0" w:lastRowLastColumn="0"/>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102ED3AE"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Bangkok</w:t>
            </w:r>
          </w:p>
        </w:tc>
        <w:tc>
          <w:tcPr>
            <w:tcW w:w="1691" w:type="dxa"/>
            <w:gridSpan w:val="2"/>
          </w:tcPr>
          <w:p w14:paraId="6F7B67C4"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TD27R/G6/928 'Financial and Administrative Assistant'</w:t>
            </w:r>
          </w:p>
          <w:p w14:paraId="6C48B4D3"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from 1 Jan. 22 to 28 Feb. 22</w:t>
            </w:r>
          </w:p>
        </w:tc>
        <w:tc>
          <w:tcPr>
            <w:tcW w:w="287" w:type="dxa"/>
          </w:tcPr>
          <w:p w14:paraId="3C4DEEC6"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284" w:type="dxa"/>
          </w:tcPr>
          <w:p w14:paraId="14CDFFF8"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780" w:type="dxa"/>
          </w:tcPr>
          <w:p w14:paraId="3DE17EFF"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696" w:type="dxa"/>
          </w:tcPr>
          <w:p w14:paraId="0ED1D56E"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TD27R/P3/900 'Programme Officer'</w:t>
            </w:r>
            <w:r w:rsidRPr="00986D12">
              <w:rPr>
                <w:rFonts w:asciiTheme="minorHAnsi" w:hAnsiTheme="minorHAnsi" w:cstheme="minorHAnsi"/>
                <w:sz w:val="16"/>
                <w:szCs w:val="16"/>
              </w:rPr>
              <w:br/>
              <w:t>from 1 Oct. 25 to 31 Dec. 25</w:t>
            </w:r>
          </w:p>
        </w:tc>
      </w:tr>
      <w:tr w:rsidR="00617FC9" w:rsidRPr="00986D12" w14:paraId="36EBB9A2" w14:textId="77777777" w:rsidTr="00696175">
        <w:trPr>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431A3A32"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Bangkok</w:t>
            </w:r>
          </w:p>
        </w:tc>
        <w:tc>
          <w:tcPr>
            <w:tcW w:w="1691" w:type="dxa"/>
            <w:gridSpan w:val="2"/>
          </w:tcPr>
          <w:p w14:paraId="60375925"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87" w:type="dxa"/>
          </w:tcPr>
          <w:p w14:paraId="4663B722"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284" w:type="dxa"/>
          </w:tcPr>
          <w:p w14:paraId="7A757342"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780" w:type="dxa"/>
          </w:tcPr>
          <w:p w14:paraId="06D39800"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TD27R/P2/749 'Programme Officer'</w:t>
            </w:r>
          </w:p>
          <w:p w14:paraId="7E7AF690"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(date not provided)</w:t>
            </w:r>
          </w:p>
        </w:tc>
        <w:tc>
          <w:tcPr>
            <w:tcW w:w="1696" w:type="dxa"/>
          </w:tcPr>
          <w:p w14:paraId="4E51E5DA"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TD27R/P2/749 'Programme Officer'</w:t>
            </w:r>
            <w:r w:rsidRPr="00986D12">
              <w:rPr>
                <w:rFonts w:asciiTheme="minorHAnsi" w:hAnsiTheme="minorHAnsi" w:cstheme="minorHAnsi"/>
                <w:sz w:val="16"/>
                <w:szCs w:val="16"/>
              </w:rPr>
              <w:br/>
              <w:t>from 1 Jan. 25 to 13 Jul. 25</w:t>
            </w:r>
          </w:p>
        </w:tc>
      </w:tr>
      <w:tr w:rsidR="00617FC9" w:rsidRPr="00986D12" w14:paraId="20E34F75" w14:textId="77777777" w:rsidTr="00696175">
        <w:trPr>
          <w:cnfStyle w:val="000000100000" w:firstRow="0" w:lastRow="0" w:firstColumn="0" w:lastColumn="0" w:oddVBand="0" w:evenVBand="0" w:oddHBand="1" w:evenHBand="0" w:firstRowFirstColumn="0" w:firstRowLastColumn="0" w:lastRowFirstColumn="0" w:lastRowLastColumn="0"/>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0C3D42BD"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Jakarta</w:t>
            </w:r>
          </w:p>
        </w:tc>
        <w:tc>
          <w:tcPr>
            <w:tcW w:w="1691" w:type="dxa"/>
            <w:gridSpan w:val="2"/>
          </w:tcPr>
          <w:p w14:paraId="2535F9B2"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TD27R/P5/651 'ITU Area Representative'</w:t>
            </w:r>
            <w:r w:rsidRPr="00986D12">
              <w:rPr>
                <w:rFonts w:asciiTheme="minorHAnsi" w:hAnsiTheme="minorHAnsi" w:cstheme="minorHAnsi"/>
                <w:sz w:val="16"/>
                <w:szCs w:val="16"/>
              </w:rPr>
              <w:br/>
              <w:t>from 24 May 22 to 31 Dec. 22</w:t>
            </w:r>
          </w:p>
        </w:tc>
        <w:tc>
          <w:tcPr>
            <w:tcW w:w="287" w:type="dxa"/>
          </w:tcPr>
          <w:p w14:paraId="22B8DB83"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284" w:type="dxa"/>
          </w:tcPr>
          <w:p w14:paraId="28C9ECC2"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TD27R/P5/651 'ITU Area Representative'</w:t>
            </w:r>
            <w:r w:rsidRPr="00986D12">
              <w:rPr>
                <w:rFonts w:asciiTheme="minorHAnsi" w:hAnsiTheme="minorHAnsi" w:cstheme="minorHAnsi"/>
                <w:sz w:val="16"/>
                <w:szCs w:val="16"/>
              </w:rPr>
              <w:br/>
              <w:t>from 1 Jan. 23 to 31 May 23</w:t>
            </w:r>
          </w:p>
        </w:tc>
        <w:tc>
          <w:tcPr>
            <w:tcW w:w="1780" w:type="dxa"/>
          </w:tcPr>
          <w:p w14:paraId="658CA2D8"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696" w:type="dxa"/>
          </w:tcPr>
          <w:p w14:paraId="5F502689"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617FC9" w:rsidRPr="00986D12" w14:paraId="0F4A4D86" w14:textId="77777777" w:rsidTr="00696175">
        <w:trPr>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4B6BEE61"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Jakarta</w:t>
            </w:r>
          </w:p>
        </w:tc>
        <w:tc>
          <w:tcPr>
            <w:tcW w:w="1691" w:type="dxa"/>
            <w:gridSpan w:val="2"/>
          </w:tcPr>
          <w:p w14:paraId="06A4E5E5"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TD27R/G5/393 'Administrative Assistant'</w:t>
            </w:r>
            <w:r w:rsidRPr="00986D12">
              <w:rPr>
                <w:rFonts w:asciiTheme="minorHAnsi" w:hAnsiTheme="minorHAnsi" w:cstheme="minorHAnsi"/>
                <w:sz w:val="16"/>
                <w:szCs w:val="16"/>
              </w:rPr>
              <w:br/>
              <w:t>from 14 Apr. 22 to 31 Dec. 22</w:t>
            </w:r>
          </w:p>
        </w:tc>
        <w:tc>
          <w:tcPr>
            <w:tcW w:w="287" w:type="dxa"/>
          </w:tcPr>
          <w:p w14:paraId="7F142FD2"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284" w:type="dxa"/>
          </w:tcPr>
          <w:p w14:paraId="447B7CE1"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TD27R/G5/393 'Administrative Assistant'</w:t>
            </w:r>
            <w:r w:rsidRPr="00986D12">
              <w:rPr>
                <w:rFonts w:asciiTheme="minorHAnsi" w:hAnsiTheme="minorHAnsi" w:cstheme="minorHAnsi"/>
                <w:sz w:val="16"/>
                <w:szCs w:val="16"/>
              </w:rPr>
              <w:br/>
              <w:t>from 1 Jan. 23 to 15 Mar. 23</w:t>
            </w:r>
          </w:p>
        </w:tc>
        <w:tc>
          <w:tcPr>
            <w:tcW w:w="1780" w:type="dxa"/>
          </w:tcPr>
          <w:p w14:paraId="5072ABAA"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696" w:type="dxa"/>
          </w:tcPr>
          <w:p w14:paraId="5A30701F"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617FC9" w:rsidRPr="00986D12" w14:paraId="416B4F65" w14:textId="77777777" w:rsidTr="00696175">
        <w:trPr>
          <w:cnfStyle w:val="000000100000" w:firstRow="0" w:lastRow="0" w:firstColumn="0" w:lastColumn="0" w:oddVBand="0" w:evenVBand="0" w:oddHBand="1" w:evenHBand="0" w:firstRowFirstColumn="0" w:firstRowLastColumn="0" w:lastRowFirstColumn="0" w:lastRowLastColumn="0"/>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308CD59D"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New Delhi</w:t>
            </w:r>
          </w:p>
        </w:tc>
        <w:tc>
          <w:tcPr>
            <w:tcW w:w="1691" w:type="dxa"/>
            <w:gridSpan w:val="2"/>
          </w:tcPr>
          <w:p w14:paraId="25EBA9E6"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TD27R/P5/778 'Head, ITU Area Office'</w:t>
            </w:r>
            <w:r w:rsidRPr="00986D12">
              <w:rPr>
                <w:rFonts w:asciiTheme="minorHAnsi" w:hAnsiTheme="minorHAnsi" w:cstheme="minorHAnsi"/>
                <w:sz w:val="16"/>
                <w:szCs w:val="16"/>
              </w:rPr>
              <w:br/>
              <w:t>from 1 Jul. 22 to 31 Dec. 22</w:t>
            </w:r>
          </w:p>
        </w:tc>
        <w:tc>
          <w:tcPr>
            <w:tcW w:w="287" w:type="dxa"/>
          </w:tcPr>
          <w:p w14:paraId="5CE1A96E"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284" w:type="dxa"/>
          </w:tcPr>
          <w:p w14:paraId="582DC8BC"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TD27R/P5/778 'Head, ITU Area Office'</w:t>
            </w:r>
          </w:p>
        </w:tc>
        <w:tc>
          <w:tcPr>
            <w:tcW w:w="1780" w:type="dxa"/>
          </w:tcPr>
          <w:p w14:paraId="6F7AC416"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TD27R/P5/778 'Head, ITU Area Office'</w:t>
            </w:r>
            <w:r w:rsidRPr="00986D12">
              <w:rPr>
                <w:rFonts w:asciiTheme="minorHAnsi" w:hAnsiTheme="minorHAnsi" w:cstheme="minorHAnsi"/>
                <w:sz w:val="16"/>
                <w:szCs w:val="16"/>
              </w:rPr>
              <w:br/>
              <w:t>from 1 Jan. 24 to 31 Jul. 24</w:t>
            </w:r>
          </w:p>
        </w:tc>
        <w:tc>
          <w:tcPr>
            <w:tcW w:w="1696" w:type="dxa"/>
          </w:tcPr>
          <w:p w14:paraId="53C1807E"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617FC9" w:rsidRPr="00986D12" w14:paraId="2AD197BA" w14:textId="77777777" w:rsidTr="00696175">
        <w:trPr>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4CD1A591"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New Delhi</w:t>
            </w:r>
          </w:p>
        </w:tc>
        <w:tc>
          <w:tcPr>
            <w:tcW w:w="1691" w:type="dxa"/>
            <w:gridSpan w:val="2"/>
          </w:tcPr>
          <w:p w14:paraId="21C97748"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TD27R/P3/781 'Programme Officer'</w:t>
            </w:r>
            <w:r w:rsidRPr="00986D12">
              <w:rPr>
                <w:rFonts w:asciiTheme="minorHAnsi" w:hAnsiTheme="minorHAnsi" w:cstheme="minorHAnsi"/>
                <w:sz w:val="16"/>
                <w:szCs w:val="16"/>
              </w:rPr>
              <w:br/>
              <w:t>from 1 Jul. 22 to 31 Dec. 22</w:t>
            </w:r>
          </w:p>
        </w:tc>
        <w:tc>
          <w:tcPr>
            <w:tcW w:w="287" w:type="dxa"/>
          </w:tcPr>
          <w:p w14:paraId="48F1C332"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284" w:type="dxa"/>
          </w:tcPr>
          <w:p w14:paraId="7DDA3E49"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TD27R/P3/781 'Programme Officer'</w:t>
            </w:r>
            <w:r w:rsidRPr="00986D12">
              <w:rPr>
                <w:rFonts w:asciiTheme="minorHAnsi" w:hAnsiTheme="minorHAnsi" w:cstheme="minorHAnsi"/>
                <w:sz w:val="16"/>
                <w:szCs w:val="16"/>
              </w:rPr>
              <w:br/>
              <w:t>from 1 Jan. 23 to 24 Sep. 23</w:t>
            </w:r>
          </w:p>
        </w:tc>
        <w:tc>
          <w:tcPr>
            <w:tcW w:w="1780" w:type="dxa"/>
          </w:tcPr>
          <w:p w14:paraId="389470A7"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696" w:type="dxa"/>
          </w:tcPr>
          <w:p w14:paraId="31B29381"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617FC9" w:rsidRPr="00986D12" w14:paraId="22FB3E1A" w14:textId="77777777" w:rsidTr="00696175">
        <w:trPr>
          <w:cnfStyle w:val="000000100000" w:firstRow="0" w:lastRow="0" w:firstColumn="0" w:lastColumn="0" w:oddVBand="0" w:evenVBand="0" w:oddHBand="1" w:evenHBand="0" w:firstRowFirstColumn="0" w:firstRowLastColumn="0" w:lastRowFirstColumn="0" w:lastRowLastColumn="0"/>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45B68892"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New Delhi</w:t>
            </w:r>
          </w:p>
        </w:tc>
        <w:tc>
          <w:tcPr>
            <w:tcW w:w="1691" w:type="dxa"/>
            <w:gridSpan w:val="2"/>
          </w:tcPr>
          <w:p w14:paraId="06A22641"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TD27R/G5/783 'Administrative Assistant'</w:t>
            </w:r>
            <w:r w:rsidRPr="00986D12">
              <w:rPr>
                <w:rFonts w:asciiTheme="minorHAnsi" w:hAnsiTheme="minorHAnsi" w:cstheme="minorHAnsi"/>
                <w:sz w:val="16"/>
                <w:szCs w:val="16"/>
              </w:rPr>
              <w:br/>
              <w:t>from 1 Jul. 22 to 31 Dec. 22</w:t>
            </w:r>
          </w:p>
        </w:tc>
        <w:tc>
          <w:tcPr>
            <w:tcW w:w="287" w:type="dxa"/>
          </w:tcPr>
          <w:p w14:paraId="15A23D98"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284" w:type="dxa"/>
          </w:tcPr>
          <w:p w14:paraId="0C21A99E"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TD27R/G5/783 'Administrative Assistant'</w:t>
            </w:r>
            <w:r w:rsidRPr="00986D12">
              <w:rPr>
                <w:rFonts w:asciiTheme="minorHAnsi" w:hAnsiTheme="minorHAnsi" w:cstheme="minorHAnsi"/>
                <w:sz w:val="16"/>
                <w:szCs w:val="16"/>
              </w:rPr>
              <w:br/>
              <w:t>from 1 Jan. 23 to 9 May 23</w:t>
            </w:r>
          </w:p>
        </w:tc>
        <w:tc>
          <w:tcPr>
            <w:tcW w:w="1780" w:type="dxa"/>
          </w:tcPr>
          <w:p w14:paraId="0274CB20"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696" w:type="dxa"/>
          </w:tcPr>
          <w:p w14:paraId="55A12AFE"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617FC9" w:rsidRPr="00986D12" w14:paraId="5FC017AE" w14:textId="77777777" w:rsidTr="00696175">
        <w:trPr>
          <w:trHeight w:val="285"/>
          <w:jc w:val="center"/>
        </w:trPr>
        <w:tc>
          <w:tcPr>
            <w:cnfStyle w:val="001000000000" w:firstRow="0" w:lastRow="0" w:firstColumn="1" w:lastColumn="0" w:oddVBand="0" w:evenVBand="0" w:oddHBand="0" w:evenHBand="0" w:firstRowFirstColumn="0" w:firstRowLastColumn="0" w:lastRowFirstColumn="0" w:lastRowLastColumn="0"/>
            <w:tcW w:w="1760" w:type="dxa"/>
            <w:gridSpan w:val="2"/>
            <w:shd w:val="clear" w:color="auto" w:fill="C1E4F5"/>
          </w:tcPr>
          <w:p w14:paraId="1B8A1E2D"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ARAB STATES</w:t>
            </w:r>
          </w:p>
        </w:tc>
        <w:tc>
          <w:tcPr>
            <w:tcW w:w="3780" w:type="dxa"/>
            <w:gridSpan w:val="3"/>
            <w:shd w:val="clear" w:color="auto" w:fill="C1E4F5"/>
          </w:tcPr>
          <w:p w14:paraId="1CB456B4"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780" w:type="dxa"/>
            <w:shd w:val="clear" w:color="auto" w:fill="C1E4F5"/>
          </w:tcPr>
          <w:p w14:paraId="4D6EED43"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696" w:type="dxa"/>
            <w:shd w:val="clear" w:color="auto" w:fill="C1E4F5"/>
          </w:tcPr>
          <w:p w14:paraId="3391142F"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r w:rsidR="00617FC9" w:rsidRPr="00986D12" w14:paraId="003E624B" w14:textId="77777777" w:rsidTr="00696175">
        <w:trPr>
          <w:cnfStyle w:val="000000100000" w:firstRow="0" w:lastRow="0" w:firstColumn="0" w:lastColumn="0" w:oddVBand="0" w:evenVBand="0" w:oddHBand="1" w:evenHBand="0" w:firstRowFirstColumn="0" w:firstRowLastColumn="0" w:lastRowFirstColumn="0" w:lastRowLastColumn="0"/>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6759486C"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Cairo</w:t>
            </w:r>
          </w:p>
        </w:tc>
        <w:tc>
          <w:tcPr>
            <w:tcW w:w="1691" w:type="dxa"/>
            <w:gridSpan w:val="2"/>
          </w:tcPr>
          <w:p w14:paraId="673C4BBF"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TD28R/G5/670 'Administrative Assistant'</w:t>
            </w:r>
            <w:r w:rsidRPr="00986D12">
              <w:rPr>
                <w:rFonts w:asciiTheme="minorHAnsi" w:hAnsiTheme="minorHAnsi" w:cstheme="minorHAnsi"/>
                <w:sz w:val="16"/>
                <w:szCs w:val="16"/>
              </w:rPr>
              <w:br/>
              <w:t>from 1 Aug. 22 to 31 Dec. 22</w:t>
            </w:r>
          </w:p>
        </w:tc>
        <w:tc>
          <w:tcPr>
            <w:tcW w:w="287" w:type="dxa"/>
          </w:tcPr>
          <w:p w14:paraId="0F32C98A"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284" w:type="dxa"/>
          </w:tcPr>
          <w:p w14:paraId="2A6A5CDF"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TD28R/G5/670 'Administrative Assistant'</w:t>
            </w:r>
            <w:r w:rsidRPr="00986D12">
              <w:rPr>
                <w:rFonts w:asciiTheme="minorHAnsi" w:hAnsiTheme="minorHAnsi" w:cstheme="minorHAnsi"/>
                <w:sz w:val="16"/>
                <w:szCs w:val="16"/>
              </w:rPr>
              <w:br/>
              <w:t xml:space="preserve">from 1 Jan. 23 to 28 Feb. 23 </w:t>
            </w:r>
          </w:p>
        </w:tc>
        <w:tc>
          <w:tcPr>
            <w:tcW w:w="1780" w:type="dxa"/>
          </w:tcPr>
          <w:p w14:paraId="4D799128"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696" w:type="dxa"/>
          </w:tcPr>
          <w:p w14:paraId="4BC28392"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TD28R/P5/425 'Senior Advisor'</w:t>
            </w:r>
            <w:r w:rsidRPr="00986D12">
              <w:rPr>
                <w:rFonts w:asciiTheme="minorHAnsi" w:hAnsiTheme="minorHAnsi" w:cstheme="minorHAnsi"/>
                <w:sz w:val="16"/>
                <w:szCs w:val="16"/>
              </w:rPr>
              <w:br/>
              <w:t>from 1 Nov. 25 to 31 Dec. 25</w:t>
            </w:r>
          </w:p>
        </w:tc>
      </w:tr>
      <w:tr w:rsidR="00617FC9" w:rsidRPr="00986D12" w14:paraId="04B5DEC5" w14:textId="77777777" w:rsidTr="00696175">
        <w:trPr>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744D7A16"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lastRenderedPageBreak/>
              <w:t>Cairo</w:t>
            </w:r>
          </w:p>
        </w:tc>
        <w:tc>
          <w:tcPr>
            <w:tcW w:w="1691" w:type="dxa"/>
            <w:gridSpan w:val="2"/>
          </w:tcPr>
          <w:p w14:paraId="5B518997"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87" w:type="dxa"/>
          </w:tcPr>
          <w:p w14:paraId="621847C9"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284" w:type="dxa"/>
          </w:tcPr>
          <w:p w14:paraId="5886D35E"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TD28R/P2/685 'Programme Administrator'</w:t>
            </w:r>
            <w:r w:rsidRPr="00986D12">
              <w:rPr>
                <w:rFonts w:asciiTheme="minorHAnsi" w:hAnsiTheme="minorHAnsi" w:cstheme="minorHAnsi"/>
                <w:sz w:val="16"/>
                <w:szCs w:val="16"/>
              </w:rPr>
              <w:br/>
              <w:t xml:space="preserve">from 1 Mar. 23 to 31 Dec. 23 </w:t>
            </w:r>
          </w:p>
        </w:tc>
        <w:tc>
          <w:tcPr>
            <w:tcW w:w="1780" w:type="dxa"/>
          </w:tcPr>
          <w:p w14:paraId="4767A5D3"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TD28R/P2/685 'Programme Administrator'</w:t>
            </w:r>
          </w:p>
          <w:p w14:paraId="6E515FF9"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(date not provided)</w:t>
            </w:r>
          </w:p>
        </w:tc>
        <w:tc>
          <w:tcPr>
            <w:tcW w:w="1696" w:type="dxa"/>
          </w:tcPr>
          <w:p w14:paraId="42DBC8DF"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TD28R/P2/685 'Programme Administrator'</w:t>
            </w:r>
            <w:r w:rsidRPr="00986D12">
              <w:rPr>
                <w:rFonts w:asciiTheme="minorHAnsi" w:hAnsiTheme="minorHAnsi" w:cstheme="minorHAnsi"/>
                <w:sz w:val="16"/>
                <w:szCs w:val="16"/>
              </w:rPr>
              <w:br/>
              <w:t>from 1 Jan. 25 to 31 Aug. 25</w:t>
            </w:r>
          </w:p>
        </w:tc>
      </w:tr>
      <w:tr w:rsidR="00617FC9" w:rsidRPr="00986D12" w14:paraId="7ECB3069" w14:textId="77777777" w:rsidTr="0069617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60" w:type="dxa"/>
            <w:gridSpan w:val="2"/>
            <w:shd w:val="clear" w:color="auto" w:fill="C1E4F5"/>
          </w:tcPr>
          <w:p w14:paraId="502FD12E"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CIS</w:t>
            </w:r>
          </w:p>
        </w:tc>
        <w:tc>
          <w:tcPr>
            <w:tcW w:w="3780" w:type="dxa"/>
            <w:gridSpan w:val="3"/>
            <w:shd w:val="clear" w:color="auto" w:fill="C1E4F5"/>
          </w:tcPr>
          <w:p w14:paraId="5578B298"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780" w:type="dxa"/>
            <w:shd w:val="clear" w:color="auto" w:fill="C1E4F5"/>
          </w:tcPr>
          <w:p w14:paraId="126845BE"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696" w:type="dxa"/>
            <w:shd w:val="clear" w:color="auto" w:fill="C1E4F5"/>
          </w:tcPr>
          <w:p w14:paraId="4548394E"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617FC9" w:rsidRPr="00986D12" w14:paraId="2AF5357D" w14:textId="77777777" w:rsidTr="00696175">
        <w:trPr>
          <w:trHeight w:val="855"/>
          <w:jc w:val="center"/>
        </w:trPr>
        <w:tc>
          <w:tcPr>
            <w:cnfStyle w:val="001000000000" w:firstRow="0" w:lastRow="0" w:firstColumn="1" w:lastColumn="0" w:oddVBand="0" w:evenVBand="0" w:oddHBand="0" w:evenHBand="0" w:firstRowFirstColumn="0" w:firstRowLastColumn="0" w:lastRowFirstColumn="0" w:lastRowLastColumn="0"/>
            <w:tcW w:w="1278" w:type="dxa"/>
          </w:tcPr>
          <w:p w14:paraId="540D2C7F"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Moscow</w:t>
            </w:r>
          </w:p>
        </w:tc>
        <w:tc>
          <w:tcPr>
            <w:tcW w:w="1691" w:type="dxa"/>
            <w:gridSpan w:val="2"/>
          </w:tcPr>
          <w:p w14:paraId="1870E3D3"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87" w:type="dxa"/>
          </w:tcPr>
          <w:p w14:paraId="3DE0C768"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284" w:type="dxa"/>
          </w:tcPr>
          <w:p w14:paraId="734EABA2"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TD29R/G6/290 'Administrative Assistant'</w:t>
            </w:r>
            <w:r w:rsidRPr="00986D12">
              <w:rPr>
                <w:rFonts w:asciiTheme="minorHAnsi" w:hAnsiTheme="minorHAnsi" w:cstheme="minorHAnsi"/>
                <w:sz w:val="16"/>
                <w:szCs w:val="16"/>
              </w:rPr>
              <w:br/>
              <w:t>from 31 Aug. 23 to 31 Dec. 23</w:t>
            </w:r>
          </w:p>
        </w:tc>
        <w:tc>
          <w:tcPr>
            <w:tcW w:w="1780" w:type="dxa"/>
          </w:tcPr>
          <w:p w14:paraId="2C1B514D"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TD29R/P2/379 'Associate Programme Officer'</w:t>
            </w:r>
          </w:p>
          <w:p w14:paraId="2F0ABCBB"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(date not provided)</w:t>
            </w:r>
          </w:p>
        </w:tc>
        <w:tc>
          <w:tcPr>
            <w:tcW w:w="1696" w:type="dxa"/>
          </w:tcPr>
          <w:p w14:paraId="49F72FE5"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986D12">
              <w:rPr>
                <w:rFonts w:asciiTheme="minorHAnsi" w:hAnsiTheme="minorHAnsi" w:cstheme="minorHAnsi"/>
                <w:sz w:val="16"/>
                <w:szCs w:val="16"/>
              </w:rPr>
              <w:t>TD29R/P2/379 'Associate Programme Officer'</w:t>
            </w:r>
            <w:r w:rsidRPr="00986D12">
              <w:rPr>
                <w:rFonts w:asciiTheme="minorHAnsi" w:hAnsiTheme="minorHAnsi" w:cstheme="minorHAnsi"/>
                <w:sz w:val="16"/>
                <w:szCs w:val="16"/>
              </w:rPr>
              <w:br/>
              <w:t>from 1 Jan. 25 to 31 Mar. 25</w:t>
            </w:r>
          </w:p>
        </w:tc>
      </w:tr>
      <w:tr w:rsidR="00617FC9" w:rsidRPr="00986D12" w14:paraId="73D61AF9" w14:textId="77777777" w:rsidTr="00696175">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1278" w:type="dxa"/>
            <w:shd w:val="clear" w:color="auto" w:fill="C1E4F5"/>
          </w:tcPr>
          <w:p w14:paraId="1C11D953"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 xml:space="preserve">Europe </w:t>
            </w:r>
          </w:p>
        </w:tc>
        <w:tc>
          <w:tcPr>
            <w:tcW w:w="1691" w:type="dxa"/>
            <w:gridSpan w:val="2"/>
            <w:shd w:val="clear" w:color="auto" w:fill="C1E4F5"/>
          </w:tcPr>
          <w:p w14:paraId="73CB019E"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87" w:type="dxa"/>
            <w:shd w:val="clear" w:color="auto" w:fill="C1E4F5"/>
          </w:tcPr>
          <w:p w14:paraId="4E09FAA4"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284" w:type="dxa"/>
            <w:shd w:val="clear" w:color="auto" w:fill="C1E4F5"/>
          </w:tcPr>
          <w:p w14:paraId="6FE14350"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780" w:type="dxa"/>
            <w:shd w:val="clear" w:color="auto" w:fill="C1E4F5"/>
          </w:tcPr>
          <w:p w14:paraId="2FE036D2"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696" w:type="dxa"/>
            <w:shd w:val="clear" w:color="auto" w:fill="C1E4F5"/>
          </w:tcPr>
          <w:p w14:paraId="47A3D95A" w14:textId="77777777" w:rsidR="00617FC9" w:rsidRPr="00986D12" w:rsidRDefault="00617FC9" w:rsidP="00696175">
            <w:pPr>
              <w:pStyle w:val="Texttabl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r w:rsidR="00617FC9" w:rsidRPr="00986D12" w14:paraId="29EFD8EA" w14:textId="77777777" w:rsidTr="00696175">
        <w:trPr>
          <w:trHeight w:val="267"/>
          <w:jc w:val="center"/>
        </w:trPr>
        <w:tc>
          <w:tcPr>
            <w:cnfStyle w:val="001000000000" w:firstRow="0" w:lastRow="0" w:firstColumn="1" w:lastColumn="0" w:oddVBand="0" w:evenVBand="0" w:oddHBand="0" w:evenHBand="0" w:firstRowFirstColumn="0" w:firstRowLastColumn="0" w:lastRowFirstColumn="0" w:lastRowLastColumn="0"/>
            <w:tcW w:w="1278" w:type="dxa"/>
          </w:tcPr>
          <w:p w14:paraId="77D5B505" w14:textId="77777777" w:rsidR="00617FC9" w:rsidRPr="00986D12" w:rsidRDefault="00617FC9" w:rsidP="00696175">
            <w:pPr>
              <w:pStyle w:val="Texttable"/>
              <w:rPr>
                <w:rFonts w:asciiTheme="minorHAnsi" w:hAnsiTheme="minorHAnsi" w:cstheme="minorHAnsi"/>
                <w:sz w:val="16"/>
                <w:szCs w:val="16"/>
              </w:rPr>
            </w:pPr>
            <w:r w:rsidRPr="00986D12">
              <w:rPr>
                <w:rFonts w:asciiTheme="minorHAnsi" w:hAnsiTheme="minorHAnsi" w:cstheme="minorHAnsi"/>
                <w:sz w:val="16"/>
                <w:szCs w:val="16"/>
              </w:rPr>
              <w:t xml:space="preserve">Geneva </w:t>
            </w:r>
          </w:p>
        </w:tc>
        <w:tc>
          <w:tcPr>
            <w:tcW w:w="1691" w:type="dxa"/>
            <w:gridSpan w:val="2"/>
          </w:tcPr>
          <w:p w14:paraId="5C8E76AD"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87" w:type="dxa"/>
          </w:tcPr>
          <w:p w14:paraId="606BC069"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2284" w:type="dxa"/>
          </w:tcPr>
          <w:p w14:paraId="20C155C3"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780" w:type="dxa"/>
          </w:tcPr>
          <w:p w14:paraId="3403D69C"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c>
          <w:tcPr>
            <w:tcW w:w="1696" w:type="dxa"/>
          </w:tcPr>
          <w:p w14:paraId="124CDE10" w14:textId="77777777" w:rsidR="00617FC9" w:rsidRPr="00986D12" w:rsidRDefault="00617FC9" w:rsidP="00696175">
            <w:pPr>
              <w:pStyle w:val="Texttabl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tc>
      </w:tr>
    </w:tbl>
    <w:p w14:paraId="71615F53" w14:textId="77777777" w:rsidR="00617FC9" w:rsidRPr="0046236F" w:rsidRDefault="00617FC9" w:rsidP="00617FC9">
      <w:pPr>
        <w:pStyle w:val="KPItitle"/>
        <w:jc w:val="both"/>
        <w:rPr>
          <w:rFonts w:asciiTheme="minorHAnsi" w:hAnsiTheme="minorHAnsi" w:cstheme="minorHAnsi"/>
          <w:sz w:val="24"/>
          <w:szCs w:val="24"/>
        </w:rPr>
      </w:pPr>
      <w:bookmarkStart w:id="130" w:name="_Toc224213059"/>
      <w:bookmarkStart w:id="131" w:name="_Toc224236490"/>
      <w:r w:rsidRPr="0046236F">
        <w:rPr>
          <w:rFonts w:asciiTheme="minorHAnsi" w:hAnsiTheme="minorHAnsi" w:cstheme="minorHAnsi"/>
          <w:sz w:val="24"/>
          <w:szCs w:val="24"/>
        </w:rPr>
        <w:t>KPI 15 — Specific activities (projects, regional initiatives, events/meetings/ conferences, regional preparatory meetings, sectoral activities, etc.), with additional criteria assessing the administrative, financial, technical and logistical support, as well as victuals and other special conditions provided for participants of the ITU events held by Regional and Area Offices in the regions</w:t>
      </w:r>
      <w:bookmarkEnd w:id="130"/>
      <w:bookmarkEnd w:id="131"/>
    </w:p>
    <w:p w14:paraId="3F92D695"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Document analysis shows that events held in the regions represent a substantial share of ITU’s overall event activity and that Regional and Area Offices support a wide range of event formats across the three Sectors. Based on the ITU events registration dashboard, 340 events were held physically in the regions during 2022–2025, representing </w:t>
      </w:r>
      <w:r w:rsidRPr="0046236F">
        <w:rPr>
          <w:rFonts w:asciiTheme="minorHAnsi" w:hAnsiTheme="minorHAnsi" w:cstheme="minorHAnsi"/>
          <w:szCs w:val="24"/>
          <w:lang w:eastAsia="ko-KR"/>
        </w:rPr>
        <w:t>36%</w:t>
      </w:r>
      <w:r w:rsidRPr="0046236F">
        <w:rPr>
          <w:rFonts w:asciiTheme="minorHAnsi" w:hAnsiTheme="minorHAnsi" w:cstheme="minorHAnsi"/>
          <w:szCs w:val="24"/>
        </w:rPr>
        <w:t xml:space="preserve"> of all events organized by the three Sectors, compared with </w:t>
      </w:r>
      <w:r w:rsidRPr="0046236F">
        <w:rPr>
          <w:rFonts w:asciiTheme="minorHAnsi" w:hAnsiTheme="minorHAnsi" w:cstheme="minorHAnsi"/>
          <w:szCs w:val="24"/>
          <w:lang w:eastAsia="ko-KR"/>
        </w:rPr>
        <w:t xml:space="preserve">31% </w:t>
      </w:r>
      <w:r w:rsidRPr="0046236F">
        <w:rPr>
          <w:rFonts w:asciiTheme="minorHAnsi" w:hAnsiTheme="minorHAnsi" w:cstheme="minorHAnsi"/>
          <w:szCs w:val="24"/>
        </w:rPr>
        <w:t xml:space="preserve">held physically at headquarters and </w:t>
      </w:r>
      <w:r w:rsidRPr="0046236F">
        <w:rPr>
          <w:rFonts w:asciiTheme="minorHAnsi" w:hAnsiTheme="minorHAnsi" w:cstheme="minorHAnsi"/>
          <w:szCs w:val="24"/>
          <w:lang w:eastAsia="ko-KR"/>
        </w:rPr>
        <w:t xml:space="preserve">32% </w:t>
      </w:r>
      <w:r w:rsidRPr="0046236F">
        <w:rPr>
          <w:rFonts w:asciiTheme="minorHAnsi" w:hAnsiTheme="minorHAnsi" w:cstheme="minorHAnsi"/>
          <w:szCs w:val="24"/>
        </w:rPr>
        <w:t>organized virtually. This indicates that the regions are a major venue for ITU meetings, workshops, conferences and preparatory processes.</w:t>
      </w:r>
      <w:r w:rsidRPr="0046236F">
        <w:rPr>
          <w:rFonts w:asciiTheme="minorHAnsi" w:hAnsiTheme="minorHAnsi" w:cstheme="minorHAnsi"/>
          <w:szCs w:val="24"/>
          <w:vertAlign w:val="superscript"/>
        </w:rPr>
        <w:footnoteReference w:id="4"/>
      </w:r>
    </w:p>
    <w:p w14:paraId="7F3EED7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The nature of regional events varies significantly by Sector. </w:t>
      </w:r>
      <w:r w:rsidRPr="0046236F">
        <w:rPr>
          <w:rFonts w:asciiTheme="minorHAnsi" w:hAnsiTheme="minorHAnsi" w:cstheme="minorHAnsi"/>
          <w:szCs w:val="24"/>
          <w:lang w:eastAsia="ko-KR"/>
        </w:rPr>
        <w:t>A comparative table is shown below.</w:t>
      </w:r>
      <w:r w:rsidRPr="0046236F">
        <w:rPr>
          <w:rFonts w:asciiTheme="minorHAnsi" w:hAnsiTheme="minorHAnsi" w:cstheme="minorHAnsi"/>
          <w:szCs w:val="24"/>
        </w:rPr>
        <w:t xml:space="preserve"> These figures, drawn from the </w:t>
      </w:r>
      <w:r w:rsidRPr="0046236F">
        <w:rPr>
          <w:rFonts w:asciiTheme="minorHAnsi" w:hAnsiTheme="minorHAnsi" w:cstheme="minorHAnsi"/>
          <w:szCs w:val="24"/>
          <w:lang w:eastAsia="ko-KR"/>
        </w:rPr>
        <w:t xml:space="preserve">ITU </w:t>
      </w:r>
      <w:r w:rsidRPr="0046236F">
        <w:rPr>
          <w:rFonts w:asciiTheme="minorHAnsi" w:hAnsiTheme="minorHAnsi" w:cstheme="minorHAnsi"/>
          <w:szCs w:val="24"/>
        </w:rPr>
        <w:t>event</w:t>
      </w:r>
      <w:r w:rsidRPr="0046236F">
        <w:rPr>
          <w:rFonts w:asciiTheme="minorHAnsi" w:hAnsiTheme="minorHAnsi" w:cstheme="minorHAnsi"/>
          <w:szCs w:val="24"/>
          <w:lang w:eastAsia="ko-KR"/>
        </w:rPr>
        <w:t>s</w:t>
      </w:r>
      <w:r w:rsidRPr="0046236F">
        <w:rPr>
          <w:rFonts w:asciiTheme="minorHAnsi" w:hAnsiTheme="minorHAnsi" w:cstheme="minorHAnsi"/>
          <w:szCs w:val="24"/>
        </w:rPr>
        <w:t xml:space="preserve"> registration dashboard, show that Regional and Area Offices support a sizeable and diverse event portfolio</w:t>
      </w:r>
      <w:r w:rsidRPr="0046236F">
        <w:rPr>
          <w:rFonts w:asciiTheme="minorHAnsi" w:hAnsiTheme="minorHAnsi" w:cstheme="minorHAnsi"/>
          <w:szCs w:val="24"/>
          <w:lang w:eastAsia="ko-KR"/>
        </w:rPr>
        <w:t>.</w:t>
      </w:r>
      <w:r w:rsidRPr="0046236F">
        <w:rPr>
          <w:rFonts w:asciiTheme="minorHAnsi" w:hAnsiTheme="minorHAnsi" w:cstheme="minorHAnsi"/>
          <w:szCs w:val="24"/>
          <w:vertAlign w:val="superscript"/>
          <w:lang w:eastAsia="ko-KR"/>
        </w:rPr>
        <w:footnoteReference w:id="5"/>
      </w:r>
      <w:r w:rsidRPr="0046236F">
        <w:rPr>
          <w:rFonts w:asciiTheme="minorHAnsi" w:hAnsiTheme="minorHAnsi" w:cstheme="minorHAnsi"/>
          <w:szCs w:val="24"/>
        </w:rPr>
        <w:t> </w:t>
      </w:r>
    </w:p>
    <w:p w14:paraId="2C28D82E" w14:textId="77777777" w:rsidR="00617FC9" w:rsidRPr="0046236F" w:rsidRDefault="00617FC9" w:rsidP="00617FC9">
      <w:pPr>
        <w:pStyle w:val="Subtitle0"/>
        <w:jc w:val="center"/>
        <w:rPr>
          <w:rFonts w:asciiTheme="minorHAnsi" w:hAnsiTheme="minorHAnsi" w:cstheme="minorHAnsi"/>
          <w:sz w:val="24"/>
          <w:szCs w:val="24"/>
          <w:lang w:eastAsia="ko-KR"/>
        </w:rPr>
      </w:pPr>
      <w:r w:rsidRPr="0046236F">
        <w:rPr>
          <w:rFonts w:asciiTheme="minorHAnsi" w:hAnsiTheme="minorHAnsi" w:cstheme="minorHAnsi"/>
          <w:sz w:val="24"/>
          <w:szCs w:val="24"/>
          <w:lang w:eastAsia="ko-KR"/>
        </w:rPr>
        <w:t>Percentage and most frequent types of events in the regions, by ITU Sector</w:t>
      </w:r>
    </w:p>
    <w:tbl>
      <w:tblPr>
        <w:tblStyle w:val="GridTable5Dark-Accent11"/>
        <w:tblW w:w="8500" w:type="dxa"/>
        <w:jc w:val="center"/>
        <w:tblLook w:val="0420" w:firstRow="1" w:lastRow="0" w:firstColumn="0" w:lastColumn="0" w:noHBand="0" w:noVBand="1"/>
      </w:tblPr>
      <w:tblGrid>
        <w:gridCol w:w="2689"/>
        <w:gridCol w:w="1984"/>
        <w:gridCol w:w="3827"/>
      </w:tblGrid>
      <w:tr w:rsidR="00617FC9" w:rsidRPr="00986D12" w14:paraId="690C6421" w14:textId="77777777" w:rsidTr="00696175">
        <w:trPr>
          <w:cnfStyle w:val="100000000000" w:firstRow="1" w:lastRow="0" w:firstColumn="0" w:lastColumn="0" w:oddVBand="0" w:evenVBand="0" w:oddHBand="0" w:evenHBand="0" w:firstRowFirstColumn="0" w:firstRowLastColumn="0" w:lastRowFirstColumn="0" w:lastRowLastColumn="0"/>
          <w:trHeight w:val="300"/>
          <w:jc w:val="center"/>
        </w:trPr>
        <w:tc>
          <w:tcPr>
            <w:tcW w:w="2689" w:type="dxa"/>
            <w:tcBorders>
              <w:right w:val="single" w:sz="4" w:space="0" w:color="FFFFFF"/>
            </w:tcBorders>
            <w:shd w:val="clear" w:color="auto" w:fill="45B0E1"/>
            <w:hideMark/>
          </w:tcPr>
          <w:p w14:paraId="35FA308E" w14:textId="77777777" w:rsidR="00617FC9" w:rsidRPr="00986D12" w:rsidRDefault="00617FC9" w:rsidP="00696175">
            <w:pPr>
              <w:pStyle w:val="Texttable"/>
              <w:rPr>
                <w:rFonts w:asciiTheme="minorHAnsi" w:hAnsiTheme="minorHAnsi" w:cstheme="minorHAnsi"/>
                <w:lang w:eastAsia="en-GB"/>
              </w:rPr>
            </w:pPr>
            <w:r w:rsidRPr="00986D12">
              <w:rPr>
                <w:rFonts w:asciiTheme="minorHAnsi" w:hAnsiTheme="minorHAnsi" w:cstheme="minorHAnsi"/>
                <w:lang w:eastAsia="en-GB"/>
              </w:rPr>
              <w:t>ITU Sector</w:t>
            </w:r>
          </w:p>
        </w:tc>
        <w:tc>
          <w:tcPr>
            <w:tcW w:w="1984" w:type="dxa"/>
            <w:tcBorders>
              <w:left w:val="single" w:sz="4" w:space="0" w:color="FFFFFF"/>
              <w:right w:val="single" w:sz="4" w:space="0" w:color="FFFFFF"/>
            </w:tcBorders>
            <w:shd w:val="clear" w:color="auto" w:fill="45B0E1"/>
            <w:hideMark/>
          </w:tcPr>
          <w:p w14:paraId="5A259B3D" w14:textId="77777777" w:rsidR="00617FC9" w:rsidRPr="00986D12" w:rsidRDefault="00617FC9" w:rsidP="00696175">
            <w:pPr>
              <w:pStyle w:val="Texttable"/>
              <w:tabs>
                <w:tab w:val="left" w:pos="860"/>
              </w:tabs>
              <w:jc w:val="center"/>
              <w:rPr>
                <w:rFonts w:asciiTheme="minorHAnsi" w:hAnsiTheme="minorHAnsi" w:cstheme="minorHAnsi"/>
                <w:lang w:eastAsia="en-GB"/>
              </w:rPr>
            </w:pPr>
            <w:r w:rsidRPr="00986D12">
              <w:rPr>
                <w:rFonts w:asciiTheme="minorHAnsi" w:hAnsiTheme="minorHAnsi" w:cstheme="minorHAnsi"/>
                <w:lang w:val="en-US" w:eastAsia="en-GB"/>
              </w:rPr>
              <w:t>Percentage of events in regions</w:t>
            </w:r>
          </w:p>
        </w:tc>
        <w:tc>
          <w:tcPr>
            <w:tcW w:w="3827" w:type="dxa"/>
            <w:tcBorders>
              <w:left w:val="single" w:sz="4" w:space="0" w:color="FFFFFF"/>
            </w:tcBorders>
            <w:shd w:val="clear" w:color="auto" w:fill="45B0E1"/>
            <w:hideMark/>
          </w:tcPr>
          <w:p w14:paraId="6FC16353" w14:textId="77777777" w:rsidR="00617FC9" w:rsidRPr="00986D12" w:rsidRDefault="00617FC9" w:rsidP="00696175">
            <w:pPr>
              <w:pStyle w:val="Texttable"/>
              <w:tabs>
                <w:tab w:val="left" w:pos="860"/>
              </w:tabs>
              <w:rPr>
                <w:rFonts w:asciiTheme="minorHAnsi" w:hAnsiTheme="minorHAnsi" w:cstheme="minorHAnsi"/>
                <w:lang w:eastAsia="en-GB"/>
              </w:rPr>
            </w:pPr>
            <w:r w:rsidRPr="00986D12">
              <w:rPr>
                <w:rFonts w:asciiTheme="minorHAnsi" w:hAnsiTheme="minorHAnsi" w:cstheme="minorHAnsi"/>
                <w:lang w:val="en-US" w:eastAsia="en-GB"/>
              </w:rPr>
              <w:t>Most frequent type</w:t>
            </w:r>
            <w:r w:rsidRPr="00986D12">
              <w:rPr>
                <w:rFonts w:asciiTheme="minorHAnsi" w:eastAsia="Malgun Gothic" w:hAnsiTheme="minorHAnsi" w:cstheme="minorHAnsi"/>
                <w:lang w:val="en-US" w:eastAsia="ko-KR"/>
              </w:rPr>
              <w:t>(s)</w:t>
            </w:r>
            <w:r w:rsidRPr="00986D12">
              <w:rPr>
                <w:rFonts w:asciiTheme="minorHAnsi" w:hAnsiTheme="minorHAnsi" w:cstheme="minorHAnsi"/>
                <w:lang w:val="en-US" w:eastAsia="en-GB"/>
              </w:rPr>
              <w:t xml:space="preserve"> of event </w:t>
            </w:r>
            <w:r w:rsidRPr="00986D12">
              <w:rPr>
                <w:rFonts w:asciiTheme="minorHAnsi" w:eastAsia="Malgun Gothic" w:hAnsiTheme="minorHAnsi" w:cstheme="minorHAnsi"/>
                <w:lang w:val="en-US" w:eastAsia="ko-KR"/>
              </w:rPr>
              <w:br/>
            </w:r>
            <w:r w:rsidRPr="00986D12">
              <w:rPr>
                <w:rFonts w:asciiTheme="minorHAnsi" w:hAnsiTheme="minorHAnsi" w:cstheme="minorHAnsi"/>
                <w:lang w:val="en-US" w:eastAsia="en-GB"/>
              </w:rPr>
              <w:t>(% of events in the regions)</w:t>
            </w:r>
          </w:p>
        </w:tc>
      </w:tr>
      <w:tr w:rsidR="00617FC9" w:rsidRPr="00986D12" w14:paraId="64E6201F" w14:textId="77777777" w:rsidTr="00696175">
        <w:trPr>
          <w:cnfStyle w:val="000000100000" w:firstRow="0" w:lastRow="0" w:firstColumn="0" w:lastColumn="0" w:oddVBand="0" w:evenVBand="0" w:oddHBand="1" w:evenHBand="0" w:firstRowFirstColumn="0" w:firstRowLastColumn="0" w:lastRowFirstColumn="0" w:lastRowLastColumn="0"/>
          <w:trHeight w:val="300"/>
          <w:jc w:val="center"/>
        </w:trPr>
        <w:tc>
          <w:tcPr>
            <w:tcW w:w="2689" w:type="dxa"/>
            <w:hideMark/>
          </w:tcPr>
          <w:p w14:paraId="1B6A454B" w14:textId="77777777" w:rsidR="00617FC9" w:rsidRPr="00986D12" w:rsidRDefault="00617FC9" w:rsidP="00696175">
            <w:pPr>
              <w:pStyle w:val="Texttable"/>
              <w:rPr>
                <w:rFonts w:asciiTheme="minorHAnsi" w:hAnsiTheme="minorHAnsi" w:cstheme="minorHAnsi"/>
                <w:b/>
                <w:bCs/>
                <w:lang w:eastAsia="en-GB"/>
              </w:rPr>
            </w:pPr>
            <w:r w:rsidRPr="00986D12">
              <w:rPr>
                <w:rFonts w:asciiTheme="minorHAnsi" w:hAnsiTheme="minorHAnsi" w:cstheme="minorHAnsi"/>
                <w:b/>
                <w:bCs/>
                <w:lang w:eastAsia="en-GB"/>
              </w:rPr>
              <w:t>ITU-D</w:t>
            </w:r>
          </w:p>
        </w:tc>
        <w:tc>
          <w:tcPr>
            <w:tcW w:w="1984" w:type="dxa"/>
            <w:hideMark/>
          </w:tcPr>
          <w:p w14:paraId="56F11906" w14:textId="77777777" w:rsidR="00617FC9" w:rsidRPr="00986D12" w:rsidRDefault="00617FC9" w:rsidP="00696175">
            <w:pPr>
              <w:pStyle w:val="Texttable"/>
              <w:tabs>
                <w:tab w:val="left" w:pos="860"/>
              </w:tabs>
              <w:jc w:val="center"/>
              <w:rPr>
                <w:rFonts w:asciiTheme="minorHAnsi" w:hAnsiTheme="minorHAnsi" w:cstheme="minorHAnsi"/>
                <w:lang w:eastAsia="en-GB"/>
              </w:rPr>
            </w:pPr>
            <w:r w:rsidRPr="00986D12">
              <w:rPr>
                <w:rFonts w:asciiTheme="minorHAnsi" w:hAnsiTheme="minorHAnsi" w:cstheme="minorHAnsi"/>
                <w:lang w:eastAsia="en-GB"/>
              </w:rPr>
              <w:t>50%</w:t>
            </w:r>
          </w:p>
        </w:tc>
        <w:tc>
          <w:tcPr>
            <w:tcW w:w="3827" w:type="dxa"/>
            <w:hideMark/>
          </w:tcPr>
          <w:p w14:paraId="7A59DFA8" w14:textId="77777777" w:rsidR="00617FC9" w:rsidRPr="00986D12" w:rsidRDefault="00617FC9" w:rsidP="00696175">
            <w:pPr>
              <w:pStyle w:val="Texttable"/>
              <w:tabs>
                <w:tab w:val="left" w:pos="860"/>
              </w:tabs>
              <w:rPr>
                <w:rFonts w:asciiTheme="minorHAnsi" w:hAnsiTheme="minorHAnsi" w:cstheme="minorHAnsi"/>
                <w:lang w:eastAsia="en-GB"/>
              </w:rPr>
            </w:pPr>
            <w:r w:rsidRPr="00986D12">
              <w:rPr>
                <w:rFonts w:asciiTheme="minorHAnsi" w:hAnsiTheme="minorHAnsi" w:cstheme="minorHAnsi"/>
                <w:lang w:eastAsia="en-GB"/>
              </w:rPr>
              <w:t>Workshops (89%)</w:t>
            </w:r>
          </w:p>
        </w:tc>
      </w:tr>
      <w:tr w:rsidR="00617FC9" w:rsidRPr="00986D12" w14:paraId="521AB317" w14:textId="77777777" w:rsidTr="00696175">
        <w:trPr>
          <w:trHeight w:val="300"/>
          <w:jc w:val="center"/>
        </w:trPr>
        <w:tc>
          <w:tcPr>
            <w:tcW w:w="2689" w:type="dxa"/>
            <w:shd w:val="clear" w:color="auto" w:fill="FFFFFF"/>
            <w:hideMark/>
          </w:tcPr>
          <w:p w14:paraId="6B6B3B45" w14:textId="77777777" w:rsidR="00617FC9" w:rsidRPr="00986D12" w:rsidRDefault="00617FC9" w:rsidP="00696175">
            <w:pPr>
              <w:pStyle w:val="Texttable"/>
              <w:rPr>
                <w:rFonts w:asciiTheme="minorHAnsi" w:hAnsiTheme="minorHAnsi" w:cstheme="minorHAnsi"/>
                <w:b/>
                <w:bCs/>
                <w:color w:val="000000" w:themeColor="text1"/>
                <w:lang w:eastAsia="en-GB"/>
              </w:rPr>
            </w:pPr>
            <w:r w:rsidRPr="00986D12">
              <w:rPr>
                <w:rFonts w:asciiTheme="minorHAnsi" w:hAnsiTheme="minorHAnsi" w:cstheme="minorHAnsi"/>
                <w:b/>
                <w:bCs/>
                <w:color w:val="000000" w:themeColor="text1"/>
                <w:lang w:eastAsia="en-GB"/>
              </w:rPr>
              <w:t>ITU-R</w:t>
            </w:r>
          </w:p>
        </w:tc>
        <w:tc>
          <w:tcPr>
            <w:tcW w:w="1984" w:type="dxa"/>
            <w:shd w:val="clear" w:color="auto" w:fill="FFFFFF"/>
            <w:hideMark/>
          </w:tcPr>
          <w:p w14:paraId="0BCDC97F" w14:textId="77777777" w:rsidR="00617FC9" w:rsidRPr="00986D12" w:rsidRDefault="00617FC9" w:rsidP="00696175">
            <w:pPr>
              <w:pStyle w:val="Texttable"/>
              <w:tabs>
                <w:tab w:val="left" w:pos="860"/>
              </w:tabs>
              <w:jc w:val="center"/>
              <w:rPr>
                <w:rFonts w:asciiTheme="minorHAnsi" w:hAnsiTheme="minorHAnsi" w:cstheme="minorHAnsi"/>
                <w:lang w:eastAsia="en-GB"/>
              </w:rPr>
            </w:pPr>
            <w:r w:rsidRPr="00986D12">
              <w:rPr>
                <w:rFonts w:asciiTheme="minorHAnsi" w:hAnsiTheme="minorHAnsi" w:cstheme="minorHAnsi"/>
                <w:lang w:eastAsia="en-GB"/>
              </w:rPr>
              <w:t>22%</w:t>
            </w:r>
          </w:p>
        </w:tc>
        <w:tc>
          <w:tcPr>
            <w:tcW w:w="3827" w:type="dxa"/>
            <w:shd w:val="clear" w:color="auto" w:fill="FFFFFF"/>
            <w:hideMark/>
          </w:tcPr>
          <w:p w14:paraId="70B7B153" w14:textId="77777777" w:rsidR="00617FC9" w:rsidRPr="00986D12" w:rsidRDefault="00617FC9" w:rsidP="00696175">
            <w:pPr>
              <w:pStyle w:val="Texttable"/>
              <w:tabs>
                <w:tab w:val="left" w:pos="860"/>
              </w:tabs>
              <w:rPr>
                <w:rFonts w:asciiTheme="minorHAnsi" w:hAnsiTheme="minorHAnsi" w:cstheme="minorHAnsi"/>
                <w:lang w:eastAsia="en-GB"/>
              </w:rPr>
            </w:pPr>
            <w:r w:rsidRPr="00986D12">
              <w:rPr>
                <w:rFonts w:asciiTheme="minorHAnsi" w:hAnsiTheme="minorHAnsi" w:cstheme="minorHAnsi"/>
                <w:lang w:eastAsia="en-GB"/>
              </w:rPr>
              <w:t>Study groups (70%)</w:t>
            </w:r>
          </w:p>
        </w:tc>
      </w:tr>
      <w:tr w:rsidR="00617FC9" w:rsidRPr="00986D12" w14:paraId="45BDE1D8" w14:textId="77777777" w:rsidTr="00696175">
        <w:trPr>
          <w:cnfStyle w:val="000000100000" w:firstRow="0" w:lastRow="0" w:firstColumn="0" w:lastColumn="0" w:oddVBand="0" w:evenVBand="0" w:oddHBand="1" w:evenHBand="0" w:firstRowFirstColumn="0" w:firstRowLastColumn="0" w:lastRowFirstColumn="0" w:lastRowLastColumn="0"/>
          <w:trHeight w:val="300"/>
          <w:jc w:val="center"/>
        </w:trPr>
        <w:tc>
          <w:tcPr>
            <w:tcW w:w="2689" w:type="dxa"/>
            <w:hideMark/>
          </w:tcPr>
          <w:p w14:paraId="65554F99" w14:textId="77777777" w:rsidR="00617FC9" w:rsidRPr="00986D12" w:rsidRDefault="00617FC9" w:rsidP="00696175">
            <w:pPr>
              <w:pStyle w:val="Texttable"/>
              <w:rPr>
                <w:rFonts w:asciiTheme="minorHAnsi" w:hAnsiTheme="minorHAnsi" w:cstheme="minorHAnsi"/>
                <w:b/>
                <w:bCs/>
                <w:lang w:eastAsia="en-GB"/>
              </w:rPr>
            </w:pPr>
            <w:r w:rsidRPr="00986D12">
              <w:rPr>
                <w:rFonts w:asciiTheme="minorHAnsi" w:hAnsiTheme="minorHAnsi" w:cstheme="minorHAnsi"/>
                <w:b/>
                <w:bCs/>
                <w:lang w:eastAsia="en-GB"/>
              </w:rPr>
              <w:t>ITU-T</w:t>
            </w:r>
          </w:p>
        </w:tc>
        <w:tc>
          <w:tcPr>
            <w:tcW w:w="1984" w:type="dxa"/>
            <w:hideMark/>
          </w:tcPr>
          <w:p w14:paraId="14DB7D0C" w14:textId="77777777" w:rsidR="00617FC9" w:rsidRPr="00986D12" w:rsidRDefault="00617FC9" w:rsidP="00696175">
            <w:pPr>
              <w:pStyle w:val="Texttable"/>
              <w:tabs>
                <w:tab w:val="left" w:pos="860"/>
              </w:tabs>
              <w:jc w:val="center"/>
              <w:rPr>
                <w:rFonts w:asciiTheme="minorHAnsi" w:hAnsiTheme="minorHAnsi" w:cstheme="minorHAnsi"/>
                <w:lang w:eastAsia="en-GB"/>
              </w:rPr>
            </w:pPr>
            <w:r w:rsidRPr="00986D12">
              <w:rPr>
                <w:rFonts w:asciiTheme="minorHAnsi" w:hAnsiTheme="minorHAnsi" w:cstheme="minorHAnsi"/>
                <w:lang w:eastAsia="en-GB"/>
              </w:rPr>
              <w:t>30%</w:t>
            </w:r>
          </w:p>
        </w:tc>
        <w:tc>
          <w:tcPr>
            <w:tcW w:w="3827" w:type="dxa"/>
            <w:hideMark/>
          </w:tcPr>
          <w:p w14:paraId="4358EE61" w14:textId="77777777" w:rsidR="00617FC9" w:rsidRPr="00986D12" w:rsidRDefault="00617FC9" w:rsidP="00696175">
            <w:pPr>
              <w:pStyle w:val="Texttable"/>
              <w:tabs>
                <w:tab w:val="left" w:pos="860"/>
              </w:tabs>
              <w:rPr>
                <w:rFonts w:asciiTheme="minorHAnsi" w:hAnsiTheme="minorHAnsi" w:cstheme="minorHAnsi"/>
                <w:lang w:eastAsia="ko-KR"/>
              </w:rPr>
            </w:pPr>
            <w:r w:rsidRPr="00986D12">
              <w:rPr>
                <w:rFonts w:asciiTheme="minorHAnsi" w:eastAsia="Times New Roman" w:hAnsiTheme="minorHAnsi" w:cstheme="minorHAnsi"/>
                <w:lang w:eastAsia="en-GB"/>
              </w:rPr>
              <w:t>Workshops (44%)</w:t>
            </w:r>
            <w:r w:rsidRPr="00986D12">
              <w:rPr>
                <w:rFonts w:asciiTheme="minorHAnsi" w:hAnsiTheme="minorHAnsi" w:cstheme="minorHAnsi"/>
                <w:lang w:eastAsia="ko-KR"/>
              </w:rPr>
              <w:br/>
              <w:t>Regional study groups (30%)</w:t>
            </w:r>
          </w:p>
        </w:tc>
      </w:tr>
    </w:tbl>
    <w:p w14:paraId="208DF6CF" w14:textId="77777777" w:rsidR="00617FC9" w:rsidRPr="00986D12" w:rsidRDefault="00617FC9" w:rsidP="00617FC9">
      <w:pPr>
        <w:pStyle w:val="Notes"/>
        <w:rPr>
          <w:rFonts w:asciiTheme="minorHAnsi" w:hAnsiTheme="minorHAnsi" w:cstheme="minorHAnsi"/>
        </w:rPr>
      </w:pPr>
      <w:r w:rsidRPr="00986D12">
        <w:rPr>
          <w:rFonts w:asciiTheme="minorHAnsi" w:hAnsiTheme="minorHAnsi" w:cstheme="minorHAnsi"/>
        </w:rPr>
        <w:t xml:space="preserve">Source: ITU events registration dashboard (internal) </w:t>
      </w:r>
    </w:p>
    <w:p w14:paraId="014226CA" w14:textId="77777777" w:rsidR="00617FC9" w:rsidRPr="0046236F" w:rsidRDefault="00617FC9" w:rsidP="00617FC9">
      <w:pPr>
        <w:jc w:val="both"/>
        <w:rPr>
          <w:rFonts w:asciiTheme="minorHAnsi" w:hAnsiTheme="minorHAnsi" w:cstheme="minorHAnsi"/>
          <w:szCs w:val="24"/>
          <w:lang w:eastAsia="ko-KR"/>
        </w:rPr>
      </w:pPr>
      <w:r w:rsidRPr="0046236F">
        <w:rPr>
          <w:rFonts w:asciiTheme="minorHAnsi" w:hAnsiTheme="minorHAnsi" w:cstheme="minorHAnsi"/>
          <w:szCs w:val="24"/>
        </w:rPr>
        <w:t xml:space="preserve">The document analysis also draws on a separate analysis of information collected from selected staff who organized events in the regions. The analysis </w:t>
      </w:r>
      <w:r w:rsidRPr="0046236F">
        <w:rPr>
          <w:rFonts w:asciiTheme="minorHAnsi" w:hAnsiTheme="minorHAnsi" w:cstheme="minorHAnsi"/>
          <w:szCs w:val="24"/>
          <w:lang w:eastAsia="ko-KR"/>
        </w:rPr>
        <w:t>shows</w:t>
      </w:r>
      <w:r w:rsidRPr="0046236F">
        <w:rPr>
          <w:rFonts w:asciiTheme="minorHAnsi" w:hAnsiTheme="minorHAnsi" w:cstheme="minorHAnsi"/>
          <w:szCs w:val="24"/>
        </w:rPr>
        <w:t xml:space="preserve"> that </w:t>
      </w:r>
      <w:r w:rsidRPr="0046236F">
        <w:rPr>
          <w:rFonts w:asciiTheme="minorHAnsi" w:hAnsiTheme="minorHAnsi" w:cstheme="minorHAnsi"/>
          <w:szCs w:val="24"/>
          <w:lang w:eastAsia="ko-KR"/>
        </w:rPr>
        <w:t xml:space="preserve">event support extends well </w:t>
      </w:r>
      <w:r w:rsidRPr="0046236F">
        <w:rPr>
          <w:rFonts w:asciiTheme="minorHAnsi" w:hAnsiTheme="minorHAnsi" w:cstheme="minorHAnsi"/>
          <w:szCs w:val="24"/>
          <w:lang w:eastAsia="ko-KR"/>
        </w:rPr>
        <w:lastRenderedPageBreak/>
        <w:t>beyond venue logistics and includes substantive coordination functions. Below were the most frequent supports provided by category:</w:t>
      </w:r>
    </w:p>
    <w:p w14:paraId="61D6C0B6" w14:textId="77777777" w:rsidR="00617FC9" w:rsidRPr="0046236F" w:rsidRDefault="00617FC9" w:rsidP="00BC7ABA">
      <w:pPr>
        <w:pStyle w:val="ListParagraph"/>
        <w:numPr>
          <w:ilvl w:val="0"/>
          <w:numId w:val="38"/>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Administrative: invitation letters, registration</w:t>
      </w:r>
      <w:r w:rsidRPr="0046236F">
        <w:rPr>
          <w:rFonts w:asciiTheme="minorHAnsi" w:hAnsiTheme="minorHAnsi" w:cstheme="minorHAnsi"/>
          <w:sz w:val="24"/>
          <w:szCs w:val="24"/>
          <w:lang w:eastAsia="ko-KR"/>
        </w:rPr>
        <w:t>,</w:t>
      </w:r>
      <w:r w:rsidRPr="0046236F">
        <w:rPr>
          <w:rFonts w:asciiTheme="minorHAnsi" w:hAnsiTheme="minorHAnsi" w:cstheme="minorHAnsi"/>
          <w:sz w:val="24"/>
          <w:szCs w:val="24"/>
        </w:rPr>
        <w:t xml:space="preserve"> visa </w:t>
      </w:r>
      <w:proofErr w:type="gramStart"/>
      <w:r w:rsidRPr="0046236F">
        <w:rPr>
          <w:rFonts w:asciiTheme="minorHAnsi" w:hAnsiTheme="minorHAnsi" w:cstheme="minorHAnsi"/>
          <w:sz w:val="24"/>
          <w:szCs w:val="24"/>
        </w:rPr>
        <w:t>facilitation;</w:t>
      </w:r>
      <w:proofErr w:type="gramEnd"/>
    </w:p>
    <w:p w14:paraId="06AC0234" w14:textId="77777777" w:rsidR="00617FC9" w:rsidRPr="0046236F" w:rsidRDefault="00617FC9" w:rsidP="00BC7ABA">
      <w:pPr>
        <w:pStyle w:val="ListParagraph"/>
        <w:numPr>
          <w:ilvl w:val="0"/>
          <w:numId w:val="39"/>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Financial: speaker travel/accommodation, fellowships</w:t>
      </w:r>
      <w:r w:rsidRPr="0046236F">
        <w:rPr>
          <w:rFonts w:asciiTheme="minorHAnsi" w:hAnsiTheme="minorHAnsi" w:cstheme="minorHAnsi"/>
          <w:sz w:val="24"/>
          <w:szCs w:val="24"/>
          <w:lang w:eastAsia="ko-KR"/>
        </w:rPr>
        <w:t>, but also none (e.g. due to donor restrictions that limit what could be funded</w:t>
      </w:r>
      <w:proofErr w:type="gramStart"/>
      <w:r w:rsidRPr="0046236F">
        <w:rPr>
          <w:rFonts w:asciiTheme="minorHAnsi" w:hAnsiTheme="minorHAnsi" w:cstheme="minorHAnsi"/>
          <w:sz w:val="24"/>
          <w:szCs w:val="24"/>
          <w:lang w:eastAsia="ko-KR"/>
        </w:rPr>
        <w:t>);</w:t>
      </w:r>
      <w:proofErr w:type="gramEnd"/>
    </w:p>
    <w:p w14:paraId="0FDD3C0B" w14:textId="243313A6" w:rsidR="00617FC9" w:rsidRPr="0046236F" w:rsidRDefault="00617FC9" w:rsidP="00BC7ABA">
      <w:pPr>
        <w:pStyle w:val="ListParagraph"/>
        <w:numPr>
          <w:ilvl w:val="0"/>
          <w:numId w:val="40"/>
        </w:numPr>
        <w:spacing w:before="60" w:after="60"/>
        <w:contextualSpacing w:val="0"/>
        <w:jc w:val="both"/>
        <w:rPr>
          <w:rFonts w:asciiTheme="minorHAnsi" w:hAnsiTheme="minorHAnsi" w:cstheme="minorHAnsi"/>
          <w:sz w:val="24"/>
          <w:szCs w:val="24"/>
          <w:lang w:val="fr-CH"/>
        </w:rPr>
      </w:pPr>
      <w:proofErr w:type="gramStart"/>
      <w:r w:rsidRPr="0046236F">
        <w:rPr>
          <w:rFonts w:asciiTheme="minorHAnsi" w:hAnsiTheme="minorHAnsi" w:cstheme="minorHAnsi"/>
          <w:sz w:val="24"/>
          <w:szCs w:val="24"/>
          <w:lang w:val="fr-CH"/>
        </w:rPr>
        <w:t>Technical:</w:t>
      </w:r>
      <w:proofErr w:type="gramEnd"/>
      <w:r w:rsidRPr="0046236F">
        <w:rPr>
          <w:rFonts w:asciiTheme="minorHAnsi" w:hAnsiTheme="minorHAnsi" w:cstheme="minorHAnsi"/>
          <w:sz w:val="24"/>
          <w:szCs w:val="24"/>
          <w:lang w:val="fr-CH"/>
        </w:rPr>
        <w:t xml:space="preserve"> on</w:t>
      </w:r>
      <w:r w:rsidR="00097560">
        <w:rPr>
          <w:rFonts w:asciiTheme="minorHAnsi" w:hAnsiTheme="minorHAnsi" w:cstheme="minorHAnsi"/>
          <w:sz w:val="24"/>
          <w:szCs w:val="24"/>
          <w:lang w:val="fr-CH"/>
        </w:rPr>
        <w:t xml:space="preserve"> </w:t>
      </w:r>
      <w:r w:rsidRPr="0046236F">
        <w:rPr>
          <w:rFonts w:asciiTheme="minorHAnsi" w:hAnsiTheme="minorHAnsi" w:cstheme="minorHAnsi"/>
          <w:sz w:val="24"/>
          <w:szCs w:val="24"/>
          <w:lang w:val="fr-CH"/>
        </w:rPr>
        <w:t xml:space="preserve">site technical support, remote participation, </w:t>
      </w:r>
      <w:proofErr w:type="gramStart"/>
      <w:r w:rsidRPr="0046236F">
        <w:rPr>
          <w:rFonts w:asciiTheme="minorHAnsi" w:hAnsiTheme="minorHAnsi" w:cstheme="minorHAnsi"/>
          <w:sz w:val="24"/>
          <w:szCs w:val="24"/>
          <w:lang w:val="fr-CH"/>
        </w:rPr>
        <w:t>interpretation;</w:t>
      </w:r>
      <w:proofErr w:type="gramEnd"/>
    </w:p>
    <w:p w14:paraId="3555197C" w14:textId="77777777" w:rsidR="00617FC9" w:rsidRPr="0046236F" w:rsidRDefault="00617FC9" w:rsidP="00BC7ABA">
      <w:pPr>
        <w:pStyle w:val="ListParagraph"/>
        <w:numPr>
          <w:ilvl w:val="0"/>
          <w:numId w:val="41"/>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Logistical: meeting rooms, catering, accommodation/transport.</w:t>
      </w:r>
      <w:r w:rsidRPr="0046236F">
        <w:rPr>
          <w:rFonts w:asciiTheme="minorHAnsi" w:hAnsiTheme="minorHAnsi" w:cstheme="minorHAnsi"/>
          <w:sz w:val="24"/>
          <w:szCs w:val="24"/>
          <w:vertAlign w:val="superscript"/>
        </w:rPr>
        <w:t xml:space="preserve"> </w:t>
      </w:r>
      <w:r w:rsidRPr="0046236F">
        <w:rPr>
          <w:rFonts w:asciiTheme="minorHAnsi" w:hAnsiTheme="minorHAnsi" w:cstheme="minorHAnsi"/>
          <w:sz w:val="24"/>
          <w:szCs w:val="24"/>
          <w:vertAlign w:val="superscript"/>
        </w:rPr>
        <w:footnoteReference w:id="6"/>
      </w:r>
    </w:p>
    <w:p w14:paraId="1CBF7953"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The analysis further reveals that support conditions are shaped primarily by operational constraints and event needs. Budget availability was cited as </w:t>
      </w:r>
      <w:r w:rsidRPr="0046236F">
        <w:rPr>
          <w:rFonts w:asciiTheme="minorHAnsi" w:hAnsiTheme="minorHAnsi" w:cstheme="minorHAnsi"/>
          <w:szCs w:val="24"/>
          <w:lang w:eastAsia="ko-KR"/>
        </w:rPr>
        <w:t>the most</w:t>
      </w:r>
      <w:r w:rsidRPr="0046236F">
        <w:rPr>
          <w:rFonts w:asciiTheme="minorHAnsi" w:hAnsiTheme="minorHAnsi" w:cstheme="minorHAnsi"/>
          <w:szCs w:val="24"/>
        </w:rPr>
        <w:t xml:space="preserve"> determining factor, followed by the expected number of participants</w:t>
      </w:r>
      <w:r w:rsidRPr="0046236F">
        <w:rPr>
          <w:rFonts w:asciiTheme="minorHAnsi" w:hAnsiTheme="minorHAnsi" w:cstheme="minorHAnsi"/>
          <w:szCs w:val="24"/>
          <w:lang w:eastAsia="ko-KR"/>
        </w:rPr>
        <w:t>,</w:t>
      </w:r>
      <w:r w:rsidRPr="0046236F">
        <w:rPr>
          <w:rFonts w:asciiTheme="minorHAnsi" w:hAnsiTheme="minorHAnsi" w:cstheme="minorHAnsi"/>
          <w:szCs w:val="24"/>
        </w:rPr>
        <w:t xml:space="preserve"> and requests from registered participants. This suggests that support is calibrated pragmatically rather than applied uniformly across all events.</w:t>
      </w:r>
      <w:r w:rsidRPr="0046236F">
        <w:rPr>
          <w:rFonts w:asciiTheme="minorHAnsi" w:hAnsiTheme="minorHAnsi" w:cstheme="minorHAnsi"/>
          <w:szCs w:val="24"/>
          <w:vertAlign w:val="superscript"/>
        </w:rPr>
        <w:footnoteReference w:id="7"/>
      </w:r>
    </w:p>
    <w:p w14:paraId="789E1F5E"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The Membership Survey shows strong support for strengthening remote and hybrid delivery modalities. A total of </w:t>
      </w:r>
      <w:r w:rsidRPr="0046236F">
        <w:rPr>
          <w:rFonts w:asciiTheme="minorHAnsi" w:hAnsiTheme="minorHAnsi" w:cstheme="minorHAnsi"/>
          <w:szCs w:val="24"/>
          <w:lang w:eastAsia="ko-KR"/>
        </w:rPr>
        <w:t xml:space="preserve">71% </w:t>
      </w:r>
      <w:r w:rsidRPr="0046236F">
        <w:rPr>
          <w:rFonts w:asciiTheme="minorHAnsi" w:hAnsiTheme="minorHAnsi" w:cstheme="minorHAnsi"/>
          <w:szCs w:val="24"/>
        </w:rPr>
        <w:t xml:space="preserve">agree that greater exploitation of remote participation and online tools would strengthen the activities of regional presence (Q5_g). This complements the findings from the </w:t>
      </w:r>
      <w:r w:rsidRPr="0046236F">
        <w:rPr>
          <w:rFonts w:asciiTheme="minorHAnsi" w:hAnsiTheme="minorHAnsi" w:cstheme="minorHAnsi"/>
          <w:szCs w:val="24"/>
          <w:lang w:eastAsia="ko-KR"/>
        </w:rPr>
        <w:t xml:space="preserve">analysis of information collected from </w:t>
      </w:r>
      <w:r w:rsidRPr="0046236F">
        <w:rPr>
          <w:rFonts w:asciiTheme="minorHAnsi" w:hAnsiTheme="minorHAnsi" w:cstheme="minorHAnsi"/>
          <w:szCs w:val="24"/>
        </w:rPr>
        <w:t>event-organizer</w:t>
      </w:r>
      <w:r w:rsidRPr="0046236F">
        <w:rPr>
          <w:rFonts w:asciiTheme="minorHAnsi" w:hAnsiTheme="minorHAnsi" w:cstheme="minorHAnsi"/>
          <w:szCs w:val="24"/>
          <w:lang w:eastAsia="ko-KR"/>
        </w:rPr>
        <w:t>s</w:t>
      </w:r>
      <w:r w:rsidRPr="0046236F">
        <w:rPr>
          <w:rFonts w:asciiTheme="minorHAnsi" w:hAnsiTheme="minorHAnsi" w:cstheme="minorHAnsi"/>
          <w:szCs w:val="24"/>
        </w:rPr>
        <w:t>, which show that remote participation is already widely used in practice. Taken together, these two sources suggest that hybrid delivery is both an established feature of event organization and an area where membership still sees room for further strengthening.</w:t>
      </w:r>
    </w:p>
    <w:p w14:paraId="65265E85"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Additional observations reported through the </w:t>
      </w:r>
      <w:r w:rsidRPr="0046236F">
        <w:rPr>
          <w:rFonts w:asciiTheme="minorHAnsi" w:eastAsia="Malgun Gothic" w:hAnsiTheme="minorHAnsi" w:cstheme="minorHAnsi"/>
          <w:szCs w:val="24"/>
          <w:lang w:eastAsia="ko-KR"/>
        </w:rPr>
        <w:t xml:space="preserve">analysis of information collected from </w:t>
      </w:r>
      <w:r w:rsidRPr="0046236F">
        <w:rPr>
          <w:rFonts w:asciiTheme="minorHAnsi" w:hAnsiTheme="minorHAnsi" w:cstheme="minorHAnsi"/>
          <w:szCs w:val="24"/>
          <w:lang w:eastAsia="en-GB"/>
        </w:rPr>
        <w:t>event-organizer</w:t>
      </w:r>
      <w:r w:rsidRPr="0046236F">
        <w:rPr>
          <w:rFonts w:asciiTheme="minorHAnsi" w:eastAsia="Malgun Gothic" w:hAnsiTheme="minorHAnsi" w:cstheme="minorHAnsi"/>
          <w:szCs w:val="24"/>
          <w:lang w:eastAsia="ko-KR"/>
        </w:rPr>
        <w:t>s</w:t>
      </w:r>
      <w:r w:rsidRPr="0046236F">
        <w:rPr>
          <w:rFonts w:asciiTheme="minorHAnsi" w:hAnsiTheme="minorHAnsi" w:cstheme="minorHAnsi"/>
          <w:szCs w:val="24"/>
          <w:lang w:eastAsia="en-GB"/>
        </w:rPr>
        <w:t xml:space="preserve"> reinforce this interpretation. Respondents emphasized the importance of budget optimization and resource management to maximize knowledge sharing and broaden participation through interpretation, webcasting and online </w:t>
      </w:r>
      <w:r w:rsidRPr="0046236F">
        <w:rPr>
          <w:rFonts w:asciiTheme="minorHAnsi" w:hAnsiTheme="minorHAnsi" w:cstheme="minorHAnsi"/>
          <w:szCs w:val="24"/>
          <w:lang w:eastAsia="ko-KR"/>
        </w:rPr>
        <w:t>participation</w:t>
      </w:r>
      <w:r w:rsidRPr="0046236F">
        <w:rPr>
          <w:rFonts w:asciiTheme="minorHAnsi" w:hAnsiTheme="minorHAnsi" w:cstheme="minorHAnsi"/>
          <w:szCs w:val="24"/>
          <w:lang w:eastAsia="en-GB"/>
        </w:rPr>
        <w:t>. They also highlighted the potential value of simplifying procedures and approvals, delegating selected event-management responsibilities to field offices, and developing guidelines, checklists and lessons learned reports to improve consistency and quality control.</w:t>
      </w:r>
      <w:r w:rsidRPr="0046236F">
        <w:rPr>
          <w:rFonts w:asciiTheme="minorHAnsi" w:eastAsia="DengXian Light" w:hAnsiTheme="minorHAnsi" w:cstheme="minorHAnsi"/>
          <w:szCs w:val="24"/>
          <w:vertAlign w:val="superscript"/>
          <w:lang w:eastAsia="en-GB"/>
        </w:rPr>
        <w:footnoteReference w:id="8"/>
      </w:r>
    </w:p>
    <w:p w14:paraId="0C04FA72" w14:textId="77777777" w:rsidR="00617FC9" w:rsidRPr="0046236F" w:rsidRDefault="00617FC9" w:rsidP="00E225A0">
      <w:pPr>
        <w:pStyle w:val="Subtitle0"/>
        <w:spacing w:before="160" w:after="16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3608B0FF"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Overall, the evidence from three distinct sources points in the same direction. The </w:t>
      </w:r>
      <w:r w:rsidRPr="0046236F">
        <w:rPr>
          <w:rFonts w:asciiTheme="minorHAnsi" w:hAnsiTheme="minorHAnsi" w:cstheme="minorHAnsi"/>
          <w:szCs w:val="24"/>
          <w:lang w:eastAsia="ko-KR"/>
        </w:rPr>
        <w:t xml:space="preserve">ITU </w:t>
      </w:r>
      <w:r w:rsidRPr="0046236F">
        <w:rPr>
          <w:rFonts w:asciiTheme="minorHAnsi" w:hAnsiTheme="minorHAnsi" w:cstheme="minorHAnsi"/>
          <w:szCs w:val="24"/>
        </w:rPr>
        <w:t>event</w:t>
      </w:r>
      <w:r w:rsidRPr="0046236F">
        <w:rPr>
          <w:rFonts w:asciiTheme="minorHAnsi" w:hAnsiTheme="minorHAnsi" w:cstheme="minorHAnsi"/>
          <w:szCs w:val="24"/>
          <w:lang w:eastAsia="ko-KR"/>
        </w:rPr>
        <w:t>s</w:t>
      </w:r>
      <w:r w:rsidRPr="0046236F">
        <w:rPr>
          <w:rFonts w:asciiTheme="minorHAnsi" w:hAnsiTheme="minorHAnsi" w:cstheme="minorHAnsi"/>
          <w:szCs w:val="24"/>
        </w:rPr>
        <w:t xml:space="preserve"> registration dashboard shows that Regional and Area Offices support a large and diverse portfolio of ITU events in the regions. The </w:t>
      </w:r>
      <w:r w:rsidRPr="0046236F">
        <w:rPr>
          <w:rFonts w:asciiTheme="minorHAnsi" w:hAnsiTheme="minorHAnsi" w:cstheme="minorHAnsi"/>
          <w:szCs w:val="24"/>
          <w:lang w:eastAsia="ko-KR"/>
        </w:rPr>
        <w:t>analysis of information collected from</w:t>
      </w:r>
      <w:r w:rsidRPr="0046236F">
        <w:rPr>
          <w:rFonts w:asciiTheme="minorHAnsi" w:hAnsiTheme="minorHAnsi" w:cstheme="minorHAnsi"/>
          <w:szCs w:val="24"/>
        </w:rPr>
        <w:t xml:space="preserve"> selected event organizers shows that these events are backed by extensive administrative, technical and logistical support, </w:t>
      </w:r>
      <w:r w:rsidRPr="0046236F">
        <w:rPr>
          <w:rFonts w:asciiTheme="minorHAnsi" w:hAnsiTheme="minorHAnsi" w:cstheme="minorHAnsi"/>
          <w:szCs w:val="24"/>
          <w:lang w:eastAsia="ko-KR"/>
        </w:rPr>
        <w:t>while</w:t>
      </w:r>
      <w:r w:rsidRPr="0046236F">
        <w:rPr>
          <w:rFonts w:asciiTheme="minorHAnsi" w:hAnsiTheme="minorHAnsi" w:cstheme="minorHAnsi"/>
          <w:szCs w:val="24"/>
        </w:rPr>
        <w:t xml:space="preserve"> financial support </w:t>
      </w:r>
      <w:r w:rsidRPr="0046236F">
        <w:rPr>
          <w:rFonts w:asciiTheme="minorHAnsi" w:hAnsiTheme="minorHAnsi" w:cstheme="minorHAnsi"/>
          <w:szCs w:val="24"/>
          <w:lang w:eastAsia="ko-KR"/>
        </w:rPr>
        <w:t xml:space="preserve">may depend on </w:t>
      </w:r>
      <w:r w:rsidRPr="0046236F">
        <w:rPr>
          <w:rFonts w:asciiTheme="minorHAnsi" w:hAnsiTheme="minorHAnsi" w:cstheme="minorHAnsi"/>
          <w:szCs w:val="24"/>
        </w:rPr>
        <w:t>available resources. The Membership Survey indicates that support for expanded use of remote and online modalities is strong. Taken together, these findings suggest that the operational framework for event delivery in the regions is well established, but that further gains could be made through stronger enabling conditions, more consistent support arrangements and continued expansion of hybrid participation models.</w:t>
      </w:r>
    </w:p>
    <w:p w14:paraId="067AE85A" w14:textId="77777777" w:rsidR="00617FC9" w:rsidRPr="0046236F" w:rsidRDefault="00617FC9" w:rsidP="00E225A0">
      <w:pPr>
        <w:pStyle w:val="Subtitle0"/>
        <w:spacing w:before="200" w:after="200"/>
        <w:jc w:val="both"/>
        <w:rPr>
          <w:rFonts w:asciiTheme="minorHAnsi" w:hAnsiTheme="minorHAnsi" w:cstheme="minorHAnsi"/>
          <w:sz w:val="24"/>
          <w:szCs w:val="24"/>
        </w:rPr>
      </w:pPr>
      <w:r w:rsidRPr="0046236F">
        <w:rPr>
          <w:rFonts w:asciiTheme="minorHAnsi" w:hAnsiTheme="minorHAnsi" w:cstheme="minorHAnsi"/>
          <w:sz w:val="24"/>
          <w:szCs w:val="24"/>
        </w:rPr>
        <w:t>Data Sources</w:t>
      </w:r>
    </w:p>
    <w:p w14:paraId="343083A3" w14:textId="77777777" w:rsidR="00617FC9" w:rsidRPr="0046236F" w:rsidRDefault="00617FC9" w:rsidP="00BC7ABA">
      <w:pPr>
        <w:pStyle w:val="ListParagraph"/>
        <w:numPr>
          <w:ilvl w:val="0"/>
          <w:numId w:val="42"/>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lang w:val="en-US" w:eastAsia="ko-KR"/>
        </w:rPr>
        <w:t>ITU events registration dashboard (internal).</w:t>
      </w:r>
    </w:p>
    <w:p w14:paraId="4436CDDF" w14:textId="77777777" w:rsidR="00617FC9" w:rsidRPr="0046236F" w:rsidRDefault="00617FC9" w:rsidP="00BC7ABA">
      <w:pPr>
        <w:pStyle w:val="ListParagraph"/>
        <w:numPr>
          <w:ilvl w:val="0"/>
          <w:numId w:val="42"/>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lang w:eastAsia="ko-KR"/>
        </w:rPr>
        <w:t>Analysis of information collected from selected staff who organized events in the regions.</w:t>
      </w:r>
    </w:p>
    <w:p w14:paraId="0584ACB2" w14:textId="77777777" w:rsidR="00617FC9" w:rsidRPr="0046236F" w:rsidRDefault="00617FC9" w:rsidP="00BC7ABA">
      <w:pPr>
        <w:pStyle w:val="ListParagraph"/>
        <w:numPr>
          <w:ilvl w:val="0"/>
          <w:numId w:val="42"/>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lang w:eastAsia="ko-KR"/>
        </w:rPr>
        <w:t xml:space="preserve">Interim report on the review of the ITU regional presence (Doc. </w:t>
      </w:r>
      <w:hyperlink r:id="rId92" w:history="1">
        <w:r w:rsidRPr="0046236F">
          <w:rPr>
            <w:rFonts w:asciiTheme="minorHAnsi" w:hAnsiTheme="minorHAnsi" w:cstheme="minorHAnsi"/>
            <w:color w:val="467886"/>
            <w:sz w:val="24"/>
            <w:szCs w:val="24"/>
            <w:u w:val="single"/>
            <w:lang w:eastAsia="ko-KR"/>
          </w:rPr>
          <w:t>CWG-FHR-22/4</w:t>
        </w:r>
      </w:hyperlink>
      <w:r w:rsidRPr="0046236F">
        <w:rPr>
          <w:rFonts w:asciiTheme="minorHAnsi" w:hAnsiTheme="minorHAnsi" w:cstheme="minorHAnsi"/>
          <w:sz w:val="24"/>
          <w:szCs w:val="24"/>
          <w:lang w:eastAsia="ko-KR"/>
        </w:rPr>
        <w:t>).</w:t>
      </w:r>
    </w:p>
    <w:p w14:paraId="4DE1E37B" w14:textId="77777777" w:rsidR="00617FC9" w:rsidRPr="0046236F" w:rsidRDefault="00617FC9" w:rsidP="00617FC9">
      <w:pPr>
        <w:pStyle w:val="KPItitle"/>
        <w:jc w:val="both"/>
        <w:rPr>
          <w:rFonts w:asciiTheme="minorHAnsi" w:hAnsiTheme="minorHAnsi" w:cstheme="minorHAnsi"/>
          <w:sz w:val="24"/>
          <w:szCs w:val="24"/>
        </w:rPr>
      </w:pPr>
      <w:bookmarkStart w:id="132" w:name="_Toc224213060"/>
      <w:bookmarkStart w:id="133" w:name="_Toc224236491"/>
      <w:r w:rsidRPr="0046236F">
        <w:rPr>
          <w:rFonts w:asciiTheme="minorHAnsi" w:hAnsiTheme="minorHAnsi" w:cstheme="minorHAnsi"/>
          <w:sz w:val="24"/>
          <w:szCs w:val="24"/>
        </w:rPr>
        <w:lastRenderedPageBreak/>
        <w:t>KPI 16 — Participation of members in regional activities, global ITU-D/ITU-T/ITU-R events and the working activities of the three Sectors (e.g. study groups, expert groups, sector advisory groups, etc.)</w:t>
      </w:r>
      <w:bookmarkEnd w:id="132"/>
      <w:bookmarkEnd w:id="133"/>
    </w:p>
    <w:p w14:paraId="6DE0D613" w14:textId="77777777" w:rsidR="00617FC9" w:rsidRPr="0046236F" w:rsidRDefault="00617FC9" w:rsidP="00617FC9">
      <w:pPr>
        <w:jc w:val="both"/>
        <w:rPr>
          <w:rFonts w:asciiTheme="minorHAnsi" w:eastAsia="Malgun Gothic" w:hAnsiTheme="minorHAnsi" w:cstheme="minorHAnsi"/>
          <w:szCs w:val="24"/>
          <w:lang w:eastAsia="ko-KR"/>
        </w:rPr>
      </w:pPr>
      <w:r w:rsidRPr="0046236F">
        <w:rPr>
          <w:rFonts w:asciiTheme="minorHAnsi" w:hAnsiTheme="minorHAnsi" w:cstheme="minorHAnsi"/>
          <w:szCs w:val="24"/>
        </w:rPr>
        <w:t xml:space="preserve">Membership perception evidence indicates strong support for participation mechanisms. A high </w:t>
      </w:r>
      <w:r w:rsidRPr="0046236F">
        <w:rPr>
          <w:rFonts w:asciiTheme="minorHAnsi" w:eastAsia="Malgun Gothic" w:hAnsiTheme="minorHAnsi" w:cstheme="minorHAnsi"/>
          <w:szCs w:val="24"/>
          <w:lang w:eastAsia="ko-KR"/>
        </w:rPr>
        <w:t>7</w:t>
      </w:r>
      <w:r w:rsidRPr="0046236F">
        <w:rPr>
          <w:rFonts w:asciiTheme="minorHAnsi" w:hAnsiTheme="minorHAnsi" w:cstheme="minorHAnsi"/>
          <w:szCs w:val="24"/>
        </w:rPr>
        <w:t>7%</w:t>
      </w:r>
      <w:r w:rsidRPr="0046236F">
        <w:rPr>
          <w:rFonts w:asciiTheme="minorHAnsi" w:eastAsia="Malgun Gothic" w:hAnsiTheme="minorHAnsi" w:cstheme="minorHAnsi"/>
          <w:szCs w:val="24"/>
          <w:lang w:eastAsia="ko-KR"/>
        </w:rPr>
        <w:t xml:space="preserve"> </w:t>
      </w:r>
      <w:r w:rsidRPr="0046236F">
        <w:rPr>
          <w:rFonts w:asciiTheme="minorHAnsi" w:hAnsiTheme="minorHAnsi" w:cstheme="minorHAnsi"/>
          <w:szCs w:val="24"/>
        </w:rPr>
        <w:t>of Membership Survey respondents agree or strongly agree that participation of members in regional activities, global ITU-D/ITU-T/ITU-R events and working activities of the three ITU Sectors enhances synergies in coordination and communication (MS Q7_b).</w:t>
      </w:r>
    </w:p>
    <w:p w14:paraId="6581826C"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Staff responses show similar alignment. A strong </w:t>
      </w:r>
      <w:r w:rsidRPr="0046236F">
        <w:rPr>
          <w:rFonts w:asciiTheme="minorHAnsi" w:eastAsia="Malgun Gothic" w:hAnsiTheme="minorHAnsi" w:cstheme="minorHAnsi"/>
          <w:szCs w:val="24"/>
          <w:lang w:eastAsia="ko-KR"/>
        </w:rPr>
        <w:t xml:space="preserve">81% </w:t>
      </w:r>
      <w:r w:rsidRPr="0046236F">
        <w:rPr>
          <w:rFonts w:asciiTheme="minorHAnsi" w:hAnsiTheme="minorHAnsi" w:cstheme="minorHAnsi"/>
          <w:szCs w:val="24"/>
        </w:rPr>
        <w:t>of Internal Assessment respondents agree or strongly agree that participation of members in regional and global activities enhances coordination and communication across the Regional and Area Offices, the General Secretariat and the three Bureaus (IA Q26_c).</w:t>
      </w:r>
    </w:p>
    <w:p w14:paraId="34755C40"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Document analysis provides quantitative evidence of participation levels between 2022 and 2025. A total of 1,067 events and 1,501 meetings were recorded across 109 host countries. Announced registrations reached 266,586, corresponding to 124,120 unique individuals. Confirmed presence amounted to 154,862 registrations, corresponding to 67,013 unique participants.</w:t>
      </w:r>
    </w:p>
    <w:p w14:paraId="1560D620"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Regional distribution </w:t>
      </w:r>
      <w:r w:rsidRPr="0046236F">
        <w:rPr>
          <w:rFonts w:asciiTheme="minorHAnsi" w:hAnsiTheme="minorHAnsi" w:cstheme="minorHAnsi"/>
          <w:szCs w:val="24"/>
          <w:lang w:eastAsia="ko-KR"/>
        </w:rPr>
        <w:t xml:space="preserve">of events </w:t>
      </w:r>
      <w:r w:rsidRPr="0046236F">
        <w:rPr>
          <w:rFonts w:asciiTheme="minorHAnsi" w:hAnsiTheme="minorHAnsi" w:cstheme="minorHAnsi"/>
          <w:szCs w:val="24"/>
        </w:rPr>
        <w:t xml:space="preserve">varies across Sectors between 2022 and 2025. In ITU-D, </w:t>
      </w:r>
      <w:r w:rsidRPr="0046236F">
        <w:rPr>
          <w:rFonts w:asciiTheme="minorHAnsi" w:eastAsia="Malgun Gothic" w:hAnsiTheme="minorHAnsi" w:cstheme="minorHAnsi"/>
          <w:szCs w:val="24"/>
          <w:lang w:eastAsia="ko-KR"/>
        </w:rPr>
        <w:t xml:space="preserve">50% </w:t>
      </w:r>
      <w:r w:rsidRPr="0046236F">
        <w:rPr>
          <w:rFonts w:asciiTheme="minorHAnsi" w:hAnsiTheme="minorHAnsi" w:cstheme="minorHAnsi"/>
          <w:szCs w:val="24"/>
        </w:rPr>
        <w:t xml:space="preserve">of all ITU-D events over the period were held in the regions, increasing from </w:t>
      </w:r>
      <w:r w:rsidRPr="0046236F">
        <w:rPr>
          <w:rFonts w:asciiTheme="minorHAnsi" w:eastAsia="Malgun Gothic" w:hAnsiTheme="minorHAnsi" w:cstheme="minorHAnsi"/>
          <w:szCs w:val="24"/>
          <w:lang w:eastAsia="ko-KR"/>
        </w:rPr>
        <w:t xml:space="preserve">29% </w:t>
      </w:r>
      <w:r w:rsidRPr="0046236F">
        <w:rPr>
          <w:rFonts w:asciiTheme="minorHAnsi" w:hAnsiTheme="minorHAnsi" w:cstheme="minorHAnsi"/>
          <w:szCs w:val="24"/>
        </w:rPr>
        <w:t xml:space="preserve">in 2022 to </w:t>
      </w:r>
      <w:r w:rsidRPr="0046236F">
        <w:rPr>
          <w:rFonts w:asciiTheme="minorHAnsi" w:eastAsia="Malgun Gothic" w:hAnsiTheme="minorHAnsi" w:cstheme="minorHAnsi"/>
          <w:szCs w:val="24"/>
          <w:lang w:eastAsia="ko-KR"/>
        </w:rPr>
        <w:t xml:space="preserve">61% </w:t>
      </w:r>
      <w:r w:rsidRPr="0046236F">
        <w:rPr>
          <w:rFonts w:asciiTheme="minorHAnsi" w:hAnsiTheme="minorHAnsi" w:cstheme="minorHAnsi"/>
          <w:szCs w:val="24"/>
        </w:rPr>
        <w:t xml:space="preserve">in 2025. In ITU-T, </w:t>
      </w:r>
      <w:r w:rsidRPr="0046236F">
        <w:rPr>
          <w:rFonts w:asciiTheme="minorHAnsi" w:eastAsia="Malgun Gothic" w:hAnsiTheme="minorHAnsi" w:cstheme="minorHAnsi"/>
          <w:szCs w:val="24"/>
          <w:lang w:eastAsia="ko-KR"/>
        </w:rPr>
        <w:t xml:space="preserve">30% </w:t>
      </w:r>
      <w:r w:rsidRPr="0046236F">
        <w:rPr>
          <w:rFonts w:asciiTheme="minorHAnsi" w:hAnsiTheme="minorHAnsi" w:cstheme="minorHAnsi"/>
          <w:szCs w:val="24"/>
        </w:rPr>
        <w:t xml:space="preserve">of all ITU-T events over the period were regional overall, with a peak of </w:t>
      </w:r>
      <w:r w:rsidRPr="0046236F">
        <w:rPr>
          <w:rFonts w:asciiTheme="minorHAnsi" w:eastAsia="Malgun Gothic" w:hAnsiTheme="minorHAnsi" w:cstheme="minorHAnsi"/>
          <w:szCs w:val="24"/>
          <w:lang w:eastAsia="ko-KR"/>
        </w:rPr>
        <w:t>44%</w:t>
      </w:r>
      <w:r w:rsidRPr="0046236F">
        <w:rPr>
          <w:rFonts w:asciiTheme="minorHAnsi" w:hAnsiTheme="minorHAnsi" w:cstheme="minorHAnsi"/>
          <w:szCs w:val="24"/>
        </w:rPr>
        <w:t xml:space="preserve"> in 2024. In ITU-R </w:t>
      </w:r>
      <w:r w:rsidRPr="0046236F">
        <w:rPr>
          <w:rFonts w:asciiTheme="minorHAnsi" w:eastAsia="Malgun Gothic" w:hAnsiTheme="minorHAnsi" w:cstheme="minorHAnsi"/>
          <w:szCs w:val="24"/>
          <w:lang w:eastAsia="ko-KR"/>
        </w:rPr>
        <w:t xml:space="preserve">22% </w:t>
      </w:r>
      <w:r w:rsidRPr="0046236F">
        <w:rPr>
          <w:rFonts w:asciiTheme="minorHAnsi" w:hAnsiTheme="minorHAnsi" w:cstheme="minorHAnsi"/>
          <w:szCs w:val="24"/>
        </w:rPr>
        <w:t>of all events over the period were held in the regions.</w:t>
      </w:r>
    </w:p>
    <w:p w14:paraId="3F03390E"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Participation spans membership categories. Presence records include 173 Member States, 293 Sector Members, 174 Academia or Associate entities</w:t>
      </w:r>
      <w:r w:rsidRPr="0046236F">
        <w:rPr>
          <w:rFonts w:asciiTheme="minorHAnsi" w:eastAsia="Malgun Gothic" w:hAnsiTheme="minorHAnsi" w:cstheme="minorHAnsi"/>
          <w:szCs w:val="24"/>
          <w:lang w:eastAsia="ko-KR"/>
        </w:rPr>
        <w:t>, and 29 UN entities</w:t>
      </w:r>
      <w:r w:rsidRPr="0046236F">
        <w:rPr>
          <w:rFonts w:asciiTheme="minorHAnsi" w:hAnsiTheme="minorHAnsi" w:cstheme="minorHAnsi"/>
          <w:szCs w:val="24"/>
        </w:rPr>
        <w:t xml:space="preserve">. </w:t>
      </w:r>
      <w:r w:rsidRPr="0046236F">
        <w:rPr>
          <w:rFonts w:asciiTheme="minorHAnsi" w:eastAsia="Malgun Gothic" w:hAnsiTheme="minorHAnsi" w:cstheme="minorHAnsi"/>
          <w:szCs w:val="24"/>
          <w:lang w:eastAsia="ko-KR"/>
        </w:rPr>
        <w:t>Least developed and d</w:t>
      </w:r>
      <w:r w:rsidRPr="0046236F">
        <w:rPr>
          <w:rFonts w:asciiTheme="minorHAnsi" w:hAnsiTheme="minorHAnsi" w:cstheme="minorHAnsi"/>
          <w:szCs w:val="24"/>
        </w:rPr>
        <w:t xml:space="preserve">eveloping countries represent </w:t>
      </w:r>
      <w:r w:rsidRPr="0046236F">
        <w:rPr>
          <w:rFonts w:asciiTheme="minorHAnsi" w:eastAsia="Malgun Gothic" w:hAnsiTheme="minorHAnsi" w:cstheme="minorHAnsi"/>
          <w:szCs w:val="24"/>
          <w:lang w:eastAsia="ko-KR"/>
        </w:rPr>
        <w:t xml:space="preserve">together 78% </w:t>
      </w:r>
      <w:r w:rsidRPr="0046236F">
        <w:rPr>
          <w:rFonts w:asciiTheme="minorHAnsi" w:hAnsiTheme="minorHAnsi" w:cstheme="minorHAnsi"/>
          <w:szCs w:val="24"/>
        </w:rPr>
        <w:t>of confirmed presence.</w:t>
      </w:r>
      <w:r w:rsidRPr="0046236F">
        <w:rPr>
          <w:rFonts w:asciiTheme="minorHAnsi" w:hAnsiTheme="minorHAnsi" w:cstheme="minorHAnsi"/>
          <w:szCs w:val="24"/>
          <w:vertAlign w:val="superscript"/>
        </w:rPr>
        <w:footnoteReference w:id="9"/>
      </w:r>
    </w:p>
    <w:p w14:paraId="79B0A719"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09076232"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combined evidence demonstrates sustained and geographically diverse participation across global and regional activities, including global ITU-D/ITU-T/ITU-R events and the working activities of the three Sectors (e.g. study groups, expert groups, sector advisory groups, etc.</w:t>
      </w:r>
      <w:r w:rsidRPr="0046236F">
        <w:rPr>
          <w:rFonts w:asciiTheme="minorHAnsi" w:hAnsiTheme="minorHAnsi" w:cstheme="minorHAnsi"/>
          <w:szCs w:val="24"/>
          <w:lang w:eastAsia="ko-KR"/>
        </w:rPr>
        <w:t>)</w:t>
      </w:r>
      <w:r w:rsidRPr="0046236F">
        <w:rPr>
          <w:rFonts w:asciiTheme="minorHAnsi" w:hAnsiTheme="minorHAnsi" w:cstheme="minorHAnsi"/>
          <w:szCs w:val="24"/>
        </w:rPr>
        <w:t>, with a</w:t>
      </w:r>
      <w:r w:rsidRPr="0046236F">
        <w:rPr>
          <w:rFonts w:asciiTheme="minorHAnsi" w:hAnsiTheme="minorHAnsi" w:cstheme="minorHAnsi"/>
          <w:szCs w:val="24"/>
          <w:lang w:eastAsia="ko-KR"/>
        </w:rPr>
        <w:t xml:space="preserve"> </w:t>
      </w:r>
      <w:r w:rsidRPr="0046236F">
        <w:rPr>
          <w:rFonts w:asciiTheme="minorHAnsi" w:hAnsiTheme="minorHAnsi" w:cstheme="minorHAnsi"/>
          <w:szCs w:val="24"/>
        </w:rPr>
        <w:t>strong perceived value of participation mechanisms, and increasing regionalization in ITU-D event delivery.</w:t>
      </w:r>
    </w:p>
    <w:p w14:paraId="7B4ED23B"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Data Sources</w:t>
      </w:r>
    </w:p>
    <w:p w14:paraId="19E418DF" w14:textId="77777777" w:rsidR="00617FC9" w:rsidRPr="0046236F" w:rsidRDefault="00617FC9" w:rsidP="00BC7ABA">
      <w:pPr>
        <w:pStyle w:val="ListParagraph"/>
        <w:numPr>
          <w:ilvl w:val="0"/>
          <w:numId w:val="43"/>
        </w:numPr>
        <w:spacing w:before="60" w:after="60"/>
        <w:contextualSpacing w:val="0"/>
        <w:rPr>
          <w:rFonts w:asciiTheme="minorHAnsi" w:hAnsiTheme="minorHAnsi" w:cstheme="minorHAnsi"/>
          <w:sz w:val="24"/>
          <w:szCs w:val="24"/>
        </w:rPr>
      </w:pPr>
      <w:r w:rsidRPr="0046236F">
        <w:rPr>
          <w:rFonts w:asciiTheme="minorHAnsi" w:hAnsiTheme="minorHAnsi" w:cstheme="minorHAnsi"/>
          <w:sz w:val="24"/>
          <w:szCs w:val="24"/>
          <w:lang w:val="en-US"/>
        </w:rPr>
        <w:t>ITU events registration dashboard (internal)</w:t>
      </w:r>
    </w:p>
    <w:p w14:paraId="5E9AEB2B" w14:textId="77777777" w:rsidR="00617FC9" w:rsidRPr="0046236F" w:rsidRDefault="00617FC9" w:rsidP="00617FC9">
      <w:pPr>
        <w:pStyle w:val="KPItitle"/>
        <w:rPr>
          <w:rFonts w:asciiTheme="minorHAnsi" w:hAnsiTheme="minorHAnsi" w:cstheme="minorHAnsi"/>
          <w:sz w:val="24"/>
          <w:szCs w:val="24"/>
        </w:rPr>
      </w:pPr>
      <w:bookmarkStart w:id="134" w:name="_Toc224213061"/>
      <w:bookmarkStart w:id="135" w:name="_Toc224236492"/>
      <w:r w:rsidRPr="0046236F">
        <w:rPr>
          <w:rFonts w:asciiTheme="minorHAnsi" w:hAnsiTheme="minorHAnsi" w:cstheme="minorHAnsi"/>
          <w:sz w:val="24"/>
          <w:szCs w:val="24"/>
        </w:rPr>
        <w:t>KPI 17 — Outcomes of activities demonstrating linkages between outputs/ outcomes and the achievement of strategic goals, objectives and progress on KPI targets by region/sub-regional area</w:t>
      </w:r>
      <w:bookmarkEnd w:id="134"/>
      <w:bookmarkEnd w:id="135"/>
    </w:p>
    <w:p w14:paraId="783CA763" w14:textId="77777777" w:rsidR="00617FC9" w:rsidRPr="0046236F" w:rsidRDefault="00617FC9" w:rsidP="00617FC9">
      <w:pPr>
        <w:rPr>
          <w:rFonts w:asciiTheme="minorHAnsi" w:eastAsia="Malgun Gothic" w:hAnsiTheme="minorHAnsi" w:cstheme="minorHAnsi"/>
          <w:szCs w:val="24"/>
          <w:lang w:eastAsia="ko-KR"/>
        </w:rPr>
      </w:pPr>
      <w:r w:rsidRPr="0046236F">
        <w:rPr>
          <w:rFonts w:asciiTheme="minorHAnsi" w:hAnsiTheme="minorHAnsi" w:cstheme="minorHAnsi"/>
          <w:szCs w:val="24"/>
        </w:rPr>
        <w:t>Document analysis demonstrates structured alignment between regional outputs and the Union’s Strategic and Financial Plans 2024–2027</w:t>
      </w:r>
      <w:r w:rsidRPr="0046236F">
        <w:rPr>
          <w:rFonts w:asciiTheme="minorHAnsi" w:eastAsia="Malgun Gothic" w:hAnsiTheme="minorHAnsi" w:cstheme="minorHAnsi"/>
          <w:szCs w:val="24"/>
          <w:lang w:eastAsia="ko-KR"/>
        </w:rPr>
        <w:t>.</w:t>
      </w:r>
    </w:p>
    <w:p w14:paraId="49EE67D7" w14:textId="77777777" w:rsidR="00617FC9" w:rsidRPr="0046236F" w:rsidRDefault="00617FC9" w:rsidP="00617FC9">
      <w:pPr>
        <w:rPr>
          <w:rFonts w:asciiTheme="minorHAnsi" w:hAnsiTheme="minorHAnsi" w:cstheme="minorHAnsi"/>
          <w:szCs w:val="24"/>
          <w:lang w:eastAsia="ko-KR"/>
        </w:rPr>
      </w:pPr>
      <w:r w:rsidRPr="0046236F">
        <w:rPr>
          <w:rFonts w:asciiTheme="minorHAnsi" w:hAnsiTheme="minorHAnsi" w:cstheme="minorHAnsi"/>
          <w:szCs w:val="24"/>
          <w:lang w:val="en-US" w:eastAsia="ko-KR"/>
        </w:rPr>
        <w:t xml:space="preserve">The Union’s Strategic and Financial Plans 2024-2027 establishes two strategic goals (Universal Connectivity and Sustainable Digital Transformation) and five thematic priorities (TP). </w:t>
      </w:r>
      <w:r w:rsidRPr="0046236F">
        <w:rPr>
          <w:rFonts w:asciiTheme="minorHAnsi" w:hAnsiTheme="minorHAnsi" w:cstheme="minorHAnsi"/>
          <w:szCs w:val="24"/>
          <w:lang w:eastAsia="ko-KR"/>
        </w:rPr>
        <w:t>The current strategic framework is illustrated below:</w:t>
      </w:r>
      <w:r w:rsidRPr="0046236F">
        <w:rPr>
          <w:rFonts w:asciiTheme="minorHAnsi" w:hAnsiTheme="minorHAnsi" w:cstheme="minorHAnsi"/>
          <w:szCs w:val="24"/>
          <w:vertAlign w:val="superscript"/>
          <w:lang w:eastAsia="ko-KR"/>
        </w:rPr>
        <w:footnoteReference w:id="10"/>
      </w:r>
    </w:p>
    <w:p w14:paraId="5A128C14" w14:textId="77777777" w:rsidR="00617FC9" w:rsidRPr="0046236F" w:rsidRDefault="00617FC9" w:rsidP="00617FC9">
      <w:pPr>
        <w:pStyle w:val="Subtitle0"/>
        <w:jc w:val="center"/>
        <w:rPr>
          <w:rFonts w:asciiTheme="minorHAnsi" w:hAnsiTheme="minorHAnsi" w:cstheme="minorHAnsi"/>
          <w:sz w:val="24"/>
          <w:szCs w:val="24"/>
        </w:rPr>
      </w:pPr>
      <w:r w:rsidRPr="0046236F">
        <w:rPr>
          <w:rFonts w:asciiTheme="minorHAnsi" w:hAnsiTheme="minorHAnsi" w:cstheme="minorHAnsi"/>
          <w:sz w:val="24"/>
          <w:szCs w:val="24"/>
        </w:rPr>
        <w:lastRenderedPageBreak/>
        <w:t>Strategic framework of the ITU Strategic Plan 2024-2027</w:t>
      </w:r>
    </w:p>
    <w:p w14:paraId="1494C777" w14:textId="77777777" w:rsidR="00617FC9" w:rsidRPr="00986D12" w:rsidRDefault="00617FC9" w:rsidP="00617FC9">
      <w:pPr>
        <w:jc w:val="center"/>
        <w:rPr>
          <w:rFonts w:asciiTheme="minorHAnsi" w:hAnsiTheme="minorHAnsi" w:cstheme="minorHAnsi"/>
          <w:lang w:eastAsia="ko-KR"/>
        </w:rPr>
      </w:pPr>
      <w:r w:rsidRPr="00986D12">
        <w:rPr>
          <w:rFonts w:asciiTheme="minorHAnsi" w:eastAsia="Batang" w:hAnsiTheme="minorHAnsi" w:cstheme="minorHAnsi"/>
          <w:noProof/>
        </w:rPr>
        <w:drawing>
          <wp:inline distT="0" distB="0" distL="0" distR="0" wp14:anchorId="62225924" wp14:editId="5AC2A167">
            <wp:extent cx="5724525" cy="3400425"/>
            <wp:effectExtent l="0" t="0" r="0" b="0"/>
            <wp:docPr id="11858401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840144" name="Picture 1185840144"/>
                    <pic:cNvPicPr/>
                  </pic:nvPicPr>
                  <pic:blipFill>
                    <a:blip r:embed="rId93">
                      <a:extLst>
                        <a:ext uri="{28A0092B-C50C-407E-A947-70E740481C1C}">
                          <a14:useLocalDpi xmlns:a14="http://schemas.microsoft.com/office/drawing/2010/main"/>
                        </a:ext>
                      </a:extLst>
                    </a:blip>
                    <a:stretch>
                      <a:fillRect/>
                    </a:stretch>
                  </pic:blipFill>
                  <pic:spPr>
                    <a:xfrm>
                      <a:off x="0" y="0"/>
                      <a:ext cx="5724525" cy="3400425"/>
                    </a:xfrm>
                    <a:prstGeom prst="rect">
                      <a:avLst/>
                    </a:prstGeom>
                  </pic:spPr>
                </pic:pic>
              </a:graphicData>
            </a:graphic>
          </wp:inline>
        </w:drawing>
      </w:r>
    </w:p>
    <w:p w14:paraId="2AB4DECC" w14:textId="77777777" w:rsidR="00617FC9" w:rsidRPr="00986D12" w:rsidRDefault="00617FC9" w:rsidP="00617FC9">
      <w:pPr>
        <w:jc w:val="both"/>
        <w:rPr>
          <w:rFonts w:asciiTheme="minorHAnsi" w:hAnsiTheme="minorHAnsi" w:cstheme="minorHAnsi"/>
          <w:lang w:eastAsia="ko-KR"/>
        </w:rPr>
      </w:pPr>
      <w:r w:rsidRPr="00986D12">
        <w:rPr>
          <w:rFonts w:asciiTheme="minorHAnsi" w:hAnsiTheme="minorHAnsi" w:cstheme="minorHAnsi"/>
          <w:lang w:eastAsia="ko-KR"/>
        </w:rPr>
        <w:t>The approach to link ITU's strategic, financial and operational plans relies on the principles of results-based management (RBM), to ensure that the strategic objectives established in the ITU Strategic and Financial Plan are properly translated into the organization’s biennial and annual operational plans and budgets, thereby ensuring that resources are applied toward impactful efforts.</w:t>
      </w:r>
      <w:r w:rsidRPr="00986D12">
        <w:rPr>
          <w:rFonts w:asciiTheme="minorHAnsi" w:hAnsiTheme="minorHAnsi" w:cstheme="minorHAnsi"/>
          <w:vertAlign w:val="superscript"/>
          <w:lang w:eastAsia="ko-KR"/>
        </w:rPr>
        <w:footnoteReference w:id="11"/>
      </w:r>
    </w:p>
    <w:p w14:paraId="77D40548" w14:textId="77777777" w:rsidR="00617FC9" w:rsidRPr="0046236F" w:rsidRDefault="00617FC9" w:rsidP="00617FC9">
      <w:pPr>
        <w:jc w:val="both"/>
        <w:rPr>
          <w:rFonts w:asciiTheme="minorHAnsi" w:hAnsiTheme="minorHAnsi" w:cstheme="minorHAnsi"/>
          <w:szCs w:val="24"/>
          <w:lang w:eastAsia="ko-KR"/>
        </w:rPr>
      </w:pPr>
      <w:r w:rsidRPr="00986D12">
        <w:rPr>
          <w:rFonts w:asciiTheme="minorHAnsi" w:hAnsiTheme="minorHAnsi" w:cstheme="minorHAnsi"/>
          <w:lang w:eastAsia="ko-KR"/>
        </w:rPr>
        <w:t xml:space="preserve">For example, the ITU-D Operational Plan is aligned with the structure of the ITU Strategic Plan 2024-2027. The structure follows the Kigali Action Plan (KAP), outlining the ITU-D Priorities and Enablers, and their corresponding outcomes, products, and services, as well as the performance indicators (KPIs) to measure their achievement level produced by the activities </w:t>
      </w:r>
      <w:r w:rsidRPr="0046236F">
        <w:rPr>
          <w:rFonts w:asciiTheme="minorHAnsi" w:hAnsiTheme="minorHAnsi" w:cstheme="minorHAnsi"/>
          <w:szCs w:val="24"/>
          <w:lang w:eastAsia="ko-KR"/>
        </w:rPr>
        <w:t>of the Sector. The KAP employs an RBM framework based on these ITU-D priorities, identified as key work areas that support the achievement of the ITU strategic plan.</w:t>
      </w:r>
      <w:r w:rsidRPr="0046236F">
        <w:rPr>
          <w:rFonts w:asciiTheme="minorHAnsi" w:hAnsiTheme="minorHAnsi" w:cstheme="minorHAnsi"/>
          <w:szCs w:val="24"/>
          <w:vertAlign w:val="superscript"/>
          <w:lang w:eastAsia="ko-KR"/>
        </w:rPr>
        <w:footnoteReference w:id="12"/>
      </w:r>
      <w:r w:rsidRPr="0046236F">
        <w:rPr>
          <w:rFonts w:asciiTheme="minorHAnsi" w:hAnsiTheme="minorHAnsi" w:cstheme="minorHAnsi"/>
          <w:szCs w:val="24"/>
          <w:lang w:eastAsia="ko-KR"/>
        </w:rPr>
        <w:t> </w:t>
      </w:r>
    </w:p>
    <w:p w14:paraId="1BDB9ECF"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Across all </w:t>
      </w:r>
      <w:proofErr w:type="gramStart"/>
      <w:r w:rsidRPr="0046236F">
        <w:rPr>
          <w:rFonts w:asciiTheme="minorHAnsi" w:hAnsiTheme="minorHAnsi" w:cstheme="minorHAnsi"/>
          <w:szCs w:val="24"/>
        </w:rPr>
        <w:t>regions</w:t>
      </w:r>
      <w:proofErr w:type="gramEnd"/>
      <w:r w:rsidRPr="0046236F">
        <w:rPr>
          <w:rFonts w:asciiTheme="minorHAnsi" w:hAnsiTheme="minorHAnsi" w:cstheme="minorHAnsi"/>
          <w:szCs w:val="24"/>
        </w:rPr>
        <w:t>, documented outputs are connected to thematic priorities and defined outcomes. Examples include:</w:t>
      </w:r>
    </w:p>
    <w:p w14:paraId="53682438" w14:textId="77777777" w:rsidR="00617FC9" w:rsidRPr="0046236F" w:rsidRDefault="00617FC9" w:rsidP="00BC7ABA">
      <w:pPr>
        <w:pStyle w:val="ListParagraph"/>
        <w:numPr>
          <w:ilvl w:val="0"/>
          <w:numId w:val="44"/>
        </w:numPr>
        <w:spacing w:before="60" w:after="60"/>
        <w:contextualSpacing w:val="0"/>
        <w:jc w:val="both"/>
        <w:rPr>
          <w:rFonts w:asciiTheme="minorHAnsi" w:hAnsiTheme="minorHAnsi" w:cstheme="minorHAnsi"/>
          <w:sz w:val="24"/>
          <w:szCs w:val="24"/>
        </w:rPr>
      </w:pPr>
      <w:r w:rsidRPr="0046236F">
        <w:rPr>
          <w:rFonts w:asciiTheme="minorHAnsi" w:eastAsia="Malgun Gothic" w:hAnsiTheme="minorHAnsi" w:cstheme="minorHAnsi"/>
          <w:sz w:val="24"/>
          <w:szCs w:val="24"/>
          <w:lang w:eastAsia="ko-KR"/>
        </w:rPr>
        <w:t xml:space="preserve">Capacity building </w:t>
      </w:r>
      <w:r w:rsidRPr="0046236F">
        <w:rPr>
          <w:rFonts w:asciiTheme="minorHAnsi" w:hAnsiTheme="minorHAnsi" w:cstheme="minorHAnsi"/>
          <w:sz w:val="24"/>
          <w:szCs w:val="24"/>
        </w:rPr>
        <w:t>on the Harmonized Calculation Method for Africa (HCM4A) in</w:t>
      </w:r>
      <w:r w:rsidRPr="0046236F">
        <w:rPr>
          <w:rFonts w:asciiTheme="minorHAnsi" w:eastAsia="Malgun Gothic" w:hAnsiTheme="minorHAnsi" w:cstheme="minorHAnsi"/>
          <w:sz w:val="24"/>
          <w:szCs w:val="24"/>
          <w:lang w:eastAsia="ko-KR"/>
        </w:rPr>
        <w:t xml:space="preserve"> Africa</w:t>
      </w:r>
      <w:r w:rsidRPr="0046236F">
        <w:rPr>
          <w:rFonts w:asciiTheme="minorHAnsi" w:hAnsiTheme="minorHAnsi" w:cstheme="minorHAnsi"/>
          <w:sz w:val="24"/>
          <w:szCs w:val="24"/>
        </w:rPr>
        <w:t xml:space="preserve"> contribute</w:t>
      </w:r>
      <w:r w:rsidRPr="0046236F">
        <w:rPr>
          <w:rFonts w:asciiTheme="minorHAnsi" w:eastAsia="Malgun Gothic" w:hAnsiTheme="minorHAnsi" w:cstheme="minorHAnsi"/>
          <w:sz w:val="24"/>
          <w:szCs w:val="24"/>
          <w:lang w:eastAsia="ko-KR"/>
        </w:rPr>
        <w:t>s</w:t>
      </w:r>
      <w:r w:rsidRPr="0046236F">
        <w:rPr>
          <w:rFonts w:asciiTheme="minorHAnsi" w:hAnsiTheme="minorHAnsi" w:cstheme="minorHAnsi"/>
          <w:sz w:val="24"/>
          <w:szCs w:val="24"/>
        </w:rPr>
        <w:t xml:space="preserve"> to efficient and equitable spectrum usage</w:t>
      </w:r>
      <w:r w:rsidRPr="0046236F">
        <w:rPr>
          <w:rFonts w:asciiTheme="minorHAnsi" w:eastAsia="Malgun Gothic" w:hAnsiTheme="minorHAnsi" w:cstheme="minorHAnsi"/>
          <w:sz w:val="24"/>
          <w:szCs w:val="24"/>
          <w:lang w:eastAsia="ko-KR"/>
        </w:rPr>
        <w:t>.</w:t>
      </w:r>
    </w:p>
    <w:p w14:paraId="5D425AF3" w14:textId="77777777" w:rsidR="00617FC9" w:rsidRPr="0046236F" w:rsidRDefault="00617FC9" w:rsidP="00BC7ABA">
      <w:pPr>
        <w:pStyle w:val="ListParagraph"/>
        <w:numPr>
          <w:ilvl w:val="0"/>
          <w:numId w:val="44"/>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 xml:space="preserve">Broadband mapping and GIS capacity-building in the Americas </w:t>
      </w:r>
      <w:r w:rsidRPr="0046236F">
        <w:rPr>
          <w:rFonts w:asciiTheme="minorHAnsi" w:eastAsia="Malgun Gothic" w:hAnsiTheme="minorHAnsi" w:cstheme="minorHAnsi"/>
          <w:sz w:val="24"/>
          <w:szCs w:val="24"/>
          <w:lang w:eastAsia="ko-KR"/>
        </w:rPr>
        <w:t xml:space="preserve">contributes to </w:t>
      </w:r>
      <w:r w:rsidRPr="0046236F">
        <w:rPr>
          <w:rFonts w:asciiTheme="minorHAnsi" w:hAnsiTheme="minorHAnsi" w:cstheme="minorHAnsi"/>
          <w:sz w:val="24"/>
          <w:szCs w:val="24"/>
        </w:rPr>
        <w:t>enhanced connectivity</w:t>
      </w:r>
      <w:r w:rsidRPr="0046236F">
        <w:rPr>
          <w:rFonts w:asciiTheme="minorHAnsi" w:eastAsia="Malgun Gothic" w:hAnsiTheme="minorHAnsi" w:cstheme="minorHAnsi"/>
          <w:sz w:val="24"/>
          <w:szCs w:val="24"/>
          <w:lang w:eastAsia="ko-KR"/>
        </w:rPr>
        <w:t xml:space="preserve"> and access</w:t>
      </w:r>
      <w:r w:rsidRPr="0046236F">
        <w:rPr>
          <w:rFonts w:asciiTheme="minorHAnsi" w:hAnsiTheme="minorHAnsi" w:cstheme="minorHAnsi"/>
          <w:sz w:val="24"/>
          <w:szCs w:val="24"/>
        </w:rPr>
        <w:t>.</w:t>
      </w:r>
    </w:p>
    <w:p w14:paraId="55A7F79D" w14:textId="77777777" w:rsidR="00617FC9" w:rsidRPr="0046236F" w:rsidRDefault="00617FC9" w:rsidP="00BC7ABA">
      <w:pPr>
        <w:pStyle w:val="ListParagraph"/>
        <w:numPr>
          <w:ilvl w:val="0"/>
          <w:numId w:val="44"/>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 xml:space="preserve">Digital Innovation Profiles in Arab States </w:t>
      </w:r>
      <w:r w:rsidRPr="0046236F">
        <w:rPr>
          <w:rFonts w:asciiTheme="minorHAnsi" w:eastAsia="Malgun Gothic" w:hAnsiTheme="minorHAnsi" w:cstheme="minorHAnsi"/>
          <w:sz w:val="24"/>
          <w:szCs w:val="24"/>
          <w:lang w:eastAsia="ko-KR"/>
        </w:rPr>
        <w:t>contribute to telecommunication/</w:t>
      </w:r>
      <w:r w:rsidRPr="0046236F">
        <w:rPr>
          <w:rFonts w:asciiTheme="minorHAnsi" w:hAnsiTheme="minorHAnsi" w:cstheme="minorHAnsi"/>
          <w:sz w:val="24"/>
          <w:szCs w:val="24"/>
        </w:rPr>
        <w:t>ICT-centric innovation.</w:t>
      </w:r>
    </w:p>
    <w:p w14:paraId="27D32BFC" w14:textId="77777777" w:rsidR="00617FC9" w:rsidRPr="0046236F" w:rsidRDefault="00617FC9" w:rsidP="00BC7ABA">
      <w:pPr>
        <w:pStyle w:val="ListParagraph"/>
        <w:numPr>
          <w:ilvl w:val="0"/>
          <w:numId w:val="44"/>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 xml:space="preserve">Digital Transformation Centres in Asia-Pacific </w:t>
      </w:r>
      <w:r w:rsidRPr="0046236F">
        <w:rPr>
          <w:rFonts w:asciiTheme="minorHAnsi" w:eastAsia="Malgun Gothic" w:hAnsiTheme="minorHAnsi" w:cstheme="minorHAnsi"/>
          <w:sz w:val="24"/>
          <w:szCs w:val="24"/>
          <w:lang w:eastAsia="ko-KR"/>
        </w:rPr>
        <w:t xml:space="preserve">contribute to development of </w:t>
      </w:r>
      <w:r w:rsidRPr="0046236F">
        <w:rPr>
          <w:rFonts w:asciiTheme="minorHAnsi" w:hAnsiTheme="minorHAnsi" w:cstheme="minorHAnsi"/>
          <w:sz w:val="24"/>
          <w:szCs w:val="24"/>
        </w:rPr>
        <w:t>digital skill</w:t>
      </w:r>
      <w:r w:rsidRPr="0046236F">
        <w:rPr>
          <w:rFonts w:asciiTheme="minorHAnsi" w:eastAsia="Malgun Gothic" w:hAnsiTheme="minorHAnsi" w:cstheme="minorHAnsi"/>
          <w:sz w:val="24"/>
          <w:szCs w:val="24"/>
          <w:lang w:eastAsia="ko-KR"/>
        </w:rPr>
        <w:t>s</w:t>
      </w:r>
      <w:r w:rsidRPr="0046236F">
        <w:rPr>
          <w:rFonts w:asciiTheme="minorHAnsi" w:hAnsiTheme="minorHAnsi" w:cstheme="minorHAnsi"/>
          <w:sz w:val="24"/>
          <w:szCs w:val="24"/>
        </w:rPr>
        <w:t>.</w:t>
      </w:r>
    </w:p>
    <w:p w14:paraId="6B4B363D" w14:textId="18A12329" w:rsidR="00617FC9" w:rsidRPr="0046236F" w:rsidRDefault="00617FC9" w:rsidP="00BC7ABA">
      <w:pPr>
        <w:pStyle w:val="ListParagraph"/>
        <w:numPr>
          <w:ilvl w:val="0"/>
          <w:numId w:val="44"/>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lang w:eastAsia="ko-KR"/>
        </w:rPr>
        <w:t>Awareness raising for adoption of Emerging Insights</w:t>
      </w:r>
      <w:r w:rsidR="003517A7">
        <w:rPr>
          <w:rFonts w:asciiTheme="minorHAnsi" w:hAnsiTheme="minorHAnsi" w:cstheme="minorHAnsi"/>
          <w:sz w:val="24"/>
          <w:szCs w:val="24"/>
          <w:lang w:eastAsia="ko-KR"/>
        </w:rPr>
        <w:t xml:space="preserve"> </w:t>
      </w:r>
      <w:r w:rsidRPr="0046236F">
        <w:rPr>
          <w:rFonts w:asciiTheme="minorHAnsi" w:hAnsiTheme="minorHAnsi" w:cstheme="minorHAnsi"/>
          <w:sz w:val="24"/>
          <w:szCs w:val="24"/>
          <w:lang w:eastAsia="ko-KR"/>
        </w:rPr>
        <w:t>and KPIs for smart cities and communities in CIS contributes to enhanced adoption and use of telecommunication/ICT applications.</w:t>
      </w:r>
    </w:p>
    <w:p w14:paraId="3F6CBE3E" w14:textId="77777777" w:rsidR="00617FC9" w:rsidRPr="0046236F" w:rsidRDefault="00617FC9" w:rsidP="00BC7ABA">
      <w:pPr>
        <w:pStyle w:val="ListParagraph"/>
        <w:numPr>
          <w:ilvl w:val="0"/>
          <w:numId w:val="44"/>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lang w:eastAsia="ko-KR"/>
        </w:rPr>
        <w:lastRenderedPageBreak/>
        <w:t>Development and implementation of National Emergency Telecommunication Plans in Europe contributes to resilient telecommunication/ICT infrastructures.</w:t>
      </w:r>
      <w:r w:rsidRPr="0046236F">
        <w:rPr>
          <w:rFonts w:asciiTheme="minorHAnsi" w:hAnsiTheme="minorHAnsi" w:cstheme="minorHAnsi"/>
          <w:sz w:val="24"/>
          <w:szCs w:val="24"/>
          <w:vertAlign w:val="superscript"/>
        </w:rPr>
        <w:footnoteReference w:id="13"/>
      </w:r>
    </w:p>
    <w:p w14:paraId="49CB2292" w14:textId="77777777" w:rsidR="00617FC9" w:rsidRPr="0046236F" w:rsidRDefault="00617FC9" w:rsidP="00617FC9">
      <w:pPr>
        <w:jc w:val="both"/>
        <w:rPr>
          <w:rFonts w:asciiTheme="minorHAnsi" w:hAnsiTheme="minorHAnsi" w:cstheme="minorHAnsi"/>
          <w:color w:val="000000"/>
          <w:szCs w:val="24"/>
        </w:rPr>
      </w:pPr>
      <w:r w:rsidRPr="0046236F">
        <w:rPr>
          <w:rFonts w:asciiTheme="minorHAnsi" w:hAnsiTheme="minorHAnsi" w:cstheme="minorHAnsi"/>
          <w:szCs w:val="24"/>
        </w:rPr>
        <w:t>These linkages illustrate translation of strategic objectives into regional outputs and measurable contributions to outcomes.</w:t>
      </w:r>
    </w:p>
    <w:p w14:paraId="10FA10E9"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Membership perception evidence supports this alignment. Seventy-one per cent of respondents agree or strongly agree that ITU is effective in delivering on its mandate and impact on the ground through Regional and Area Offices (MS Q1). Sixty per cent agree that the current level of activities is satisfactory (MS Q2).</w:t>
      </w:r>
    </w:p>
    <w:p w14:paraId="64677443"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A high </w:t>
      </w:r>
      <w:r w:rsidRPr="0046236F">
        <w:rPr>
          <w:rFonts w:asciiTheme="minorHAnsi" w:eastAsia="Malgun Gothic" w:hAnsiTheme="minorHAnsi" w:cstheme="minorHAnsi"/>
          <w:szCs w:val="24"/>
          <w:lang w:eastAsia="ko-KR"/>
        </w:rPr>
        <w:t>82%</w:t>
      </w:r>
      <w:r w:rsidRPr="0046236F" w:rsidDel="00704A49">
        <w:rPr>
          <w:rFonts w:asciiTheme="minorHAnsi" w:eastAsia="Malgun Gothic" w:hAnsiTheme="minorHAnsi" w:cstheme="minorHAnsi"/>
          <w:szCs w:val="24"/>
          <w:lang w:eastAsia="ko-KR"/>
        </w:rPr>
        <w:t xml:space="preserve"> </w:t>
      </w:r>
      <w:r w:rsidRPr="0046236F">
        <w:rPr>
          <w:rFonts w:asciiTheme="minorHAnsi" w:hAnsiTheme="minorHAnsi" w:cstheme="minorHAnsi"/>
          <w:szCs w:val="24"/>
        </w:rPr>
        <w:t xml:space="preserve">agree that membership is willing to collaborate with Regional Offices (MS Q9_a), and an equally strong </w:t>
      </w:r>
      <w:r w:rsidRPr="0046236F">
        <w:rPr>
          <w:rFonts w:asciiTheme="minorHAnsi" w:eastAsia="Malgun Gothic" w:hAnsiTheme="minorHAnsi" w:cstheme="minorHAnsi"/>
          <w:szCs w:val="24"/>
          <w:lang w:eastAsia="ko-KR"/>
        </w:rPr>
        <w:t xml:space="preserve">74% </w:t>
      </w:r>
      <w:r w:rsidRPr="0046236F">
        <w:rPr>
          <w:rFonts w:asciiTheme="minorHAnsi" w:hAnsiTheme="minorHAnsi" w:cstheme="minorHAnsi"/>
          <w:szCs w:val="24"/>
        </w:rPr>
        <w:t>confirm having consulted a Regional or Area Office in 2024–2025 (MS Q10).</w:t>
      </w:r>
    </w:p>
    <w:p w14:paraId="6FE42254"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Effectiveness ratings across specific support areas range from </w:t>
      </w:r>
      <w:r w:rsidRPr="0046236F">
        <w:rPr>
          <w:rFonts w:asciiTheme="minorHAnsi" w:eastAsia="Malgun Gothic" w:hAnsiTheme="minorHAnsi" w:cstheme="minorHAnsi"/>
          <w:szCs w:val="24"/>
          <w:lang w:eastAsia="ko-KR"/>
        </w:rPr>
        <w:t>52%</w:t>
      </w:r>
      <w:r w:rsidRPr="0046236F">
        <w:rPr>
          <w:rFonts w:asciiTheme="minorHAnsi" w:hAnsiTheme="minorHAnsi" w:cstheme="minorHAnsi"/>
          <w:szCs w:val="24"/>
        </w:rPr>
        <w:t xml:space="preserve"> agreement for strategic planning support (Q12_a) to </w:t>
      </w:r>
      <w:r w:rsidRPr="0046236F">
        <w:rPr>
          <w:rFonts w:asciiTheme="minorHAnsi" w:eastAsia="Malgun Gothic" w:hAnsiTheme="minorHAnsi" w:cstheme="minorHAnsi"/>
          <w:szCs w:val="24"/>
          <w:lang w:eastAsia="ko-KR"/>
        </w:rPr>
        <w:t xml:space="preserve">73% </w:t>
      </w:r>
      <w:r w:rsidRPr="0046236F">
        <w:rPr>
          <w:rFonts w:asciiTheme="minorHAnsi" w:hAnsiTheme="minorHAnsi" w:cstheme="minorHAnsi"/>
          <w:szCs w:val="24"/>
        </w:rPr>
        <w:t xml:space="preserve">for dissemination of information and data (Q12_c). Technical expertise receives </w:t>
      </w:r>
      <w:r w:rsidRPr="0046236F">
        <w:rPr>
          <w:rFonts w:asciiTheme="minorHAnsi" w:eastAsia="Malgun Gothic" w:hAnsiTheme="minorHAnsi" w:cstheme="minorHAnsi"/>
          <w:szCs w:val="24"/>
          <w:lang w:eastAsia="ko-KR"/>
        </w:rPr>
        <w:t xml:space="preserve">66% </w:t>
      </w:r>
      <w:r w:rsidRPr="0046236F">
        <w:rPr>
          <w:rFonts w:asciiTheme="minorHAnsi" w:hAnsiTheme="minorHAnsi" w:cstheme="minorHAnsi"/>
          <w:szCs w:val="24"/>
        </w:rPr>
        <w:t xml:space="preserve">agreement (Q12_g), and capacity-building support </w:t>
      </w:r>
      <w:r w:rsidRPr="0046236F">
        <w:rPr>
          <w:rFonts w:asciiTheme="minorHAnsi" w:eastAsia="Malgun Gothic" w:hAnsiTheme="minorHAnsi" w:cstheme="minorHAnsi"/>
          <w:szCs w:val="24"/>
          <w:lang w:eastAsia="ko-KR"/>
        </w:rPr>
        <w:t>67%</w:t>
      </w:r>
      <w:r w:rsidRPr="0046236F">
        <w:rPr>
          <w:rFonts w:asciiTheme="minorHAnsi" w:hAnsiTheme="minorHAnsi" w:cstheme="minorHAnsi"/>
          <w:szCs w:val="24"/>
        </w:rPr>
        <w:t xml:space="preserve"> (Q12_h).</w:t>
      </w:r>
    </w:p>
    <w:p w14:paraId="1E05D140"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color w:val="000000"/>
          <w:szCs w:val="24"/>
        </w:rPr>
        <w:t xml:space="preserve">Measures reinforcing transparency and activity alignment receive strong support. Seventy-two per cent agree that </w:t>
      </w:r>
      <w:r w:rsidRPr="0046236F">
        <w:rPr>
          <w:rFonts w:asciiTheme="minorHAnsi" w:hAnsiTheme="minorHAnsi" w:cstheme="minorHAnsi"/>
          <w:szCs w:val="24"/>
        </w:rPr>
        <w:t>better data on staffing, financials and activity implementation would strengthen regional presence (Q5_a). Sixty-seven per cent support increased activities in countries without ITU offices (Q5_e).</w:t>
      </w:r>
    </w:p>
    <w:p w14:paraId="60394AE8"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Broader governance and reporting mechanisms are viewed as positive, but relatively more moderately effective. Fifty-nine per cent agree that reporting to Council provides adequate information (MS Q21_a). Agreement levels are </w:t>
      </w:r>
      <w:r w:rsidRPr="0046236F">
        <w:rPr>
          <w:rFonts w:asciiTheme="minorHAnsi" w:eastAsia="Malgun Gothic" w:hAnsiTheme="minorHAnsi" w:cstheme="minorHAnsi"/>
          <w:szCs w:val="24"/>
          <w:lang w:eastAsia="ko-KR"/>
        </w:rPr>
        <w:t xml:space="preserve">58% </w:t>
      </w:r>
      <w:r w:rsidRPr="0046236F">
        <w:rPr>
          <w:rFonts w:asciiTheme="minorHAnsi" w:hAnsiTheme="minorHAnsi" w:cstheme="minorHAnsi"/>
          <w:szCs w:val="24"/>
        </w:rPr>
        <w:t xml:space="preserve">for TDAG (MS Q21_b), </w:t>
      </w:r>
      <w:r w:rsidRPr="0046236F">
        <w:rPr>
          <w:rFonts w:asciiTheme="minorHAnsi" w:eastAsia="Malgun Gothic" w:hAnsiTheme="minorHAnsi" w:cstheme="minorHAnsi"/>
          <w:szCs w:val="24"/>
          <w:lang w:eastAsia="ko-KR"/>
        </w:rPr>
        <w:t xml:space="preserve">53% </w:t>
      </w:r>
      <w:r w:rsidRPr="0046236F">
        <w:rPr>
          <w:rFonts w:asciiTheme="minorHAnsi" w:hAnsiTheme="minorHAnsi" w:cstheme="minorHAnsi"/>
          <w:szCs w:val="24"/>
        </w:rPr>
        <w:t xml:space="preserve">for TSAG (MS Q21_c), and </w:t>
      </w:r>
      <w:r w:rsidRPr="0046236F">
        <w:rPr>
          <w:rFonts w:asciiTheme="minorHAnsi" w:eastAsia="Malgun Gothic" w:hAnsiTheme="minorHAnsi" w:cstheme="minorHAnsi"/>
          <w:szCs w:val="24"/>
          <w:lang w:eastAsia="ko-KR"/>
        </w:rPr>
        <w:t xml:space="preserve">51% </w:t>
      </w:r>
      <w:r w:rsidRPr="0046236F">
        <w:rPr>
          <w:rFonts w:asciiTheme="minorHAnsi" w:hAnsiTheme="minorHAnsi" w:cstheme="minorHAnsi"/>
          <w:szCs w:val="24"/>
        </w:rPr>
        <w:t>for RAG (MS Q21_d).</w:t>
      </w:r>
    </w:p>
    <w:p w14:paraId="10FB8B23"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Sixty-seven per cent agree that evaluation of progress on relevant KPIs enhances coordination and communication (MS Q7_c)</w:t>
      </w:r>
      <w:r w:rsidRPr="0046236F">
        <w:rPr>
          <w:rFonts w:asciiTheme="minorHAnsi" w:eastAsia="Batang" w:hAnsiTheme="minorHAnsi" w:cstheme="minorHAnsi"/>
          <w:szCs w:val="24"/>
        </w:rPr>
        <w:t>.</w:t>
      </w:r>
    </w:p>
    <w:p w14:paraId="1D1583ED"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5D72D624"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Overall, documented regional outputs are aligned with thematic priorities and strategic goals under the results-based management framework. The reporting is perceived as adequate and transparent. Membership perception data broadly support the view that regional activities contribute to mandated delivery, collaboration and strategic alignment, although perceptions of adequacy vary across specific support areas.</w:t>
      </w:r>
    </w:p>
    <w:p w14:paraId="198E0204"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Data Sources</w:t>
      </w:r>
    </w:p>
    <w:p w14:paraId="77F00C3F" w14:textId="77777777" w:rsidR="00617FC9" w:rsidRPr="0046236F" w:rsidRDefault="00617FC9" w:rsidP="00BC7ABA">
      <w:pPr>
        <w:pStyle w:val="ListParagraph"/>
        <w:numPr>
          <w:ilvl w:val="0"/>
          <w:numId w:val="78"/>
        </w:numPr>
        <w:spacing w:before="60" w:after="60"/>
        <w:contextualSpacing w:val="0"/>
        <w:jc w:val="both"/>
        <w:rPr>
          <w:rFonts w:asciiTheme="minorHAnsi" w:eastAsia="Batang" w:hAnsiTheme="minorHAnsi" w:cstheme="minorHAnsi"/>
          <w:sz w:val="24"/>
          <w:szCs w:val="24"/>
        </w:rPr>
      </w:pPr>
      <w:bookmarkStart w:id="136" w:name="_Hlk223888378"/>
      <w:bookmarkStart w:id="137" w:name="_Hlk223888340"/>
      <w:r w:rsidRPr="0046236F">
        <w:rPr>
          <w:rFonts w:asciiTheme="minorHAnsi" w:hAnsiTheme="minorHAnsi" w:cstheme="minorHAnsi"/>
          <w:color w:val="000000"/>
          <w:sz w:val="24"/>
          <w:szCs w:val="24"/>
        </w:rPr>
        <w:t xml:space="preserve">Strategic and Financial Plans 2024-2027, </w:t>
      </w:r>
      <w:hyperlink r:id="rId94">
        <w:r w:rsidRPr="0046236F">
          <w:rPr>
            <w:rFonts w:asciiTheme="minorHAnsi" w:hAnsiTheme="minorHAnsi" w:cstheme="minorHAnsi"/>
            <w:color w:val="467886"/>
            <w:sz w:val="24"/>
            <w:szCs w:val="24"/>
            <w:u w:val="single"/>
          </w:rPr>
          <w:t>Resolution 71 (Rev. Bucharest, 2022)</w:t>
        </w:r>
      </w:hyperlink>
      <w:r w:rsidRPr="0046236F">
        <w:rPr>
          <w:rFonts w:asciiTheme="minorHAnsi" w:eastAsia="Batang" w:hAnsiTheme="minorHAnsi" w:cstheme="minorHAnsi"/>
          <w:sz w:val="24"/>
          <w:szCs w:val="24"/>
          <w:lang w:eastAsia="ko-KR"/>
        </w:rPr>
        <w:t xml:space="preserve"> of the Plenipotentiary Conference</w:t>
      </w:r>
      <w:bookmarkEnd w:id="136"/>
      <w:r w:rsidRPr="0046236F">
        <w:rPr>
          <w:rFonts w:asciiTheme="minorHAnsi" w:eastAsia="Batang" w:hAnsiTheme="minorHAnsi" w:cstheme="minorHAnsi"/>
          <w:sz w:val="24"/>
          <w:szCs w:val="24"/>
          <w:lang w:eastAsia="ko-KR"/>
        </w:rPr>
        <w:t>.</w:t>
      </w:r>
    </w:p>
    <w:p w14:paraId="4F12C0F3" w14:textId="77777777" w:rsidR="00617FC9" w:rsidRPr="0046236F" w:rsidRDefault="00617FC9" w:rsidP="00BC7ABA">
      <w:pPr>
        <w:pStyle w:val="ListParagraph"/>
        <w:numPr>
          <w:ilvl w:val="0"/>
          <w:numId w:val="78"/>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lang w:eastAsia="ko-KR"/>
        </w:rPr>
        <w:t xml:space="preserve">Linking ITU strategic, financial and operational plans, </w:t>
      </w:r>
      <w:hyperlink r:id="rId95" w:history="1">
        <w:r w:rsidRPr="0046236F">
          <w:rPr>
            <w:rFonts w:asciiTheme="minorHAnsi" w:hAnsiTheme="minorHAnsi" w:cstheme="minorHAnsi"/>
            <w:color w:val="467886"/>
            <w:sz w:val="24"/>
            <w:szCs w:val="24"/>
            <w:u w:val="single"/>
            <w:lang w:eastAsia="ko-KR"/>
          </w:rPr>
          <w:t>CWG-SFP-3/6</w:t>
        </w:r>
      </w:hyperlink>
    </w:p>
    <w:p w14:paraId="1D81120E" w14:textId="77777777" w:rsidR="00617FC9" w:rsidRPr="0046236F" w:rsidRDefault="00617FC9" w:rsidP="00BC7ABA">
      <w:pPr>
        <w:pStyle w:val="ListParagraph"/>
        <w:numPr>
          <w:ilvl w:val="0"/>
          <w:numId w:val="78"/>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 xml:space="preserve">Report on the implementation of the strategic plan and the activities of the Union for 2024-2025, </w:t>
      </w:r>
      <w:hyperlink r:id="rId96">
        <w:r w:rsidRPr="0046236F">
          <w:rPr>
            <w:rFonts w:asciiTheme="minorHAnsi" w:hAnsiTheme="minorHAnsi" w:cstheme="minorHAnsi"/>
            <w:color w:val="467886"/>
            <w:sz w:val="24"/>
            <w:szCs w:val="24"/>
            <w:u w:val="single"/>
          </w:rPr>
          <w:t>C25/35</w:t>
        </w:r>
      </w:hyperlink>
      <w:r w:rsidRPr="0046236F">
        <w:rPr>
          <w:rFonts w:asciiTheme="minorHAnsi" w:hAnsiTheme="minorHAnsi" w:cstheme="minorHAnsi"/>
          <w:sz w:val="24"/>
          <w:szCs w:val="24"/>
        </w:rPr>
        <w:t>.</w:t>
      </w:r>
    </w:p>
    <w:p w14:paraId="7B9E6C83" w14:textId="77777777" w:rsidR="00617FC9" w:rsidRPr="0046236F" w:rsidRDefault="00617FC9" w:rsidP="00BC7ABA">
      <w:pPr>
        <w:pStyle w:val="ListParagraph"/>
        <w:numPr>
          <w:ilvl w:val="0"/>
          <w:numId w:val="78"/>
        </w:numPr>
        <w:spacing w:before="60" w:after="60"/>
        <w:contextualSpacing w:val="0"/>
        <w:jc w:val="both"/>
        <w:rPr>
          <w:rFonts w:asciiTheme="minorHAnsi" w:eastAsia="Batang" w:hAnsiTheme="minorHAnsi" w:cstheme="minorHAnsi"/>
          <w:sz w:val="24"/>
          <w:szCs w:val="24"/>
        </w:rPr>
      </w:pPr>
      <w:r w:rsidRPr="0046236F">
        <w:rPr>
          <w:rFonts w:asciiTheme="minorHAnsi" w:eastAsia="Batang" w:hAnsiTheme="minorHAnsi" w:cstheme="minorHAnsi"/>
          <w:sz w:val="24"/>
          <w:szCs w:val="24"/>
          <w:lang w:eastAsia="ko-KR"/>
        </w:rPr>
        <w:t xml:space="preserve">Strengthening ITU's regional presence, </w:t>
      </w:r>
      <w:hyperlink r:id="rId97" w:history="1">
        <w:r w:rsidRPr="0046236F">
          <w:rPr>
            <w:rFonts w:asciiTheme="minorHAnsi" w:eastAsia="Batang" w:hAnsiTheme="minorHAnsi" w:cstheme="minorHAnsi"/>
            <w:color w:val="467886"/>
            <w:sz w:val="24"/>
            <w:szCs w:val="24"/>
            <w:u w:val="single"/>
            <w:lang w:eastAsia="ko-KR"/>
          </w:rPr>
          <w:t>C25/25</w:t>
        </w:r>
      </w:hyperlink>
      <w:r w:rsidRPr="0046236F">
        <w:rPr>
          <w:rFonts w:asciiTheme="minorHAnsi" w:hAnsiTheme="minorHAnsi" w:cstheme="minorHAnsi"/>
          <w:sz w:val="24"/>
          <w:szCs w:val="24"/>
        </w:rPr>
        <w:t>.</w:t>
      </w:r>
    </w:p>
    <w:p w14:paraId="07B5DE18" w14:textId="77777777" w:rsidR="00617FC9" w:rsidRPr="0046236F" w:rsidRDefault="00617FC9" w:rsidP="00BC7ABA">
      <w:pPr>
        <w:pStyle w:val="ListParagraph"/>
        <w:numPr>
          <w:ilvl w:val="0"/>
          <w:numId w:val="78"/>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lang w:eastAsia="ko-KR"/>
        </w:rPr>
        <w:t xml:space="preserve">Report on the implementation of the Kigali Action Plan (KAP), </w:t>
      </w:r>
      <w:hyperlink r:id="rId98" w:history="1">
        <w:r w:rsidRPr="0046236F">
          <w:rPr>
            <w:rFonts w:asciiTheme="minorHAnsi" w:hAnsiTheme="minorHAnsi" w:cstheme="minorHAnsi"/>
            <w:color w:val="467886"/>
            <w:sz w:val="24"/>
            <w:szCs w:val="24"/>
            <w:u w:val="single"/>
            <w:lang w:eastAsia="ko-KR"/>
          </w:rPr>
          <w:t>WTDC-25/2</w:t>
        </w:r>
      </w:hyperlink>
      <w:bookmarkEnd w:id="137"/>
      <w:r w:rsidRPr="0046236F">
        <w:rPr>
          <w:rFonts w:asciiTheme="minorHAnsi" w:hAnsiTheme="minorHAnsi" w:cstheme="minorHAnsi"/>
          <w:sz w:val="24"/>
          <w:szCs w:val="24"/>
        </w:rPr>
        <w:t>.</w:t>
      </w:r>
    </w:p>
    <w:p w14:paraId="671605F9" w14:textId="77777777" w:rsidR="00617FC9" w:rsidRPr="0046236F" w:rsidRDefault="00617FC9" w:rsidP="00617FC9">
      <w:pPr>
        <w:pStyle w:val="KPItitle"/>
        <w:jc w:val="both"/>
        <w:rPr>
          <w:rFonts w:asciiTheme="minorHAnsi" w:hAnsiTheme="minorHAnsi" w:cstheme="minorHAnsi"/>
          <w:sz w:val="24"/>
          <w:szCs w:val="24"/>
        </w:rPr>
      </w:pPr>
      <w:bookmarkStart w:id="138" w:name="_Toc224213062"/>
      <w:bookmarkStart w:id="139" w:name="_Toc224236493"/>
      <w:r w:rsidRPr="0046236F">
        <w:rPr>
          <w:rFonts w:asciiTheme="minorHAnsi" w:hAnsiTheme="minorHAnsi" w:cstheme="minorHAnsi"/>
          <w:sz w:val="24"/>
          <w:szCs w:val="24"/>
        </w:rPr>
        <w:lastRenderedPageBreak/>
        <w:t>KPI 18 — An evaluation of progress on relevant KPIs</w:t>
      </w:r>
      <w:bookmarkEnd w:id="138"/>
      <w:bookmarkEnd w:id="139"/>
    </w:p>
    <w:p w14:paraId="52F017B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Document analysis confirms the existence of structured planning and monitoring mechanisms linking regional activities to the Strategic and Financial Plans 2024–2027.</w:t>
      </w:r>
    </w:p>
    <w:p w14:paraId="5FC9D344"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KPIs (target indicators and outcome indicators) contained in the current Strategic and Financial Plans, are reported annually to Council.</w:t>
      </w:r>
    </w:p>
    <w:p w14:paraId="5CBABC1B"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Regional workplans and implementation reports reference thematic priorities, defined outputs and expected outcomes. Draft operational plans for 2026–2029 and previous performance reports from the three ITU Sectors also provide advancements on their KPIs:</w:t>
      </w:r>
    </w:p>
    <w:p w14:paraId="02CF40F0" w14:textId="77777777" w:rsidR="00617FC9" w:rsidRPr="0046236F" w:rsidRDefault="00617FC9" w:rsidP="00BC7ABA">
      <w:pPr>
        <w:pStyle w:val="ListParagraph"/>
        <w:numPr>
          <w:ilvl w:val="0"/>
          <w:numId w:val="45"/>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The ITU-R's progress reflects steady contributions to the management and implementation of radiocommunication priorities. There were notable advancements</w:t>
      </w:r>
      <w:r w:rsidRPr="0046236F">
        <w:rPr>
          <w:rFonts w:asciiTheme="minorHAnsi" w:hAnsiTheme="minorHAnsi" w:cstheme="minorHAnsi"/>
          <w:sz w:val="24"/>
          <w:szCs w:val="24"/>
          <w:lang w:eastAsia="ko-KR"/>
        </w:rPr>
        <w:t xml:space="preserve"> including </w:t>
      </w:r>
      <w:r w:rsidRPr="0046236F">
        <w:rPr>
          <w:rFonts w:asciiTheme="minorHAnsi" w:hAnsiTheme="minorHAnsi" w:cstheme="minorHAnsi"/>
          <w:sz w:val="24"/>
          <w:szCs w:val="24"/>
        </w:rPr>
        <w:t>in processing space and terrestrial notices, providing regulatory support, and offering technical assistance.</w:t>
      </w:r>
      <w:r w:rsidRPr="0046236F">
        <w:rPr>
          <w:rFonts w:asciiTheme="minorHAnsi" w:hAnsiTheme="minorHAnsi" w:cstheme="minorHAnsi"/>
          <w:sz w:val="24"/>
          <w:szCs w:val="24"/>
          <w:vertAlign w:val="superscript"/>
        </w:rPr>
        <w:footnoteReference w:id="14"/>
      </w:r>
    </w:p>
    <w:p w14:paraId="63FAE498" w14:textId="77777777" w:rsidR="00617FC9" w:rsidRPr="0046236F" w:rsidRDefault="00617FC9" w:rsidP="00BC7ABA">
      <w:pPr>
        <w:pStyle w:val="ListParagraph"/>
        <w:numPr>
          <w:ilvl w:val="0"/>
          <w:numId w:val="45"/>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 xml:space="preserve">ITU-T reflects steady advancements in several key areas. Efforts </w:t>
      </w:r>
      <w:r w:rsidRPr="0046236F">
        <w:rPr>
          <w:rFonts w:asciiTheme="minorHAnsi" w:hAnsiTheme="minorHAnsi" w:cstheme="minorHAnsi"/>
          <w:sz w:val="24"/>
          <w:szCs w:val="24"/>
          <w:lang w:eastAsia="ko-KR"/>
        </w:rPr>
        <w:t xml:space="preserve">including </w:t>
      </w:r>
      <w:r w:rsidRPr="0046236F">
        <w:rPr>
          <w:rFonts w:asciiTheme="minorHAnsi" w:hAnsiTheme="minorHAnsi" w:cstheme="minorHAnsi"/>
          <w:sz w:val="24"/>
          <w:szCs w:val="24"/>
        </w:rPr>
        <w:t xml:space="preserve">in enhancing global telecommunication standards, fostering collaboration, and expanding participation have shown positive outcomes. Continued attention to capacity building and effective coordination </w:t>
      </w:r>
      <w:r w:rsidRPr="0046236F">
        <w:rPr>
          <w:rFonts w:asciiTheme="minorHAnsi" w:hAnsiTheme="minorHAnsi" w:cstheme="minorHAnsi"/>
          <w:sz w:val="24"/>
          <w:szCs w:val="24"/>
          <w:lang w:eastAsia="ko-KR"/>
        </w:rPr>
        <w:t>contributed also to</w:t>
      </w:r>
      <w:r w:rsidRPr="0046236F">
        <w:rPr>
          <w:rFonts w:asciiTheme="minorHAnsi" w:hAnsiTheme="minorHAnsi" w:cstheme="minorHAnsi"/>
          <w:sz w:val="24"/>
          <w:szCs w:val="24"/>
        </w:rPr>
        <w:t xml:space="preserve"> these developments.</w:t>
      </w:r>
      <w:r w:rsidRPr="0046236F">
        <w:rPr>
          <w:rFonts w:asciiTheme="minorHAnsi" w:hAnsiTheme="minorHAnsi" w:cstheme="minorHAnsi"/>
          <w:sz w:val="24"/>
          <w:szCs w:val="24"/>
          <w:vertAlign w:val="superscript"/>
        </w:rPr>
        <w:footnoteReference w:id="15"/>
      </w:r>
    </w:p>
    <w:p w14:paraId="2B2077E9" w14:textId="77777777" w:rsidR="00617FC9" w:rsidRPr="0046236F" w:rsidRDefault="00617FC9" w:rsidP="00BC7ABA">
      <w:pPr>
        <w:pStyle w:val="ListParagraph"/>
        <w:numPr>
          <w:ilvl w:val="0"/>
          <w:numId w:val="45"/>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 xml:space="preserve">ITU-D made steady progress across multiple key performance indicators, supporting its mission to enhance global telecommunications and ICT development. Continued efforts in resource mobilization, capacity building, and strategic partnerships have contributed towards achieving </w:t>
      </w:r>
      <w:r w:rsidRPr="0046236F">
        <w:rPr>
          <w:rFonts w:asciiTheme="minorHAnsi" w:hAnsiTheme="minorHAnsi" w:cstheme="minorHAnsi"/>
          <w:sz w:val="24"/>
          <w:szCs w:val="24"/>
          <w:lang w:eastAsia="ko-KR"/>
        </w:rPr>
        <w:t xml:space="preserve">meaningful connectivity and </w:t>
      </w:r>
      <w:r w:rsidRPr="0046236F">
        <w:rPr>
          <w:rFonts w:asciiTheme="minorHAnsi" w:hAnsiTheme="minorHAnsi" w:cstheme="minorHAnsi"/>
          <w:sz w:val="24"/>
          <w:szCs w:val="24"/>
        </w:rPr>
        <w:t>sustainable digital transformation.</w:t>
      </w:r>
      <w:r w:rsidRPr="0046236F">
        <w:rPr>
          <w:rFonts w:asciiTheme="minorHAnsi" w:hAnsiTheme="minorHAnsi" w:cstheme="minorHAnsi"/>
          <w:sz w:val="24"/>
          <w:szCs w:val="24"/>
          <w:vertAlign w:val="superscript"/>
        </w:rPr>
        <w:footnoteReference w:id="16"/>
      </w:r>
    </w:p>
    <w:p w14:paraId="17A4E436"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results-based management framework provides the formal architecture through which progress against KPIs is monitored.</w:t>
      </w:r>
    </w:p>
    <w:p w14:paraId="2BD3B8CB"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Internal Assessment evidence reflects staff perception of these monitoring mechanisms. A majority i.e., </w:t>
      </w:r>
      <w:r w:rsidRPr="0046236F">
        <w:rPr>
          <w:rFonts w:asciiTheme="minorHAnsi" w:hAnsiTheme="minorHAnsi" w:cstheme="minorHAnsi"/>
          <w:szCs w:val="24"/>
          <w:lang w:eastAsia="ko-KR"/>
        </w:rPr>
        <w:t xml:space="preserve">63% </w:t>
      </w:r>
      <w:r w:rsidRPr="0046236F">
        <w:rPr>
          <w:rFonts w:asciiTheme="minorHAnsi" w:hAnsiTheme="minorHAnsi" w:cstheme="minorHAnsi"/>
          <w:szCs w:val="24"/>
        </w:rPr>
        <w:t>of staff respondents agree or strongly agree that evaluation of progress on relevant KPIs, including identification of internal and external challenges affecting implementation, enhances coordination and communication across Regional and Area Offices and the three Bureaux (IA Q26_d).</w:t>
      </w:r>
    </w:p>
    <w:p w14:paraId="7465210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Membership Survey responses provide perception-based validation of outcome delivery. Seventy-one per cent of Member State respondents agree that ITU is effective in delivering on its mandate and impact on the ground through Regional and Area Offices (MS Q1). Sixty per cent consider the current level of activities satisfactory (MS Q2).</w:t>
      </w:r>
    </w:p>
    <w:p w14:paraId="66B10F3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Collaboration indicators are strong: </w:t>
      </w:r>
      <w:r w:rsidRPr="0046236F">
        <w:rPr>
          <w:rFonts w:asciiTheme="minorHAnsi" w:hAnsiTheme="minorHAnsi" w:cstheme="minorHAnsi"/>
          <w:szCs w:val="24"/>
          <w:lang w:eastAsia="ko-KR"/>
        </w:rPr>
        <w:t xml:space="preserve">82% </w:t>
      </w:r>
      <w:r w:rsidRPr="0046236F">
        <w:rPr>
          <w:rFonts w:asciiTheme="minorHAnsi" w:hAnsiTheme="minorHAnsi" w:cstheme="minorHAnsi"/>
          <w:szCs w:val="24"/>
        </w:rPr>
        <w:t xml:space="preserve">agree that membership is willing to collaborate with Regional Offices (MS Q9_a), and </w:t>
      </w:r>
      <w:r w:rsidRPr="0046236F">
        <w:rPr>
          <w:rFonts w:asciiTheme="minorHAnsi" w:hAnsiTheme="minorHAnsi" w:cstheme="minorHAnsi"/>
          <w:szCs w:val="24"/>
          <w:lang w:eastAsia="ko-KR"/>
        </w:rPr>
        <w:t>74%</w:t>
      </w:r>
      <w:r w:rsidRPr="0046236F" w:rsidDel="00704A49">
        <w:rPr>
          <w:rFonts w:asciiTheme="minorHAnsi" w:hAnsiTheme="minorHAnsi" w:cstheme="minorHAnsi"/>
          <w:szCs w:val="24"/>
          <w:lang w:eastAsia="ko-KR"/>
        </w:rPr>
        <w:t xml:space="preserve"> </w:t>
      </w:r>
      <w:r w:rsidRPr="0046236F">
        <w:rPr>
          <w:rFonts w:asciiTheme="minorHAnsi" w:hAnsiTheme="minorHAnsi" w:cstheme="minorHAnsi"/>
          <w:szCs w:val="24"/>
        </w:rPr>
        <w:t>confirm having consulted a Regional or Area Office during 2024–2025 (MS Q10).</w:t>
      </w:r>
    </w:p>
    <w:p w14:paraId="31A18C9E"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Perceived effectiveness across specific support areas varies. Agreement levels range from </w:t>
      </w:r>
      <w:r w:rsidRPr="0046236F">
        <w:rPr>
          <w:rFonts w:asciiTheme="minorHAnsi" w:hAnsiTheme="minorHAnsi" w:cstheme="minorHAnsi"/>
          <w:szCs w:val="24"/>
          <w:lang w:eastAsia="ko-KR"/>
        </w:rPr>
        <w:t>52%</w:t>
      </w:r>
      <w:r w:rsidRPr="0046236F" w:rsidDel="00704A49">
        <w:rPr>
          <w:rFonts w:asciiTheme="minorHAnsi" w:hAnsiTheme="minorHAnsi" w:cstheme="minorHAnsi"/>
          <w:szCs w:val="24"/>
          <w:lang w:eastAsia="ko-KR"/>
        </w:rPr>
        <w:t xml:space="preserve"> </w:t>
      </w:r>
      <w:r w:rsidRPr="0046236F">
        <w:rPr>
          <w:rFonts w:asciiTheme="minorHAnsi" w:hAnsiTheme="minorHAnsi" w:cstheme="minorHAnsi"/>
          <w:szCs w:val="24"/>
        </w:rPr>
        <w:t xml:space="preserve">for support in strategic planning (MS Q12_a) to </w:t>
      </w:r>
      <w:r w:rsidRPr="0046236F">
        <w:rPr>
          <w:rFonts w:asciiTheme="minorHAnsi" w:hAnsiTheme="minorHAnsi" w:cstheme="minorHAnsi"/>
          <w:szCs w:val="24"/>
          <w:lang w:eastAsia="ko-KR"/>
        </w:rPr>
        <w:t xml:space="preserve">73% </w:t>
      </w:r>
      <w:r w:rsidRPr="0046236F">
        <w:rPr>
          <w:rFonts w:asciiTheme="minorHAnsi" w:hAnsiTheme="minorHAnsi" w:cstheme="minorHAnsi"/>
          <w:szCs w:val="24"/>
        </w:rPr>
        <w:t xml:space="preserve">for dissemination of information and data (MS Q12_c). Technical expertise receives </w:t>
      </w:r>
      <w:r w:rsidRPr="0046236F">
        <w:rPr>
          <w:rFonts w:asciiTheme="minorHAnsi" w:hAnsiTheme="minorHAnsi" w:cstheme="minorHAnsi"/>
          <w:szCs w:val="24"/>
          <w:lang w:eastAsia="ko-KR"/>
        </w:rPr>
        <w:t xml:space="preserve">66% </w:t>
      </w:r>
      <w:r w:rsidRPr="0046236F">
        <w:rPr>
          <w:rFonts w:asciiTheme="minorHAnsi" w:hAnsiTheme="minorHAnsi" w:cstheme="minorHAnsi"/>
          <w:szCs w:val="24"/>
        </w:rPr>
        <w:t xml:space="preserve">agreement (MS Q12_g), and capacity-building support </w:t>
      </w:r>
      <w:r w:rsidRPr="0046236F">
        <w:rPr>
          <w:rFonts w:asciiTheme="minorHAnsi" w:hAnsiTheme="minorHAnsi" w:cstheme="minorHAnsi"/>
          <w:szCs w:val="24"/>
          <w:lang w:eastAsia="ko-KR"/>
        </w:rPr>
        <w:t xml:space="preserve">67% </w:t>
      </w:r>
      <w:r w:rsidRPr="0046236F">
        <w:rPr>
          <w:rFonts w:asciiTheme="minorHAnsi" w:hAnsiTheme="minorHAnsi" w:cstheme="minorHAnsi"/>
          <w:szCs w:val="24"/>
        </w:rPr>
        <w:t>(MS Q12_h).</w:t>
      </w:r>
    </w:p>
    <w:p w14:paraId="1D9C68DC"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lastRenderedPageBreak/>
        <w:t>Seventy-two per cent agree that improved transparency on staffing, financials and activity implementation would strengthen regional presence (MS Q5_a), suggesting demand for strengthened performance reporting.</w:t>
      </w:r>
    </w:p>
    <w:p w14:paraId="146F8323"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15068692"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Overall, documentation and surveys confirm that formal mechanisms for KPI tracking, and results monitoring are in place</w:t>
      </w:r>
      <w:r w:rsidRPr="0046236F">
        <w:rPr>
          <w:rFonts w:asciiTheme="minorHAnsi" w:hAnsiTheme="minorHAnsi" w:cstheme="minorHAnsi"/>
          <w:szCs w:val="24"/>
          <w:lang w:eastAsia="ko-KR"/>
        </w:rPr>
        <w:t xml:space="preserve"> in the three ITU Sectors</w:t>
      </w:r>
      <w:r w:rsidRPr="0046236F">
        <w:rPr>
          <w:rFonts w:asciiTheme="minorHAnsi" w:hAnsiTheme="minorHAnsi" w:cstheme="minorHAnsi"/>
          <w:szCs w:val="24"/>
        </w:rPr>
        <w:t>. Staff perception indicates that these mechanisms enhance coordination, while Member State responses suggest positive assessment of outcome delivery, alongside calls for increased transparency and strengthened reporting on implementation progress.</w:t>
      </w:r>
    </w:p>
    <w:p w14:paraId="36655300"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Data Sources</w:t>
      </w:r>
    </w:p>
    <w:p w14:paraId="682DF72C" w14:textId="77777777" w:rsidR="00617FC9" w:rsidRPr="0046236F" w:rsidRDefault="00617FC9" w:rsidP="00BC7ABA">
      <w:pPr>
        <w:pStyle w:val="ListParagraph"/>
        <w:numPr>
          <w:ilvl w:val="0"/>
          <w:numId w:val="47"/>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lang w:eastAsia="ko-KR"/>
        </w:rPr>
        <w:t xml:space="preserve">Report on the implementation of the strategic plan and the activities of the Union for 2024-2025, </w:t>
      </w:r>
      <w:hyperlink r:id="rId99">
        <w:r w:rsidRPr="0046236F">
          <w:rPr>
            <w:rFonts w:asciiTheme="minorHAnsi" w:hAnsiTheme="minorHAnsi" w:cstheme="minorHAnsi"/>
            <w:color w:val="467886"/>
            <w:sz w:val="24"/>
            <w:szCs w:val="24"/>
            <w:u w:val="single"/>
          </w:rPr>
          <w:t>C25/35</w:t>
        </w:r>
      </w:hyperlink>
      <w:r w:rsidRPr="0046236F">
        <w:rPr>
          <w:rFonts w:asciiTheme="minorHAnsi" w:hAnsiTheme="minorHAnsi" w:cstheme="minorHAnsi"/>
          <w:sz w:val="24"/>
          <w:szCs w:val="24"/>
        </w:rPr>
        <w:t>.</w:t>
      </w:r>
    </w:p>
    <w:p w14:paraId="46703A76" w14:textId="77777777" w:rsidR="00617FC9" w:rsidRPr="0046236F" w:rsidRDefault="00617FC9" w:rsidP="00BC7ABA">
      <w:pPr>
        <w:pStyle w:val="ListParagraph"/>
        <w:numPr>
          <w:ilvl w:val="0"/>
          <w:numId w:val="47"/>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 xml:space="preserve">ITU-R </w:t>
      </w:r>
      <w:r w:rsidRPr="0046236F">
        <w:rPr>
          <w:rFonts w:asciiTheme="minorHAnsi" w:hAnsiTheme="minorHAnsi" w:cstheme="minorHAnsi"/>
          <w:sz w:val="24"/>
          <w:szCs w:val="24"/>
          <w:lang w:eastAsia="ko-KR"/>
        </w:rPr>
        <w:t>d</w:t>
      </w:r>
      <w:r w:rsidRPr="0046236F">
        <w:rPr>
          <w:rFonts w:asciiTheme="minorHAnsi" w:hAnsiTheme="minorHAnsi" w:cstheme="minorHAnsi"/>
          <w:sz w:val="24"/>
          <w:szCs w:val="24"/>
        </w:rPr>
        <w:t xml:space="preserve">raft operational </w:t>
      </w:r>
      <w:r w:rsidRPr="0046236F">
        <w:rPr>
          <w:rFonts w:asciiTheme="minorHAnsi" w:hAnsiTheme="minorHAnsi" w:cstheme="minorHAnsi"/>
          <w:sz w:val="24"/>
          <w:szCs w:val="24"/>
          <w:lang w:eastAsia="ko-KR"/>
        </w:rPr>
        <w:t>p</w:t>
      </w:r>
      <w:r w:rsidRPr="0046236F">
        <w:rPr>
          <w:rFonts w:asciiTheme="minorHAnsi" w:hAnsiTheme="minorHAnsi" w:cstheme="minorHAnsi"/>
          <w:sz w:val="24"/>
          <w:szCs w:val="24"/>
        </w:rPr>
        <w:t xml:space="preserve">lan for 2026-2029 and 2024 performance report, </w:t>
      </w:r>
      <w:hyperlink r:id="rId100">
        <w:r w:rsidRPr="0046236F">
          <w:rPr>
            <w:rFonts w:asciiTheme="minorHAnsi" w:hAnsiTheme="minorHAnsi" w:cstheme="minorHAnsi"/>
            <w:color w:val="467886"/>
            <w:sz w:val="24"/>
            <w:szCs w:val="24"/>
            <w:u w:val="single"/>
            <w:lang w:eastAsia="ko-KR"/>
          </w:rPr>
          <w:t>RAG/37</w:t>
        </w:r>
      </w:hyperlink>
      <w:r w:rsidRPr="0046236F">
        <w:rPr>
          <w:rFonts w:asciiTheme="minorHAnsi" w:hAnsiTheme="minorHAnsi" w:cstheme="minorHAnsi"/>
          <w:sz w:val="24"/>
          <w:szCs w:val="24"/>
        </w:rPr>
        <w:t>.</w:t>
      </w:r>
    </w:p>
    <w:p w14:paraId="5A7F94C9" w14:textId="77777777" w:rsidR="00617FC9" w:rsidRPr="0046236F" w:rsidRDefault="00617FC9" w:rsidP="00BC7ABA">
      <w:pPr>
        <w:pStyle w:val="ListParagraph"/>
        <w:numPr>
          <w:ilvl w:val="0"/>
          <w:numId w:val="47"/>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ITU-</w:t>
      </w:r>
      <w:r w:rsidRPr="0046236F">
        <w:rPr>
          <w:rFonts w:asciiTheme="minorHAnsi" w:hAnsiTheme="minorHAnsi" w:cstheme="minorHAnsi"/>
          <w:sz w:val="24"/>
          <w:szCs w:val="24"/>
          <w:lang w:eastAsia="ko-KR"/>
        </w:rPr>
        <w:t>T</w:t>
      </w:r>
      <w:r w:rsidRPr="0046236F">
        <w:rPr>
          <w:rFonts w:asciiTheme="minorHAnsi" w:hAnsiTheme="minorHAnsi" w:cstheme="minorHAnsi"/>
          <w:sz w:val="24"/>
          <w:szCs w:val="24"/>
        </w:rPr>
        <w:t xml:space="preserve"> </w:t>
      </w:r>
      <w:r w:rsidRPr="0046236F">
        <w:rPr>
          <w:rFonts w:asciiTheme="minorHAnsi" w:hAnsiTheme="minorHAnsi" w:cstheme="minorHAnsi"/>
          <w:sz w:val="24"/>
          <w:szCs w:val="24"/>
          <w:lang w:eastAsia="ko-KR"/>
        </w:rPr>
        <w:t>d</w:t>
      </w:r>
      <w:r w:rsidRPr="0046236F">
        <w:rPr>
          <w:rFonts w:asciiTheme="minorHAnsi" w:hAnsiTheme="minorHAnsi" w:cstheme="minorHAnsi"/>
          <w:sz w:val="24"/>
          <w:szCs w:val="24"/>
        </w:rPr>
        <w:t xml:space="preserve">raft operational </w:t>
      </w:r>
      <w:r w:rsidRPr="0046236F">
        <w:rPr>
          <w:rFonts w:asciiTheme="minorHAnsi" w:hAnsiTheme="minorHAnsi" w:cstheme="minorHAnsi"/>
          <w:sz w:val="24"/>
          <w:szCs w:val="24"/>
          <w:lang w:eastAsia="ko-KR"/>
        </w:rPr>
        <w:t>p</w:t>
      </w:r>
      <w:r w:rsidRPr="0046236F">
        <w:rPr>
          <w:rFonts w:asciiTheme="minorHAnsi" w:hAnsiTheme="minorHAnsi" w:cstheme="minorHAnsi"/>
          <w:sz w:val="24"/>
          <w:szCs w:val="24"/>
        </w:rPr>
        <w:t xml:space="preserve">lan for 2026-2029 and 2024 performance report, </w:t>
      </w:r>
      <w:hyperlink r:id="rId101">
        <w:r w:rsidRPr="0046236F">
          <w:rPr>
            <w:rFonts w:asciiTheme="minorHAnsi" w:hAnsiTheme="minorHAnsi" w:cstheme="minorHAnsi"/>
            <w:color w:val="467886"/>
            <w:sz w:val="24"/>
            <w:szCs w:val="24"/>
            <w:u w:val="single"/>
            <w:lang w:eastAsia="ko-KR"/>
          </w:rPr>
          <w:t>TSAG-TD137</w:t>
        </w:r>
      </w:hyperlink>
      <w:r w:rsidRPr="0046236F">
        <w:rPr>
          <w:rFonts w:asciiTheme="minorHAnsi" w:hAnsiTheme="minorHAnsi" w:cstheme="minorHAnsi"/>
          <w:sz w:val="24"/>
          <w:szCs w:val="24"/>
        </w:rPr>
        <w:t>.</w:t>
      </w:r>
    </w:p>
    <w:p w14:paraId="6B7BCDA4" w14:textId="77777777" w:rsidR="00617FC9" w:rsidRPr="0046236F" w:rsidRDefault="00617FC9" w:rsidP="00BC7ABA">
      <w:pPr>
        <w:pStyle w:val="ListParagraph"/>
        <w:numPr>
          <w:ilvl w:val="0"/>
          <w:numId w:val="47"/>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 xml:space="preserve">ITU-D draft operational plan for 2026-2029 and 2024 performance report, </w:t>
      </w:r>
      <w:hyperlink r:id="rId102">
        <w:r w:rsidRPr="0046236F">
          <w:rPr>
            <w:rFonts w:asciiTheme="minorHAnsi" w:hAnsiTheme="minorHAnsi" w:cstheme="minorHAnsi"/>
            <w:color w:val="467886"/>
            <w:sz w:val="24"/>
            <w:szCs w:val="24"/>
            <w:u w:val="single"/>
          </w:rPr>
          <w:t>TDAG-25/40</w:t>
        </w:r>
      </w:hyperlink>
      <w:r w:rsidRPr="0046236F">
        <w:rPr>
          <w:rFonts w:asciiTheme="minorHAnsi" w:hAnsiTheme="minorHAnsi" w:cstheme="minorHAnsi"/>
          <w:sz w:val="24"/>
          <w:szCs w:val="24"/>
        </w:rPr>
        <w:t>.</w:t>
      </w:r>
    </w:p>
    <w:p w14:paraId="078CF8A1" w14:textId="77777777" w:rsidR="00617FC9" w:rsidRPr="0046236F" w:rsidRDefault="00617FC9" w:rsidP="00617FC9">
      <w:pPr>
        <w:pStyle w:val="KPItitle"/>
        <w:jc w:val="both"/>
        <w:rPr>
          <w:rFonts w:asciiTheme="minorHAnsi" w:hAnsiTheme="minorHAnsi" w:cstheme="minorHAnsi"/>
          <w:sz w:val="24"/>
          <w:szCs w:val="24"/>
        </w:rPr>
      </w:pPr>
      <w:bookmarkStart w:id="140" w:name="_Toc224213063"/>
      <w:bookmarkStart w:id="141" w:name="_Toc224236494"/>
      <w:r w:rsidRPr="0046236F">
        <w:rPr>
          <w:rFonts w:asciiTheme="minorHAnsi" w:hAnsiTheme="minorHAnsi" w:cstheme="minorHAnsi"/>
          <w:sz w:val="24"/>
          <w:szCs w:val="24"/>
        </w:rPr>
        <w:t>KPI 19 — An indication of internal and external issues and challenges associated with implementation that impact the ability/feasibility of the regional presence achieving strategic objectives and KPI targets</w:t>
      </w:r>
      <w:bookmarkEnd w:id="140"/>
      <w:bookmarkEnd w:id="141"/>
    </w:p>
    <w:p w14:paraId="462AE944"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Survey responses indicate that mechanisms for identifying implementation challenges and integrating staff perspectives into KPI development are generally viewed as contributing to improved coordination and planning. Sixty-nine per cent</w:t>
      </w:r>
      <w:r w:rsidRPr="0046236F" w:rsidDel="00704A49">
        <w:rPr>
          <w:rFonts w:asciiTheme="minorHAnsi" w:hAnsiTheme="minorHAnsi" w:cstheme="minorHAnsi"/>
          <w:szCs w:val="24"/>
        </w:rPr>
        <w:t xml:space="preserve"> </w:t>
      </w:r>
      <w:r w:rsidRPr="0046236F">
        <w:rPr>
          <w:rFonts w:asciiTheme="minorHAnsi" w:hAnsiTheme="minorHAnsi" w:cstheme="minorHAnsi"/>
          <w:szCs w:val="24"/>
        </w:rPr>
        <w:t>of Internal Assessment respondents agree or strongly agree that staff engagement in the development of Telecommunication Development Advisory Group (TDAG) KPIs enhances synergies in coordination and communication of activities, projects and initiatives (Q26_a). This result suggests that staff participation in KPI formulation is perceived as an important mechanism for ensuring that performance indicators reflect operational realities and implementation constraints.</w:t>
      </w:r>
    </w:p>
    <w:p w14:paraId="7743B90E"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Perceptions are more mixed regarding the identification and communication of implementation challenges. While a substantial share of respondents recognizes the value of mechanisms designed to capture internal and external challenges affecting implementation (Q26_d), responses indicate that such issues are not always consistently surfaced or systematically integrated into planning processes. Open-ended responses from the Internal Assessment highlight several recurring themes in this regard, including challenges related to recruitment processes, administrative procedures affecting project implementation, limitations in financial visibility at the regional level, and coordination challenges between headquarters and regional offices.</w:t>
      </w:r>
    </w:p>
    <w:p w14:paraId="7C1F48B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Membership Survey open-ended responses reinforce the importance of identifying operational challenges early in the implementation cycle. Respondents emphasize the need for clearer communication on priorities, stronger coordination between regional and headquarters teams, and improved alignment between projects and evolving regional needs. Several responses also underline the importance of sustained engagement with national authorities and regional organizations to ensure that implementation challenges are identified early and addressed through adaptive programme management.</w:t>
      </w:r>
    </w:p>
    <w:p w14:paraId="57368833"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lastRenderedPageBreak/>
        <w:t>Insights from interviews with Regional Telecommunication Organizations (RTOs) further highlight structural and operational challenges affecting implementation. Interviewees emphasize the importance of maintaining continuous dialogue with regional stakeholders to capture evolving priorities and adjust initiatives during the implementation cycle. RTO representatives also underline the role of regional offices as “listening posts” capable of identifying emerging regional issues and translating them into programmatic adjustments, particularly in a context where technological and policy developments evolve rapidly.</w:t>
      </w:r>
    </w:p>
    <w:p w14:paraId="6213EB03"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312BADCE"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Taken together, the evidence indicates that mechanisms exist to capture both internal and external challenges affecting implementation, and that staff engagement in KPI development contributes to improved coordination and planning. At the same time, survey responses and stakeholder feedback suggest that challenges related to administrative procedures, recruitment timelines, coordination across organizational units, and evolving regional priorities continue to affect implementation dynamics. The findings further suggest that strengthening mechanisms to systematically capture and communicate these challenges can further support the ability of regional presence to achieve strategic objectives and KPI targets.</w:t>
      </w:r>
    </w:p>
    <w:p w14:paraId="73B777E6" w14:textId="77777777" w:rsidR="00617FC9" w:rsidRPr="0046236F" w:rsidRDefault="00617FC9" w:rsidP="00617FC9">
      <w:pPr>
        <w:pStyle w:val="KPItitle"/>
        <w:jc w:val="both"/>
        <w:rPr>
          <w:rFonts w:asciiTheme="minorHAnsi" w:hAnsiTheme="minorHAnsi" w:cstheme="minorHAnsi"/>
          <w:sz w:val="24"/>
          <w:szCs w:val="24"/>
        </w:rPr>
      </w:pPr>
      <w:bookmarkStart w:id="142" w:name="_Toc224213064"/>
      <w:bookmarkStart w:id="143" w:name="_Toc224236495"/>
      <w:r w:rsidRPr="0046236F">
        <w:rPr>
          <w:rFonts w:asciiTheme="minorHAnsi" w:hAnsiTheme="minorHAnsi" w:cstheme="minorHAnsi"/>
          <w:sz w:val="24"/>
          <w:szCs w:val="24"/>
        </w:rPr>
        <w:t>KPI 20 — If relevant, recommendations on new KPIs that should be used to measure progress with achieving strategic goals and objectives</w:t>
      </w:r>
      <w:bookmarkEnd w:id="142"/>
      <w:bookmarkEnd w:id="143"/>
    </w:p>
    <w:p w14:paraId="607F9802"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Document analysis indicates that the current results-based management framework provides defined outputs, outcomes and KPI tracking mechanisms aligned with the Strategic and Financial Plans. Existing monitoring structures link regional activities to thematic priorities and measurable objectives.</w:t>
      </w:r>
    </w:p>
    <w:p w14:paraId="19F75C78" w14:textId="77777777" w:rsidR="00617FC9" w:rsidRPr="0046236F" w:rsidRDefault="00617FC9" w:rsidP="00617FC9">
      <w:pPr>
        <w:jc w:val="both"/>
        <w:rPr>
          <w:rFonts w:asciiTheme="minorHAnsi" w:hAnsiTheme="minorHAnsi" w:cstheme="minorHAnsi"/>
          <w:szCs w:val="24"/>
          <w:lang w:eastAsia="ko-KR"/>
        </w:rPr>
      </w:pPr>
      <w:r w:rsidRPr="0046236F">
        <w:rPr>
          <w:rFonts w:asciiTheme="minorHAnsi" w:hAnsiTheme="minorHAnsi" w:cstheme="minorHAnsi"/>
          <w:szCs w:val="24"/>
        </w:rPr>
        <w:t>A</w:t>
      </w:r>
      <w:r w:rsidRPr="0046236F">
        <w:rPr>
          <w:rFonts w:asciiTheme="minorHAnsi" w:hAnsiTheme="minorHAnsi" w:cstheme="minorHAnsi"/>
          <w:szCs w:val="24"/>
          <w:lang w:eastAsia="ko-KR"/>
        </w:rPr>
        <w:t xml:space="preserve"> list of initial</w:t>
      </w:r>
      <w:r w:rsidRPr="0046236F">
        <w:rPr>
          <w:rFonts w:asciiTheme="minorHAnsi" w:hAnsiTheme="minorHAnsi" w:cstheme="minorHAnsi"/>
          <w:szCs w:val="24"/>
        </w:rPr>
        <w:t xml:space="preserve"> draft </w:t>
      </w:r>
      <w:r w:rsidRPr="0046236F">
        <w:rPr>
          <w:rFonts w:asciiTheme="minorHAnsi" w:hAnsiTheme="minorHAnsi" w:cstheme="minorHAnsi"/>
          <w:szCs w:val="24"/>
          <w:lang w:eastAsia="ko-KR"/>
        </w:rPr>
        <w:t>performance</w:t>
      </w:r>
      <w:r w:rsidRPr="0046236F">
        <w:rPr>
          <w:rFonts w:asciiTheme="minorHAnsi" w:hAnsiTheme="minorHAnsi" w:cstheme="minorHAnsi"/>
          <w:szCs w:val="24"/>
        </w:rPr>
        <w:t xml:space="preserve"> indicators</w:t>
      </w:r>
      <w:r w:rsidRPr="0046236F">
        <w:rPr>
          <w:rFonts w:asciiTheme="minorHAnsi" w:hAnsiTheme="minorHAnsi" w:cstheme="minorHAnsi"/>
          <w:szCs w:val="24"/>
          <w:lang w:eastAsia="ko-KR"/>
        </w:rPr>
        <w:t xml:space="preserve"> for the Strategic Plan 2028-2031 </w:t>
      </w:r>
      <w:r w:rsidRPr="0046236F">
        <w:rPr>
          <w:rFonts w:asciiTheme="minorHAnsi" w:hAnsiTheme="minorHAnsi" w:cstheme="minorHAnsi"/>
          <w:szCs w:val="24"/>
        </w:rPr>
        <w:t>was</w:t>
      </w:r>
      <w:r w:rsidRPr="0046236F">
        <w:rPr>
          <w:rFonts w:asciiTheme="minorHAnsi" w:hAnsiTheme="minorHAnsi" w:cstheme="minorHAnsi"/>
          <w:szCs w:val="24"/>
          <w:lang w:eastAsia="ko-KR"/>
        </w:rPr>
        <w:t xml:space="preserve"> </w:t>
      </w:r>
      <w:r w:rsidRPr="0046236F">
        <w:rPr>
          <w:rFonts w:asciiTheme="minorHAnsi" w:hAnsiTheme="minorHAnsi" w:cstheme="minorHAnsi"/>
          <w:szCs w:val="24"/>
        </w:rPr>
        <w:t>submitted</w:t>
      </w:r>
      <w:r w:rsidRPr="0046236F">
        <w:rPr>
          <w:rFonts w:asciiTheme="minorHAnsi" w:hAnsiTheme="minorHAnsi" w:cstheme="minorHAnsi"/>
          <w:szCs w:val="24"/>
          <w:lang w:eastAsia="ko-KR"/>
        </w:rPr>
        <w:t xml:space="preserve"> </w:t>
      </w:r>
      <w:r w:rsidRPr="0046236F">
        <w:rPr>
          <w:rFonts w:asciiTheme="minorHAnsi" w:hAnsiTheme="minorHAnsi" w:cstheme="minorHAnsi"/>
          <w:szCs w:val="24"/>
        </w:rPr>
        <w:t>for review</w:t>
      </w:r>
      <w:r w:rsidRPr="0046236F">
        <w:rPr>
          <w:rFonts w:asciiTheme="minorHAnsi" w:hAnsiTheme="minorHAnsi" w:cstheme="minorHAnsi"/>
          <w:szCs w:val="24"/>
          <w:lang w:eastAsia="ko-KR"/>
        </w:rPr>
        <w:t xml:space="preserve"> by the membership</w:t>
      </w:r>
      <w:r w:rsidRPr="0046236F">
        <w:rPr>
          <w:rFonts w:asciiTheme="minorHAnsi" w:hAnsiTheme="minorHAnsi" w:cstheme="minorHAnsi"/>
          <w:szCs w:val="24"/>
        </w:rPr>
        <w:t>.</w:t>
      </w:r>
      <w:r w:rsidRPr="0046236F">
        <w:rPr>
          <w:rFonts w:asciiTheme="minorHAnsi" w:hAnsiTheme="minorHAnsi" w:cstheme="minorHAnsi"/>
          <w:szCs w:val="24"/>
          <w:lang w:eastAsia="ko-KR"/>
        </w:rPr>
        <w:t xml:space="preserve"> </w:t>
      </w:r>
      <w:r w:rsidRPr="0046236F">
        <w:rPr>
          <w:rFonts w:asciiTheme="minorHAnsi" w:hAnsiTheme="minorHAnsi" w:cstheme="minorHAnsi"/>
          <w:szCs w:val="24"/>
        </w:rPr>
        <w:t>The indicators span:</w:t>
      </w:r>
    </w:p>
    <w:p w14:paraId="41A335F8" w14:textId="77777777" w:rsidR="00617FC9" w:rsidRPr="0046236F" w:rsidRDefault="00617FC9" w:rsidP="00BC7ABA">
      <w:pPr>
        <w:pStyle w:val="ListParagraph"/>
        <w:numPr>
          <w:ilvl w:val="0"/>
          <w:numId w:val="45"/>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 xml:space="preserve">Impact-level KPIs, </w:t>
      </w:r>
      <w:r w:rsidRPr="0046236F">
        <w:rPr>
          <w:rFonts w:asciiTheme="minorHAnsi" w:hAnsiTheme="minorHAnsi" w:cstheme="minorHAnsi"/>
          <w:sz w:val="24"/>
          <w:szCs w:val="24"/>
          <w:lang w:eastAsia="ko-KR"/>
        </w:rPr>
        <w:t xml:space="preserve">related to and including </w:t>
      </w:r>
      <w:r w:rsidRPr="0046236F">
        <w:rPr>
          <w:rFonts w:asciiTheme="minorHAnsi" w:hAnsiTheme="minorHAnsi" w:cstheme="minorHAnsi"/>
          <w:sz w:val="24"/>
          <w:szCs w:val="24"/>
        </w:rPr>
        <w:t xml:space="preserve">broadband coverage, </w:t>
      </w:r>
      <w:r w:rsidRPr="0046236F">
        <w:rPr>
          <w:rFonts w:asciiTheme="minorHAnsi" w:hAnsiTheme="minorHAnsi" w:cstheme="minorHAnsi"/>
          <w:sz w:val="24"/>
          <w:szCs w:val="24"/>
          <w:lang w:eastAsia="ko-KR"/>
        </w:rPr>
        <w:t xml:space="preserve">device </w:t>
      </w:r>
      <w:r w:rsidRPr="0046236F">
        <w:rPr>
          <w:rFonts w:asciiTheme="minorHAnsi" w:hAnsiTheme="minorHAnsi" w:cstheme="minorHAnsi"/>
          <w:sz w:val="24"/>
          <w:szCs w:val="24"/>
        </w:rPr>
        <w:t>affordability, digital inclusion, and sustainability.</w:t>
      </w:r>
    </w:p>
    <w:p w14:paraId="2D5A44C9" w14:textId="77777777" w:rsidR="00617FC9" w:rsidRPr="0046236F" w:rsidRDefault="00617FC9" w:rsidP="00BC7ABA">
      <w:pPr>
        <w:pStyle w:val="ListParagraph"/>
        <w:numPr>
          <w:ilvl w:val="0"/>
          <w:numId w:val="45"/>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 xml:space="preserve">Outcome-level KPIs, </w:t>
      </w:r>
      <w:r w:rsidRPr="0046236F">
        <w:rPr>
          <w:rFonts w:asciiTheme="minorHAnsi" w:hAnsiTheme="minorHAnsi" w:cstheme="minorHAnsi"/>
          <w:sz w:val="24"/>
          <w:szCs w:val="24"/>
          <w:lang w:eastAsia="ko-KR"/>
        </w:rPr>
        <w:t>related to</w:t>
      </w:r>
      <w:r w:rsidRPr="0046236F">
        <w:rPr>
          <w:rFonts w:asciiTheme="minorHAnsi" w:hAnsiTheme="minorHAnsi" w:cstheme="minorHAnsi"/>
          <w:sz w:val="24"/>
          <w:szCs w:val="24"/>
        </w:rPr>
        <w:t xml:space="preserve"> </w:t>
      </w:r>
      <w:r w:rsidRPr="0046236F">
        <w:rPr>
          <w:rFonts w:asciiTheme="minorHAnsi" w:hAnsiTheme="minorHAnsi" w:cstheme="minorHAnsi"/>
          <w:sz w:val="24"/>
          <w:szCs w:val="24"/>
          <w:lang w:eastAsia="ko-KR"/>
        </w:rPr>
        <w:t xml:space="preserve">and including </w:t>
      </w:r>
      <w:r w:rsidRPr="0046236F">
        <w:rPr>
          <w:rFonts w:asciiTheme="minorHAnsi" w:hAnsiTheme="minorHAnsi" w:cstheme="minorHAnsi"/>
          <w:sz w:val="24"/>
          <w:szCs w:val="24"/>
        </w:rPr>
        <w:t>spectrum management, connectivity, digital skills, cybersecurity, regulatory maturity, satisfaction, and resource allocation.</w:t>
      </w:r>
      <w:r w:rsidRPr="0046236F">
        <w:rPr>
          <w:rFonts w:asciiTheme="minorHAnsi" w:hAnsiTheme="minorHAnsi" w:cstheme="minorHAnsi"/>
          <w:sz w:val="24"/>
          <w:szCs w:val="24"/>
          <w:vertAlign w:val="superscript"/>
        </w:rPr>
        <w:footnoteReference w:id="17"/>
      </w:r>
    </w:p>
    <w:p w14:paraId="7B0D96C0"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Internal Assessment results show that </w:t>
      </w:r>
      <w:r w:rsidRPr="0046236F">
        <w:rPr>
          <w:rFonts w:asciiTheme="minorHAnsi" w:hAnsiTheme="minorHAnsi" w:cstheme="minorHAnsi"/>
          <w:szCs w:val="24"/>
          <w:lang w:eastAsia="ko-KR"/>
        </w:rPr>
        <w:t>63%</w:t>
      </w:r>
      <w:r w:rsidRPr="0046236F" w:rsidDel="00A12E96">
        <w:rPr>
          <w:rFonts w:asciiTheme="minorHAnsi" w:hAnsiTheme="minorHAnsi" w:cstheme="minorHAnsi"/>
          <w:szCs w:val="24"/>
        </w:rPr>
        <w:t xml:space="preserve"> </w:t>
      </w:r>
      <w:r w:rsidRPr="0046236F">
        <w:rPr>
          <w:rFonts w:asciiTheme="minorHAnsi" w:hAnsiTheme="minorHAnsi" w:cstheme="minorHAnsi"/>
          <w:szCs w:val="24"/>
        </w:rPr>
        <w:t>of staff respondents agree or strongly agree that evaluation of progress on relevant KPIs and identification of internal and external implementation challenges enhances coordination and communication (IA Q26_d). This suggests general confidence in the existing KPI evaluation mechanisms.</w:t>
      </w:r>
    </w:p>
    <w:p w14:paraId="535D4BBE"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Membership perception data provide indirect signals regarding potential areas for strengthened measurement. Seventy-two per cent of Member State respondents agree that better data on staffing, financials and activity implementation would strengthen regional presence (MS Q5_a). Agreement levels across effectiveness dimensions range from </w:t>
      </w:r>
      <w:r w:rsidRPr="0046236F">
        <w:rPr>
          <w:rFonts w:asciiTheme="minorHAnsi" w:hAnsiTheme="minorHAnsi" w:cstheme="minorHAnsi"/>
          <w:szCs w:val="24"/>
          <w:lang w:eastAsia="ko-KR"/>
        </w:rPr>
        <w:t xml:space="preserve">52% </w:t>
      </w:r>
      <w:r w:rsidRPr="0046236F">
        <w:rPr>
          <w:rFonts w:asciiTheme="minorHAnsi" w:hAnsiTheme="minorHAnsi" w:cstheme="minorHAnsi"/>
          <w:szCs w:val="24"/>
        </w:rPr>
        <w:t xml:space="preserve">for strategic planning support (MS Q12_a) to </w:t>
      </w:r>
      <w:r w:rsidRPr="0046236F">
        <w:rPr>
          <w:rFonts w:asciiTheme="minorHAnsi" w:hAnsiTheme="minorHAnsi" w:cstheme="minorHAnsi"/>
          <w:szCs w:val="24"/>
          <w:lang w:eastAsia="ko-KR"/>
        </w:rPr>
        <w:t xml:space="preserve">73% </w:t>
      </w:r>
      <w:r w:rsidRPr="0046236F">
        <w:rPr>
          <w:rFonts w:asciiTheme="minorHAnsi" w:hAnsiTheme="minorHAnsi" w:cstheme="minorHAnsi"/>
          <w:szCs w:val="24"/>
        </w:rPr>
        <w:t>for dissemination of information and data (MS Q12_c). Forty-three per cent agree that co-financed activities are aligned with national or regional priorities (MS Q15), indicating comparatively lower perceived alignment in this area.</w:t>
      </w:r>
    </w:p>
    <w:p w14:paraId="3D2FABF0"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lastRenderedPageBreak/>
        <w:t xml:space="preserve">Conclusion </w:t>
      </w:r>
    </w:p>
    <w:p w14:paraId="68E3EFF3"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While a list of initial draft performance indicators has been submitted for review by the membership, no explicit recommendations for new KPIs emerge from the mapped evidence. Member State responses suggest that enhanced transparency, financial reporting, alignment monitoring and measurement of partnership outcomes may warrant strengthened or refined indicators within the existing framework.</w:t>
      </w:r>
    </w:p>
    <w:p w14:paraId="0B792E59" w14:textId="77777777" w:rsidR="00617FC9" w:rsidRPr="0046236F" w:rsidRDefault="00617FC9" w:rsidP="00617FC9">
      <w:pPr>
        <w:jc w:val="both"/>
        <w:rPr>
          <w:rFonts w:asciiTheme="minorHAnsi" w:hAnsiTheme="minorHAnsi" w:cstheme="minorHAnsi"/>
          <w:szCs w:val="24"/>
        </w:rPr>
      </w:pPr>
      <w:proofErr w:type="gramStart"/>
      <w:r w:rsidRPr="0046236F">
        <w:rPr>
          <w:rFonts w:asciiTheme="minorHAnsi" w:hAnsiTheme="minorHAnsi" w:cstheme="minorHAnsi"/>
          <w:szCs w:val="24"/>
        </w:rPr>
        <w:t>On the basis of</w:t>
      </w:r>
      <w:proofErr w:type="gramEnd"/>
      <w:r w:rsidRPr="0046236F">
        <w:rPr>
          <w:rFonts w:asciiTheme="minorHAnsi" w:hAnsiTheme="minorHAnsi" w:cstheme="minorHAnsi"/>
          <w:szCs w:val="24"/>
        </w:rPr>
        <w:t xml:space="preserve"> available evidence, the current KPI structure appears operational and broadly supported. However, perception data indicate potential value in refining measurement of resource transparency, partnership alignment and activity impact to further strengthen progress monitoring against strategic goals.</w:t>
      </w:r>
    </w:p>
    <w:p w14:paraId="42F3C37B"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Data Sources</w:t>
      </w:r>
    </w:p>
    <w:p w14:paraId="1C9F1389" w14:textId="77777777" w:rsidR="00617FC9" w:rsidRPr="0046236F" w:rsidRDefault="00617FC9" w:rsidP="00BC7ABA">
      <w:pPr>
        <w:pStyle w:val="ListParagraph"/>
        <w:numPr>
          <w:ilvl w:val="0"/>
          <w:numId w:val="46"/>
        </w:numPr>
        <w:spacing w:before="60" w:after="60"/>
        <w:contextualSpacing w:val="0"/>
        <w:jc w:val="both"/>
        <w:rPr>
          <w:rFonts w:asciiTheme="minorHAnsi" w:eastAsia="Batang" w:hAnsiTheme="minorHAnsi" w:cstheme="minorHAnsi"/>
          <w:sz w:val="24"/>
          <w:szCs w:val="24"/>
        </w:rPr>
      </w:pPr>
      <w:bookmarkStart w:id="144" w:name="_Hlk223889302"/>
      <w:r w:rsidRPr="0046236F">
        <w:rPr>
          <w:rFonts w:asciiTheme="minorHAnsi" w:eastAsia="Batang" w:hAnsiTheme="minorHAnsi" w:cstheme="minorHAnsi"/>
          <w:sz w:val="24"/>
          <w:szCs w:val="24"/>
          <w:lang w:eastAsia="ko-KR"/>
        </w:rPr>
        <w:t xml:space="preserve">Initial draft performance indicators for Strategic Plan 2028-2031: </w:t>
      </w:r>
      <w:hyperlink r:id="rId103">
        <w:r w:rsidRPr="0046236F">
          <w:rPr>
            <w:rFonts w:asciiTheme="minorHAnsi" w:hAnsiTheme="minorHAnsi" w:cstheme="minorHAnsi"/>
            <w:color w:val="467886"/>
            <w:sz w:val="24"/>
            <w:szCs w:val="24"/>
            <w:u w:val="single"/>
          </w:rPr>
          <w:t>CWG-SFP-3/7</w:t>
        </w:r>
      </w:hyperlink>
      <w:bookmarkEnd w:id="144"/>
      <w:r w:rsidRPr="0046236F">
        <w:rPr>
          <w:rFonts w:asciiTheme="minorHAnsi" w:hAnsiTheme="minorHAnsi" w:cstheme="minorHAnsi"/>
          <w:sz w:val="24"/>
          <w:szCs w:val="24"/>
        </w:rPr>
        <w:t>.</w:t>
      </w:r>
    </w:p>
    <w:p w14:paraId="1DBD3E0C" w14:textId="77777777" w:rsidR="00617FC9" w:rsidRPr="0046236F" w:rsidRDefault="00617FC9" w:rsidP="00617FC9">
      <w:pPr>
        <w:pStyle w:val="KPItitle"/>
        <w:jc w:val="both"/>
        <w:rPr>
          <w:rFonts w:asciiTheme="minorHAnsi" w:hAnsiTheme="minorHAnsi" w:cstheme="minorHAnsi"/>
          <w:sz w:val="24"/>
          <w:szCs w:val="24"/>
        </w:rPr>
      </w:pPr>
      <w:bookmarkStart w:id="145" w:name="_Toc224213065"/>
      <w:bookmarkStart w:id="146" w:name="_Toc224236496"/>
      <w:r w:rsidRPr="0046236F">
        <w:rPr>
          <w:rFonts w:asciiTheme="minorHAnsi" w:hAnsiTheme="minorHAnsi" w:cstheme="minorHAnsi"/>
          <w:sz w:val="24"/>
          <w:szCs w:val="24"/>
        </w:rPr>
        <w:t>KPI 21 — LDC per-country assessments and action plans</w:t>
      </w:r>
      <w:bookmarkEnd w:id="145"/>
      <w:bookmarkEnd w:id="146"/>
    </w:p>
    <w:p w14:paraId="00020C95"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Membership Survey responses confirm support for LDC per-country assessments and action plans. Fifty-five per cent of Member State respondents agree that per-country assessments and action plans for LDCs would strengthen the ability of Regional Offices to provide member support (MS Q4).</w:t>
      </w:r>
    </w:p>
    <w:p w14:paraId="69A968C6"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Internal Assessment results indicate strong staff support for LDC per-country assessments. Seventy-two per cent</w:t>
      </w:r>
      <w:r w:rsidRPr="0046236F" w:rsidDel="00A12E96">
        <w:rPr>
          <w:rFonts w:asciiTheme="minorHAnsi" w:hAnsiTheme="minorHAnsi" w:cstheme="minorHAnsi"/>
          <w:szCs w:val="24"/>
          <w:lang w:eastAsia="en-GB"/>
        </w:rPr>
        <w:t xml:space="preserve"> </w:t>
      </w:r>
      <w:r w:rsidRPr="0046236F">
        <w:rPr>
          <w:rFonts w:asciiTheme="minorHAnsi" w:hAnsiTheme="minorHAnsi" w:cstheme="minorHAnsi"/>
          <w:szCs w:val="24"/>
          <w:lang w:eastAsia="en-GB"/>
        </w:rPr>
        <w:t>of staff respondents agree or strongly agree that, in the case of LDCs, per-country assessments and action plans in telecommunication/ICT development would strengthen the ability of Regional Offices to provide adequate support (IA Q9_j).</w:t>
      </w:r>
    </w:p>
    <w:p w14:paraId="23255A0F" w14:textId="77777777" w:rsidR="00617FC9" w:rsidRPr="0046236F" w:rsidRDefault="00617FC9" w:rsidP="00617FC9">
      <w:pPr>
        <w:jc w:val="both"/>
        <w:rPr>
          <w:rFonts w:asciiTheme="minorHAnsi" w:hAnsiTheme="minorHAnsi" w:cstheme="minorHAnsi"/>
          <w:color w:val="000000"/>
          <w:szCs w:val="24"/>
          <w:lang w:eastAsia="en-GB"/>
        </w:rPr>
      </w:pPr>
      <w:r w:rsidRPr="0046236F">
        <w:rPr>
          <w:rFonts w:asciiTheme="minorHAnsi" w:hAnsiTheme="minorHAnsi" w:cstheme="minorHAnsi"/>
          <w:szCs w:val="24"/>
          <w:lang w:eastAsia="en-GB"/>
        </w:rPr>
        <w:t>Staff also express confidence in performance monitoring mechanisms. Sixty-three per cent agree that evaluation of progress on relevant KPIs and identification of implementation challenges enhance coordination and strategic feasibility (IA Q26_d)</w:t>
      </w:r>
      <w:r w:rsidRPr="0046236F">
        <w:rPr>
          <w:rFonts w:asciiTheme="minorHAnsi" w:hAnsiTheme="minorHAnsi" w:cstheme="minorHAnsi"/>
          <w:color w:val="000000"/>
          <w:szCs w:val="24"/>
          <w:lang w:eastAsia="en-GB"/>
        </w:rPr>
        <w:t>.</w:t>
      </w:r>
    </w:p>
    <w:p w14:paraId="6AFCC8E3"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7EB3ABB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Taken together, the evidence indicates majority support — particularly among staff — for LDC per-country assessments and action plans as instruments to strengthen regional support. While the operational value of country-specific planning in LDC contexts is supported by perception data, the financial implications remain undocumented within the available sources.</w:t>
      </w:r>
    </w:p>
    <w:p w14:paraId="4DCE8FA0" w14:textId="77777777" w:rsidR="00617FC9" w:rsidRPr="0046236F" w:rsidRDefault="00617FC9" w:rsidP="00617FC9">
      <w:pPr>
        <w:pStyle w:val="KPItitle"/>
        <w:jc w:val="both"/>
        <w:rPr>
          <w:rFonts w:asciiTheme="minorHAnsi" w:hAnsiTheme="minorHAnsi" w:cstheme="minorHAnsi"/>
          <w:sz w:val="24"/>
          <w:szCs w:val="24"/>
        </w:rPr>
      </w:pPr>
      <w:bookmarkStart w:id="147" w:name="_Toc224213066"/>
      <w:bookmarkStart w:id="148" w:name="_Toc224236497"/>
      <w:r w:rsidRPr="0046236F">
        <w:rPr>
          <w:rFonts w:asciiTheme="minorHAnsi" w:hAnsiTheme="minorHAnsi" w:cstheme="minorHAnsi"/>
          <w:sz w:val="24"/>
          <w:szCs w:val="24"/>
        </w:rPr>
        <w:t>KPI 22 — Details on fellowships awarded that demonstrate the extent to which fellowships are awarded in a fair and transparent manner (equitable geographical distribution, gender balance and the inclusion of delegates with disabilities)</w:t>
      </w:r>
      <w:bookmarkEnd w:id="147"/>
      <w:bookmarkEnd w:id="148"/>
    </w:p>
    <w:p w14:paraId="0868BD60"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Fellowship allocation follows established eligibility rules and allocation criteria designed to ensure equitable geographical distribution, gender balance and inclusion considerations.</w:t>
      </w:r>
      <w:r w:rsidRPr="0046236F">
        <w:rPr>
          <w:rFonts w:asciiTheme="minorHAnsi" w:hAnsiTheme="minorHAnsi" w:cstheme="minorHAnsi"/>
          <w:szCs w:val="24"/>
          <w:vertAlign w:val="superscript"/>
        </w:rPr>
        <w:footnoteReference w:id="18"/>
      </w:r>
      <w:r w:rsidRPr="0046236F">
        <w:rPr>
          <w:rFonts w:asciiTheme="minorHAnsi" w:hAnsiTheme="minorHAnsi" w:cstheme="minorHAnsi"/>
          <w:szCs w:val="24"/>
        </w:rPr>
        <w:t xml:space="preserve"> Allocation procedures operate within defined budget envelopes and are linked to participation in regional and global events.</w:t>
      </w:r>
    </w:p>
    <w:p w14:paraId="3535D3F5"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lastRenderedPageBreak/>
        <w:t xml:space="preserve">Regional distribution mechanisms provide for representation across regions and country groups, including developing countries and LDCs. Detailed fellowship statistics for 2022–2025 </w:t>
      </w:r>
      <w:r w:rsidRPr="0046236F">
        <w:rPr>
          <w:rFonts w:asciiTheme="minorHAnsi" w:hAnsiTheme="minorHAnsi" w:cstheme="minorHAnsi"/>
          <w:szCs w:val="24"/>
          <w:lang w:eastAsia="ko-KR"/>
        </w:rPr>
        <w:t>highlight</w:t>
      </w:r>
      <w:r w:rsidRPr="0046236F">
        <w:rPr>
          <w:rFonts w:asciiTheme="minorHAnsi" w:hAnsiTheme="minorHAnsi" w:cstheme="minorHAnsi"/>
          <w:szCs w:val="24"/>
        </w:rPr>
        <w:t>:</w:t>
      </w:r>
    </w:p>
    <w:p w14:paraId="6D112DCD" w14:textId="77777777" w:rsidR="00617FC9" w:rsidRPr="0046236F" w:rsidRDefault="00617FC9" w:rsidP="00BC7ABA">
      <w:pPr>
        <w:pStyle w:val="ListParagraph"/>
        <w:numPr>
          <w:ilvl w:val="0"/>
          <w:numId w:val="48"/>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Consistent allocation across all regions eligible for fellowships.</w:t>
      </w:r>
    </w:p>
    <w:p w14:paraId="4716FC78" w14:textId="77777777" w:rsidR="00617FC9" w:rsidRPr="0046236F" w:rsidRDefault="00617FC9" w:rsidP="00BC7ABA">
      <w:pPr>
        <w:pStyle w:val="ListParagraph"/>
        <w:numPr>
          <w:ilvl w:val="0"/>
          <w:numId w:val="48"/>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Priority given to low- and middle-income developing countries, with eligibility lists reviewed annually and published.</w:t>
      </w:r>
    </w:p>
    <w:p w14:paraId="57E0701E" w14:textId="77777777" w:rsidR="00617FC9" w:rsidRPr="0046236F" w:rsidRDefault="00617FC9" w:rsidP="00BC7ABA">
      <w:pPr>
        <w:pStyle w:val="ListParagraph"/>
        <w:numPr>
          <w:ilvl w:val="0"/>
          <w:numId w:val="48"/>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Award rates across regions</w:t>
      </w:r>
      <w:r w:rsidRPr="0046236F">
        <w:rPr>
          <w:rFonts w:asciiTheme="minorHAnsi" w:hAnsiTheme="minorHAnsi" w:cstheme="minorHAnsi"/>
          <w:sz w:val="24"/>
          <w:szCs w:val="24"/>
          <w:lang w:eastAsia="ko-KR"/>
        </w:rPr>
        <w:t xml:space="preserve"> </w:t>
      </w:r>
      <w:r w:rsidRPr="0046236F">
        <w:rPr>
          <w:rFonts w:asciiTheme="minorHAnsi" w:hAnsiTheme="minorHAnsi" w:cstheme="minorHAnsi"/>
          <w:sz w:val="24"/>
          <w:szCs w:val="24"/>
        </w:rPr>
        <w:t>and years reached 67% on average under regular funds and</w:t>
      </w:r>
      <w:r w:rsidRPr="0046236F">
        <w:rPr>
          <w:rFonts w:asciiTheme="minorHAnsi" w:hAnsiTheme="minorHAnsi" w:cstheme="minorHAnsi"/>
          <w:sz w:val="24"/>
          <w:szCs w:val="24"/>
          <w:lang w:eastAsia="ko-KR"/>
        </w:rPr>
        <w:t xml:space="preserve"> </w:t>
      </w:r>
      <w:r w:rsidRPr="0046236F">
        <w:rPr>
          <w:rFonts w:asciiTheme="minorHAnsi" w:hAnsiTheme="minorHAnsi" w:cstheme="minorHAnsi"/>
          <w:sz w:val="24"/>
          <w:szCs w:val="24"/>
        </w:rPr>
        <w:t>91% under extrabudgetary funds.</w:t>
      </w:r>
      <w:r w:rsidRPr="0046236F">
        <w:rPr>
          <w:rFonts w:asciiTheme="minorHAnsi" w:hAnsiTheme="minorHAnsi" w:cstheme="minorHAnsi"/>
          <w:sz w:val="24"/>
          <w:szCs w:val="24"/>
          <w:vertAlign w:val="superscript"/>
        </w:rPr>
        <w:footnoteReference w:id="19"/>
      </w:r>
    </w:p>
    <w:p w14:paraId="583A17A6"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Differentiation between regions is due to  factors, such as limits,</w:t>
      </w:r>
      <w:r w:rsidRPr="0046236F">
        <w:rPr>
          <w:rFonts w:asciiTheme="minorHAnsi" w:hAnsiTheme="minorHAnsi" w:cstheme="minorHAnsi"/>
          <w:szCs w:val="24"/>
          <w:lang w:eastAsia="ko-KR"/>
        </w:rPr>
        <w:t xml:space="preserve"> </w:t>
      </w:r>
      <w:r w:rsidRPr="0046236F">
        <w:rPr>
          <w:rFonts w:asciiTheme="minorHAnsi" w:hAnsiTheme="minorHAnsi" w:cstheme="minorHAnsi"/>
          <w:szCs w:val="24"/>
        </w:rPr>
        <w:t>per-country/per-individual</w:t>
      </w:r>
      <w:r w:rsidRPr="0046236F">
        <w:rPr>
          <w:rFonts w:asciiTheme="minorHAnsi" w:hAnsiTheme="minorHAnsi" w:cstheme="minorHAnsi"/>
          <w:szCs w:val="24"/>
          <w:lang w:eastAsia="ko-KR"/>
        </w:rPr>
        <w:t xml:space="preserve"> </w:t>
      </w:r>
      <w:r w:rsidRPr="0046236F">
        <w:rPr>
          <w:rFonts w:asciiTheme="minorHAnsi" w:hAnsiTheme="minorHAnsi" w:cstheme="minorHAnsi"/>
          <w:szCs w:val="24"/>
        </w:rPr>
        <w:t>in</w:t>
      </w:r>
      <w:r w:rsidRPr="0046236F">
        <w:rPr>
          <w:rFonts w:asciiTheme="minorHAnsi" w:hAnsiTheme="minorHAnsi" w:cstheme="minorHAnsi"/>
          <w:szCs w:val="24"/>
          <w:lang w:eastAsia="ko-KR"/>
        </w:rPr>
        <w:t xml:space="preserve"> </w:t>
      </w:r>
      <w:r w:rsidRPr="0046236F">
        <w:rPr>
          <w:rFonts w:asciiTheme="minorHAnsi" w:hAnsiTheme="minorHAnsi" w:cstheme="minorHAnsi"/>
          <w:szCs w:val="24"/>
        </w:rPr>
        <w:t>a financial year</w:t>
      </w:r>
      <w:r w:rsidRPr="0046236F">
        <w:rPr>
          <w:rFonts w:asciiTheme="minorHAnsi" w:hAnsiTheme="minorHAnsi" w:cstheme="minorHAnsi"/>
          <w:szCs w:val="24"/>
          <w:lang w:eastAsia="ko-KR"/>
        </w:rPr>
        <w:t xml:space="preserve"> in accordance with the policy for awarding fellowships, d</w:t>
      </w:r>
      <w:r w:rsidRPr="0046236F">
        <w:rPr>
          <w:rFonts w:asciiTheme="minorHAnsi" w:hAnsiTheme="minorHAnsi" w:cstheme="minorHAnsi"/>
          <w:szCs w:val="24"/>
        </w:rPr>
        <w:t>ifferences in the number of eligible countries per region</w:t>
      </w:r>
      <w:r w:rsidRPr="0046236F">
        <w:rPr>
          <w:rFonts w:asciiTheme="minorHAnsi" w:hAnsiTheme="minorHAnsi" w:cstheme="minorHAnsi"/>
          <w:szCs w:val="24"/>
          <w:lang w:eastAsia="ko-KR"/>
        </w:rPr>
        <w:t>, and v</w:t>
      </w:r>
      <w:r w:rsidRPr="0046236F">
        <w:rPr>
          <w:rFonts w:asciiTheme="minorHAnsi" w:hAnsiTheme="minorHAnsi" w:cstheme="minorHAnsi"/>
          <w:szCs w:val="24"/>
        </w:rPr>
        <w:t>ariations in application patterns (“fellowship culture”), i.e.</w:t>
      </w:r>
      <w:r w:rsidRPr="0046236F">
        <w:rPr>
          <w:rFonts w:asciiTheme="minorHAnsi" w:hAnsiTheme="minorHAnsi" w:cstheme="minorHAnsi"/>
          <w:szCs w:val="24"/>
          <w:lang w:eastAsia="ko-KR"/>
        </w:rPr>
        <w:t xml:space="preserve"> </w:t>
      </w:r>
      <w:r w:rsidRPr="0046236F">
        <w:rPr>
          <w:rFonts w:asciiTheme="minorHAnsi" w:hAnsiTheme="minorHAnsi" w:cstheme="minorHAnsi"/>
          <w:szCs w:val="24"/>
        </w:rPr>
        <w:t>some regions are more proactive in requesting fellowships, while others rarely do.</w:t>
      </w:r>
    </w:p>
    <w:p w14:paraId="47AA1299" w14:textId="77777777" w:rsidR="00617FC9" w:rsidRPr="0046236F" w:rsidRDefault="00617FC9" w:rsidP="00617FC9">
      <w:pPr>
        <w:jc w:val="both"/>
        <w:rPr>
          <w:rFonts w:asciiTheme="minorHAnsi" w:hAnsiTheme="minorHAnsi" w:cstheme="minorHAnsi"/>
          <w:szCs w:val="24"/>
          <w:lang w:eastAsia="ko-KR"/>
        </w:rPr>
      </w:pPr>
      <w:r w:rsidRPr="0046236F">
        <w:rPr>
          <w:rFonts w:asciiTheme="minorHAnsi" w:hAnsiTheme="minorHAnsi" w:cstheme="minorHAnsi"/>
          <w:szCs w:val="24"/>
        </w:rPr>
        <w:t>Gender-disaggregated data are maintained within reporting frameworks, and participation of women is monitored as part of fellowship allocation processes.</w:t>
      </w:r>
      <w:r w:rsidRPr="0046236F">
        <w:rPr>
          <w:rFonts w:asciiTheme="minorHAnsi" w:hAnsiTheme="minorHAnsi" w:cstheme="minorHAnsi"/>
          <w:szCs w:val="24"/>
          <w:lang w:eastAsia="ko-KR"/>
        </w:rPr>
        <w:t xml:space="preserve"> Gender-disaggregated data for 2022–2025 show:</w:t>
      </w:r>
    </w:p>
    <w:p w14:paraId="62984282" w14:textId="77777777" w:rsidR="00617FC9" w:rsidRPr="0046236F" w:rsidRDefault="00617FC9" w:rsidP="00BC7ABA">
      <w:pPr>
        <w:pStyle w:val="ListParagraph"/>
        <w:numPr>
          <w:ilvl w:val="0"/>
          <w:numId w:val="49"/>
        </w:numPr>
        <w:spacing w:before="60" w:after="60"/>
        <w:contextualSpacing w:val="0"/>
        <w:jc w:val="both"/>
        <w:rPr>
          <w:rFonts w:asciiTheme="minorHAnsi" w:hAnsiTheme="minorHAnsi" w:cstheme="minorHAnsi"/>
          <w:sz w:val="24"/>
          <w:szCs w:val="24"/>
          <w:lang w:eastAsia="ko-KR"/>
        </w:rPr>
      </w:pPr>
      <w:r w:rsidRPr="0046236F">
        <w:rPr>
          <w:rFonts w:asciiTheme="minorHAnsi" w:hAnsiTheme="minorHAnsi" w:cstheme="minorHAnsi"/>
          <w:sz w:val="24"/>
          <w:szCs w:val="24"/>
          <w:lang w:eastAsia="ko-KR"/>
        </w:rPr>
        <w:t>Comparable award rates for women and men across both regular and extrabudgetary funding.</w:t>
      </w:r>
    </w:p>
    <w:p w14:paraId="063C67A5" w14:textId="77777777" w:rsidR="00617FC9" w:rsidRPr="0046236F" w:rsidRDefault="00617FC9" w:rsidP="00BC7ABA">
      <w:pPr>
        <w:pStyle w:val="ListParagraph"/>
        <w:numPr>
          <w:ilvl w:val="0"/>
          <w:numId w:val="49"/>
        </w:numPr>
        <w:spacing w:before="60" w:after="60"/>
        <w:contextualSpacing w:val="0"/>
        <w:jc w:val="both"/>
        <w:rPr>
          <w:rFonts w:asciiTheme="minorHAnsi" w:hAnsiTheme="minorHAnsi" w:cstheme="minorHAnsi"/>
          <w:sz w:val="24"/>
          <w:szCs w:val="24"/>
          <w:lang w:eastAsia="ko-KR"/>
        </w:rPr>
      </w:pPr>
      <w:r w:rsidRPr="0046236F">
        <w:rPr>
          <w:rFonts w:asciiTheme="minorHAnsi" w:hAnsiTheme="minorHAnsi" w:cstheme="minorHAnsi"/>
          <w:sz w:val="24"/>
          <w:szCs w:val="24"/>
          <w:lang w:eastAsia="ko-KR"/>
        </w:rPr>
        <w:t>In several years, female award rates equal or exceed male award rates (e.g. 2023 and 2024 extrabudgetary fellowships).</w:t>
      </w:r>
      <w:r w:rsidRPr="0046236F">
        <w:rPr>
          <w:rFonts w:asciiTheme="minorHAnsi" w:hAnsiTheme="minorHAnsi" w:cstheme="minorHAnsi"/>
          <w:sz w:val="24"/>
          <w:szCs w:val="24"/>
          <w:vertAlign w:val="superscript"/>
          <w:lang w:eastAsia="ko-KR"/>
        </w:rPr>
        <w:footnoteReference w:id="20"/>
      </w:r>
      <w:r w:rsidRPr="0046236F">
        <w:rPr>
          <w:rFonts w:asciiTheme="minorHAnsi" w:hAnsiTheme="minorHAnsi" w:cstheme="minorHAnsi"/>
          <w:sz w:val="24"/>
          <w:szCs w:val="24"/>
          <w:lang w:eastAsia="ko-KR"/>
        </w:rPr>
        <w:t> </w:t>
      </w:r>
    </w:p>
    <w:p w14:paraId="5660E66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Reporting templates and financial tracking mechanisms support traceability of fellowship awards and enable oversight of distribution patterns across geographical and gender dimensions.</w:t>
      </w:r>
    </w:p>
    <w:p w14:paraId="5E74DA5C"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Accessibility considerations for delegates with disabilities are referenced within </w:t>
      </w:r>
      <w:r w:rsidRPr="0046236F">
        <w:rPr>
          <w:rFonts w:asciiTheme="minorHAnsi" w:hAnsiTheme="minorHAnsi" w:cstheme="minorHAnsi"/>
          <w:szCs w:val="24"/>
          <w:lang w:eastAsia="ko-KR"/>
        </w:rPr>
        <w:t>the policy</w:t>
      </w:r>
      <w:r w:rsidRPr="0046236F">
        <w:rPr>
          <w:rFonts w:asciiTheme="minorHAnsi" w:hAnsiTheme="minorHAnsi" w:cstheme="minorHAnsi"/>
          <w:szCs w:val="24"/>
        </w:rPr>
        <w:t xml:space="preserve">. Quantitative reporting on disability inclusion is </w:t>
      </w:r>
      <w:r w:rsidRPr="0046236F">
        <w:rPr>
          <w:rFonts w:asciiTheme="minorHAnsi" w:hAnsiTheme="minorHAnsi" w:cstheme="minorHAnsi"/>
          <w:szCs w:val="24"/>
          <w:lang w:eastAsia="ko-KR"/>
        </w:rPr>
        <w:t>however more difficult</w:t>
      </w:r>
      <w:r w:rsidRPr="0046236F">
        <w:rPr>
          <w:rFonts w:asciiTheme="minorHAnsi" w:hAnsiTheme="minorHAnsi" w:cstheme="minorHAnsi"/>
          <w:szCs w:val="24"/>
        </w:rPr>
        <w:t xml:space="preserve"> compared to geographical and gender distribution metrics</w:t>
      </w:r>
      <w:r w:rsidRPr="0046236F">
        <w:rPr>
          <w:rFonts w:asciiTheme="minorHAnsi" w:hAnsiTheme="minorHAnsi" w:cstheme="minorHAnsi"/>
          <w:szCs w:val="24"/>
          <w:lang w:eastAsia="ko-KR"/>
        </w:rPr>
        <w:t>, because no requests for assistance have been recorded to date, suggesting that applicants either do not have such needs or do not wish to disclose them</w:t>
      </w:r>
      <w:r w:rsidRPr="0046236F">
        <w:rPr>
          <w:rFonts w:asciiTheme="minorHAnsi" w:hAnsiTheme="minorHAnsi" w:cstheme="minorHAnsi"/>
          <w:szCs w:val="24"/>
        </w:rPr>
        <w:t>.</w:t>
      </w:r>
    </w:p>
    <w:p w14:paraId="43E9D171"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7C14A39B"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fellowship framework operates under defined procedural safeguards with structured allocation criteria, financial controls and reporting mechanisms designed to support fairness and transparency in award distribution.</w:t>
      </w:r>
    </w:p>
    <w:p w14:paraId="3ED55D0E" w14:textId="77777777" w:rsidR="00617FC9" w:rsidRPr="0046236F" w:rsidRDefault="00617FC9" w:rsidP="00617FC9">
      <w:pPr>
        <w:pStyle w:val="Subtitle0"/>
        <w:jc w:val="both"/>
        <w:rPr>
          <w:rFonts w:asciiTheme="minorHAnsi" w:hAnsiTheme="minorHAnsi" w:cstheme="minorHAnsi"/>
          <w:b w:val="0"/>
          <w:bCs w:val="0"/>
          <w:sz w:val="24"/>
          <w:szCs w:val="24"/>
        </w:rPr>
      </w:pPr>
      <w:r w:rsidRPr="0046236F">
        <w:rPr>
          <w:rFonts w:asciiTheme="minorHAnsi" w:hAnsiTheme="minorHAnsi" w:cstheme="minorHAnsi"/>
          <w:sz w:val="24"/>
          <w:szCs w:val="24"/>
        </w:rPr>
        <w:t>Data Sources</w:t>
      </w:r>
    </w:p>
    <w:p w14:paraId="1A5FC3B8" w14:textId="77777777" w:rsidR="00617FC9" w:rsidRPr="0046236F" w:rsidRDefault="00617FC9" w:rsidP="00BC7ABA">
      <w:pPr>
        <w:pStyle w:val="ListParagraph"/>
        <w:numPr>
          <w:ilvl w:val="0"/>
          <w:numId w:val="73"/>
        </w:numPr>
        <w:spacing w:before="60" w:after="60"/>
        <w:contextualSpacing w:val="0"/>
        <w:jc w:val="both"/>
        <w:rPr>
          <w:rFonts w:asciiTheme="minorHAnsi" w:hAnsiTheme="minorHAnsi" w:cstheme="minorHAnsi"/>
          <w:sz w:val="24"/>
          <w:szCs w:val="24"/>
        </w:rPr>
      </w:pPr>
      <w:hyperlink r:id="rId104" w:history="1">
        <w:r w:rsidRPr="0046236F">
          <w:rPr>
            <w:rFonts w:asciiTheme="minorHAnsi" w:hAnsiTheme="minorHAnsi" w:cstheme="minorHAnsi"/>
            <w:color w:val="467886"/>
            <w:sz w:val="24"/>
            <w:szCs w:val="24"/>
            <w:u w:val="single"/>
            <w:lang w:eastAsia="ko-KR"/>
          </w:rPr>
          <w:t>Policy for awarding fellowships for events and activities funded through the ITU regular budget</w:t>
        </w:r>
      </w:hyperlink>
      <w:r w:rsidRPr="0046236F">
        <w:rPr>
          <w:rFonts w:asciiTheme="minorHAnsi" w:hAnsiTheme="minorHAnsi" w:cstheme="minorHAnsi"/>
          <w:sz w:val="24"/>
          <w:szCs w:val="24"/>
          <w:lang w:eastAsia="ko-KR"/>
        </w:rPr>
        <w:t>, Service Order No. 21/02.</w:t>
      </w:r>
    </w:p>
    <w:p w14:paraId="66E43751" w14:textId="77777777" w:rsidR="00617FC9" w:rsidRPr="0046236F" w:rsidRDefault="00617FC9" w:rsidP="00BC7ABA">
      <w:pPr>
        <w:pStyle w:val="ListParagraph"/>
        <w:numPr>
          <w:ilvl w:val="0"/>
          <w:numId w:val="73"/>
        </w:numPr>
        <w:spacing w:before="60" w:after="60"/>
        <w:contextualSpacing w:val="0"/>
        <w:jc w:val="both"/>
        <w:rPr>
          <w:rFonts w:asciiTheme="minorHAnsi" w:eastAsia="Batang" w:hAnsiTheme="minorHAnsi" w:cstheme="minorHAnsi"/>
          <w:sz w:val="24"/>
          <w:szCs w:val="24"/>
        </w:rPr>
      </w:pPr>
      <w:hyperlink r:id="rId105" w:tgtFrame="_blank" w:history="1">
        <w:r w:rsidRPr="0046236F">
          <w:rPr>
            <w:rFonts w:asciiTheme="minorHAnsi" w:eastAsia="Batang" w:hAnsiTheme="minorHAnsi" w:cstheme="minorHAnsi"/>
            <w:color w:val="467886"/>
            <w:sz w:val="24"/>
            <w:szCs w:val="24"/>
            <w:u w:val="single"/>
            <w:lang w:val="en-US" w:eastAsia="ko-KR"/>
          </w:rPr>
          <w:t>ITU Fellowships Portal</w:t>
        </w:r>
      </w:hyperlink>
      <w:r w:rsidRPr="0046236F">
        <w:rPr>
          <w:rFonts w:asciiTheme="minorHAnsi" w:hAnsiTheme="minorHAnsi" w:cstheme="minorHAnsi"/>
          <w:sz w:val="24"/>
          <w:szCs w:val="24"/>
        </w:rPr>
        <w:t>.</w:t>
      </w:r>
    </w:p>
    <w:p w14:paraId="5C2B1795" w14:textId="77777777" w:rsidR="00617FC9" w:rsidRPr="0046236F" w:rsidRDefault="00617FC9" w:rsidP="00617FC9">
      <w:pPr>
        <w:pStyle w:val="KPItitle"/>
        <w:jc w:val="both"/>
        <w:rPr>
          <w:rFonts w:asciiTheme="minorHAnsi" w:hAnsiTheme="minorHAnsi" w:cstheme="minorHAnsi"/>
          <w:sz w:val="24"/>
          <w:szCs w:val="24"/>
        </w:rPr>
      </w:pPr>
      <w:bookmarkStart w:id="149" w:name="_Toc224213067"/>
      <w:bookmarkStart w:id="150" w:name="_Toc224236498"/>
      <w:r w:rsidRPr="0046236F">
        <w:rPr>
          <w:rFonts w:asciiTheme="minorHAnsi" w:hAnsiTheme="minorHAnsi" w:cstheme="minorHAnsi"/>
          <w:sz w:val="24"/>
          <w:szCs w:val="24"/>
        </w:rPr>
        <w:t>KPI 23 — Analysis of the fellowship application process, based on feedback from Member States, that recommends possible process and format improvements to address gaps</w:t>
      </w:r>
      <w:bookmarkEnd w:id="149"/>
      <w:bookmarkEnd w:id="150"/>
    </w:p>
    <w:p w14:paraId="7C34A450"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Member State contributions highlight several areas for strengthening the fellowship application process. Requests include publication of data on the number of fellowship requests received compared to fellowships granted, disaggregation by region and gender, and inclusion of delegates </w:t>
      </w:r>
      <w:r w:rsidRPr="0046236F">
        <w:rPr>
          <w:rFonts w:asciiTheme="minorHAnsi" w:hAnsiTheme="minorHAnsi" w:cstheme="minorHAnsi"/>
          <w:szCs w:val="24"/>
        </w:rPr>
        <w:lastRenderedPageBreak/>
        <w:t>with disabilities or specific needs. Member States also call for improved regional budget balance, noting that a significant share of fellowship resources is allocated to global initiatives, leaving limited funding for regional activities.</w:t>
      </w:r>
      <w:r w:rsidRPr="0046236F">
        <w:rPr>
          <w:rFonts w:asciiTheme="minorHAnsi" w:hAnsiTheme="minorHAnsi" w:cstheme="minorHAnsi"/>
          <w:szCs w:val="24"/>
          <w:vertAlign w:val="superscript"/>
        </w:rPr>
        <w:footnoteReference w:id="21"/>
      </w:r>
    </w:p>
    <w:p w14:paraId="0A90949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Concerns regarding accessibility and usability of the fellowship application process are raised. Member States request that the Secretariat analyse whether the process is perceived as difficult or inaccessible and, where necessary, introduce improvements to the established format and procedures.</w:t>
      </w:r>
      <w:r w:rsidRPr="0046236F">
        <w:rPr>
          <w:rFonts w:asciiTheme="minorHAnsi" w:hAnsiTheme="minorHAnsi" w:cstheme="minorHAnsi"/>
          <w:szCs w:val="24"/>
          <w:vertAlign w:val="superscript"/>
        </w:rPr>
        <w:footnoteReference w:id="22"/>
      </w:r>
    </w:p>
    <w:p w14:paraId="67A029C2"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In response, several procedural enhancements have been introduced. A standardized fellowship application form has been deployed, providing clearer guidance and more detailed eligibility criteria. Automation of the fellowship request process has been initiated to streamline submission and review procedures. A dashboard is under development to provide transparent statistics on fellowship awards by year, sector, region, gender and other relevant categories.</w:t>
      </w:r>
    </w:p>
    <w:p w14:paraId="066EE254"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These measures </w:t>
      </w:r>
      <w:r w:rsidRPr="0046236F">
        <w:rPr>
          <w:rFonts w:asciiTheme="minorHAnsi" w:hAnsiTheme="minorHAnsi" w:cstheme="minorHAnsi"/>
          <w:szCs w:val="24"/>
          <w:lang w:eastAsia="ko-KR"/>
        </w:rPr>
        <w:t xml:space="preserve">aim to </w:t>
      </w:r>
      <w:r w:rsidRPr="0046236F">
        <w:rPr>
          <w:rFonts w:asciiTheme="minorHAnsi" w:hAnsiTheme="minorHAnsi" w:cstheme="minorHAnsi"/>
          <w:szCs w:val="24"/>
        </w:rPr>
        <w:t xml:space="preserve">address key gaps identified by Member States, including transparency, clarity of criteria and accessibility of the process. The introduction of standardized forms and digital automation supports consistency and traceability. Enhanced statistical reporting </w:t>
      </w:r>
      <w:r w:rsidRPr="0046236F">
        <w:rPr>
          <w:rFonts w:asciiTheme="minorHAnsi" w:hAnsiTheme="minorHAnsi" w:cstheme="minorHAnsi"/>
          <w:szCs w:val="24"/>
          <w:lang w:eastAsia="ko-KR"/>
        </w:rPr>
        <w:t xml:space="preserve">will </w:t>
      </w:r>
      <w:r w:rsidRPr="0046236F">
        <w:rPr>
          <w:rFonts w:asciiTheme="minorHAnsi" w:hAnsiTheme="minorHAnsi" w:cstheme="minorHAnsi"/>
          <w:szCs w:val="24"/>
        </w:rPr>
        <w:t>respond to requests for greater transparency in allocation patterns.</w:t>
      </w:r>
    </w:p>
    <w:p w14:paraId="66ED64BD"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3C3E97A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The mapped evidence </w:t>
      </w:r>
      <w:r w:rsidRPr="0046236F">
        <w:rPr>
          <w:rFonts w:asciiTheme="minorHAnsi" w:hAnsiTheme="minorHAnsi" w:cstheme="minorHAnsi"/>
          <w:szCs w:val="24"/>
          <w:lang w:eastAsia="ko-KR"/>
        </w:rPr>
        <w:t>shows</w:t>
      </w:r>
      <w:r w:rsidRPr="0046236F">
        <w:rPr>
          <w:rFonts w:asciiTheme="minorHAnsi" w:hAnsiTheme="minorHAnsi" w:cstheme="minorHAnsi"/>
          <w:szCs w:val="24"/>
        </w:rPr>
        <w:t xml:space="preserve"> that Member State feedback has resulted in concrete process and format improvements as well as ongoing improvement initiatives. Continued monitoring of accessibility, regional budget balance and inclusion metrics will determine whether further refinements are required.</w:t>
      </w:r>
    </w:p>
    <w:p w14:paraId="484CB836"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Data Sources</w:t>
      </w:r>
    </w:p>
    <w:p w14:paraId="4243C197" w14:textId="77777777" w:rsidR="00617FC9" w:rsidRPr="0046236F" w:rsidRDefault="00617FC9" w:rsidP="00BC7ABA">
      <w:pPr>
        <w:pStyle w:val="ListParagraph"/>
        <w:numPr>
          <w:ilvl w:val="0"/>
          <w:numId w:val="50"/>
        </w:numPr>
        <w:spacing w:before="60" w:after="60"/>
        <w:contextualSpacing w:val="0"/>
        <w:jc w:val="both"/>
        <w:rPr>
          <w:rFonts w:asciiTheme="minorHAnsi" w:hAnsiTheme="minorHAnsi" w:cstheme="minorHAnsi"/>
          <w:sz w:val="24"/>
          <w:szCs w:val="24"/>
          <w:lang w:eastAsia="ko-KR"/>
        </w:rPr>
      </w:pPr>
      <w:r w:rsidRPr="0046236F">
        <w:rPr>
          <w:rFonts w:asciiTheme="minorHAnsi" w:hAnsiTheme="minorHAnsi" w:cstheme="minorHAnsi"/>
          <w:sz w:val="24"/>
          <w:szCs w:val="24"/>
          <w:lang w:eastAsia="ko-KR"/>
        </w:rPr>
        <w:t xml:space="preserve">Multi-country contribution - </w:t>
      </w:r>
      <w:r w:rsidRPr="0046236F">
        <w:rPr>
          <w:rFonts w:asciiTheme="minorHAnsi" w:hAnsiTheme="minorHAnsi" w:cstheme="minorHAnsi"/>
          <w:sz w:val="24"/>
          <w:szCs w:val="24"/>
        </w:rPr>
        <w:t>Measures to improve, promote and strengthen ITU fellowships</w:t>
      </w:r>
      <w:r w:rsidRPr="0046236F">
        <w:rPr>
          <w:rFonts w:asciiTheme="minorHAnsi" w:hAnsiTheme="minorHAnsi" w:cstheme="minorHAnsi"/>
          <w:sz w:val="24"/>
          <w:szCs w:val="24"/>
          <w:lang w:eastAsia="ko-KR"/>
        </w:rPr>
        <w:t xml:space="preserve">: </w:t>
      </w:r>
      <w:hyperlink r:id="rId106" w:tgtFrame="_blank" w:history="1">
        <w:r w:rsidRPr="0046236F">
          <w:rPr>
            <w:rFonts w:asciiTheme="minorHAnsi" w:hAnsiTheme="minorHAnsi" w:cstheme="minorHAnsi"/>
            <w:color w:val="467886"/>
            <w:sz w:val="24"/>
            <w:szCs w:val="24"/>
            <w:u w:val="single"/>
          </w:rPr>
          <w:t>C24/100</w:t>
        </w:r>
      </w:hyperlink>
      <w:r w:rsidRPr="0046236F">
        <w:rPr>
          <w:rFonts w:asciiTheme="minorHAnsi" w:hAnsiTheme="minorHAnsi" w:cstheme="minorHAnsi"/>
          <w:sz w:val="24"/>
          <w:szCs w:val="24"/>
        </w:rPr>
        <w:t>.</w:t>
      </w:r>
    </w:p>
    <w:p w14:paraId="3C668CC1" w14:textId="77777777" w:rsidR="00617FC9" w:rsidRPr="0046236F" w:rsidRDefault="00617FC9" w:rsidP="00617FC9">
      <w:pPr>
        <w:pStyle w:val="KPItitle"/>
        <w:jc w:val="both"/>
        <w:rPr>
          <w:rFonts w:asciiTheme="minorHAnsi" w:hAnsiTheme="minorHAnsi" w:cstheme="minorHAnsi"/>
          <w:sz w:val="24"/>
          <w:szCs w:val="24"/>
        </w:rPr>
      </w:pPr>
      <w:bookmarkStart w:id="151" w:name="_Toc224213068"/>
      <w:bookmarkStart w:id="152" w:name="_Toc224236499"/>
      <w:r w:rsidRPr="0046236F">
        <w:rPr>
          <w:rFonts w:asciiTheme="minorHAnsi" w:hAnsiTheme="minorHAnsi" w:cstheme="minorHAnsi"/>
          <w:sz w:val="24"/>
          <w:szCs w:val="24"/>
        </w:rPr>
        <w:t>KPI 24 — Representation of all three Sectors in Regional and Area Offices when implementing the One-ITU approach:</w:t>
      </w:r>
      <w:bookmarkEnd w:id="151"/>
      <w:bookmarkEnd w:id="152"/>
    </w:p>
    <w:p w14:paraId="4532AC38" w14:textId="77777777" w:rsidR="00617FC9" w:rsidRPr="00F665DA" w:rsidRDefault="00617FC9" w:rsidP="00BC7ABA">
      <w:pPr>
        <w:pStyle w:val="ListParagraph"/>
        <w:numPr>
          <w:ilvl w:val="0"/>
          <w:numId w:val="51"/>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Availability/</w:t>
      </w:r>
      <w:r w:rsidRPr="00F665DA">
        <w:rPr>
          <w:rFonts w:asciiTheme="minorHAnsi" w:hAnsiTheme="minorHAnsi" w:cstheme="minorHAnsi"/>
          <w:sz w:val="24"/>
          <w:szCs w:val="24"/>
          <w:lang w:eastAsia="en-GB"/>
        </w:rPr>
        <w:t>Number of Focal Points for T and R Sectors in all ROs/AOs</w:t>
      </w:r>
    </w:p>
    <w:p w14:paraId="4405AD98" w14:textId="77777777" w:rsidR="00617FC9" w:rsidRPr="00F665DA" w:rsidRDefault="00617FC9" w:rsidP="00BC7ABA">
      <w:pPr>
        <w:pStyle w:val="ListParagraph"/>
        <w:numPr>
          <w:ilvl w:val="0"/>
          <w:numId w:val="51"/>
        </w:numPr>
        <w:spacing w:before="60" w:after="60"/>
        <w:contextualSpacing w:val="0"/>
        <w:jc w:val="both"/>
        <w:rPr>
          <w:rFonts w:asciiTheme="minorHAnsi" w:hAnsiTheme="minorHAnsi" w:cstheme="minorHAnsi"/>
          <w:sz w:val="24"/>
          <w:szCs w:val="24"/>
          <w:lang w:eastAsia="en-GB"/>
        </w:rPr>
      </w:pPr>
      <w:r w:rsidRPr="00F665DA">
        <w:rPr>
          <w:rFonts w:asciiTheme="minorHAnsi" w:hAnsiTheme="minorHAnsi" w:cstheme="minorHAnsi"/>
          <w:sz w:val="24"/>
          <w:szCs w:val="24"/>
          <w:lang w:eastAsia="en-GB"/>
        </w:rPr>
        <w:t xml:space="preserve">Means of provision with technical staff with knowledge and experience of the three Sectors of the Union to the Ros/AOs, particularly dedicated staff from the Standardization and Radiocommunication Sectors, </w:t>
      </w:r>
      <w:proofErr w:type="gramStart"/>
      <w:r w:rsidRPr="00F665DA">
        <w:rPr>
          <w:rFonts w:asciiTheme="minorHAnsi" w:hAnsiTheme="minorHAnsi" w:cstheme="minorHAnsi"/>
          <w:sz w:val="24"/>
          <w:szCs w:val="24"/>
          <w:lang w:eastAsia="en-GB"/>
        </w:rPr>
        <w:t>in order to</w:t>
      </w:r>
      <w:proofErr w:type="gramEnd"/>
      <w:r w:rsidRPr="00F665DA">
        <w:rPr>
          <w:rFonts w:asciiTheme="minorHAnsi" w:hAnsiTheme="minorHAnsi" w:cstheme="minorHAnsi"/>
          <w:sz w:val="24"/>
          <w:szCs w:val="24"/>
          <w:lang w:eastAsia="en-GB"/>
        </w:rPr>
        <w:t xml:space="preserve"> strengthen and assist Member States</w:t>
      </w:r>
    </w:p>
    <w:p w14:paraId="28E18479" w14:textId="77777777" w:rsidR="00617FC9" w:rsidRPr="0046236F" w:rsidRDefault="00617FC9" w:rsidP="00BC7ABA">
      <w:pPr>
        <w:pStyle w:val="ListParagraph"/>
        <w:numPr>
          <w:ilvl w:val="0"/>
          <w:numId w:val="51"/>
        </w:numPr>
        <w:spacing w:before="60" w:after="60"/>
        <w:contextualSpacing w:val="0"/>
        <w:jc w:val="both"/>
        <w:rPr>
          <w:rFonts w:asciiTheme="minorHAnsi" w:hAnsiTheme="minorHAnsi" w:cstheme="minorHAnsi"/>
          <w:sz w:val="24"/>
          <w:szCs w:val="24"/>
          <w:lang w:eastAsia="en-GB"/>
        </w:rPr>
      </w:pPr>
      <w:r w:rsidRPr="00F665DA">
        <w:rPr>
          <w:rFonts w:asciiTheme="minorHAnsi" w:hAnsiTheme="minorHAnsi" w:cstheme="minorHAnsi"/>
          <w:sz w:val="24"/>
          <w:szCs w:val="24"/>
          <w:lang w:eastAsia="en-GB"/>
        </w:rPr>
        <w:t>Participation of Regional and Area Offices in the activities of all three Sectors (ITU</w:t>
      </w:r>
      <w:r w:rsidRPr="00F665DA">
        <w:rPr>
          <w:rFonts w:ascii="Cambria Math" w:hAnsi="Cambria Math" w:cs="Cambria Math"/>
          <w:sz w:val="24"/>
          <w:szCs w:val="24"/>
          <w:lang w:eastAsia="en-GB"/>
        </w:rPr>
        <w:t>‑</w:t>
      </w:r>
      <w:r w:rsidRPr="00F665DA">
        <w:rPr>
          <w:rFonts w:asciiTheme="minorHAnsi" w:hAnsiTheme="minorHAnsi" w:cstheme="minorHAnsi"/>
          <w:sz w:val="24"/>
          <w:szCs w:val="24"/>
          <w:lang w:eastAsia="en-GB"/>
        </w:rPr>
        <w:t>T and ITU-R in particular</w:t>
      </w:r>
      <w:r w:rsidRPr="0046236F">
        <w:rPr>
          <w:rFonts w:asciiTheme="minorHAnsi" w:hAnsiTheme="minorHAnsi" w:cstheme="minorHAnsi"/>
          <w:sz w:val="24"/>
          <w:szCs w:val="24"/>
          <w:lang w:eastAsia="en-GB"/>
        </w:rPr>
        <w:t>)</w:t>
      </w:r>
    </w:p>
    <w:p w14:paraId="6EA3F124"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combined evidence demonstrates that the One-ITU approach is institutionally embedded in Regional and Area Offices, but perceptions indicate uneven operational depth and visibility across regions.</w:t>
      </w:r>
    </w:p>
    <w:p w14:paraId="2266F475"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Forty-nine per cent of staff respondents agree that existing levels of access to technical staff from the three Sectors are adequate (</w:t>
      </w:r>
      <w:r w:rsidRPr="0046236F">
        <w:rPr>
          <w:rFonts w:asciiTheme="minorHAnsi" w:eastAsia="Avenir Nxt2 W1G" w:hAnsiTheme="minorHAnsi" w:cstheme="minorHAnsi"/>
          <w:szCs w:val="24"/>
        </w:rPr>
        <w:t>IA Q5_a</w:t>
      </w:r>
      <w:r w:rsidRPr="0046236F">
        <w:rPr>
          <w:rFonts w:asciiTheme="minorHAnsi" w:hAnsiTheme="minorHAnsi" w:cstheme="minorHAnsi"/>
          <w:szCs w:val="24"/>
        </w:rPr>
        <w:t>), and 26% remain neutral (</w:t>
      </w:r>
      <w:r w:rsidRPr="0046236F">
        <w:rPr>
          <w:rFonts w:asciiTheme="minorHAnsi" w:eastAsia="Avenir Nxt2 W1G" w:hAnsiTheme="minorHAnsi" w:cstheme="minorHAnsi"/>
          <w:szCs w:val="24"/>
        </w:rPr>
        <w:t>IA Q5_a</w:t>
      </w:r>
      <w:r w:rsidRPr="0046236F">
        <w:rPr>
          <w:rFonts w:asciiTheme="minorHAnsi" w:hAnsiTheme="minorHAnsi" w:cstheme="minorHAnsi"/>
          <w:szCs w:val="24"/>
        </w:rPr>
        <w:t xml:space="preserve">). These results suggest </w:t>
      </w:r>
      <w:r w:rsidRPr="0046236F">
        <w:rPr>
          <w:rFonts w:asciiTheme="minorHAnsi" w:hAnsiTheme="minorHAnsi" w:cstheme="minorHAnsi"/>
          <w:szCs w:val="24"/>
        </w:rPr>
        <w:lastRenderedPageBreak/>
        <w:t>that baseline representation mechanisms are in place, yet a substantial share of respondents do not fully endorse their sufficiency. The neutral share further indicates that access to cross-Sector expertise may not be uniformly experienced across offices.</w:t>
      </w:r>
    </w:p>
    <w:p w14:paraId="62BCE213"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At the same time, 69% agree that access to dedicated staff from the Standardization and Radiocommunication Sectors would be beneficial (</w:t>
      </w:r>
      <w:r w:rsidRPr="0046236F">
        <w:rPr>
          <w:rFonts w:asciiTheme="minorHAnsi" w:eastAsia="Avenir Nxt2 W1G" w:hAnsiTheme="minorHAnsi" w:cstheme="minorHAnsi"/>
          <w:szCs w:val="24"/>
        </w:rPr>
        <w:t xml:space="preserve">IA </w:t>
      </w:r>
      <w:r w:rsidRPr="0046236F">
        <w:rPr>
          <w:rFonts w:asciiTheme="minorHAnsi" w:hAnsiTheme="minorHAnsi" w:cstheme="minorHAnsi"/>
          <w:szCs w:val="24"/>
        </w:rPr>
        <w:t>Q5_b). This strong support for enhanced dedicated expertise signals a perceived gap between current arrangements and desired operational capacity. While representation structures exist, they are not widely viewed as optimal in terms of depth or continuity.</w:t>
      </w:r>
    </w:p>
    <w:p w14:paraId="0339EE3D" w14:textId="77777777" w:rsidR="00617FC9" w:rsidRPr="0046236F" w:rsidRDefault="00617FC9" w:rsidP="00617FC9">
      <w:pPr>
        <w:jc w:val="both"/>
        <w:rPr>
          <w:rFonts w:asciiTheme="minorHAnsi" w:hAnsiTheme="minorHAnsi" w:cstheme="minorHAnsi"/>
          <w:szCs w:val="24"/>
          <w:highlight w:val="yellow"/>
        </w:rPr>
      </w:pPr>
      <w:r w:rsidRPr="0046236F">
        <w:rPr>
          <w:rFonts w:asciiTheme="minorHAnsi" w:hAnsiTheme="minorHAnsi" w:cstheme="minorHAnsi"/>
          <w:szCs w:val="24"/>
        </w:rPr>
        <w:t>Fifty-three per cent of staff agree that Regional and Area Offices participate actively in all three Sectors (</w:t>
      </w:r>
      <w:r w:rsidRPr="0046236F">
        <w:rPr>
          <w:rFonts w:asciiTheme="minorHAnsi" w:eastAsia="Avenir Nxt2 W1G" w:hAnsiTheme="minorHAnsi" w:cstheme="minorHAnsi"/>
          <w:szCs w:val="24"/>
        </w:rPr>
        <w:t xml:space="preserve">IA </w:t>
      </w:r>
      <w:r w:rsidRPr="0046236F">
        <w:rPr>
          <w:rFonts w:asciiTheme="minorHAnsi" w:hAnsiTheme="minorHAnsi" w:cstheme="minorHAnsi"/>
          <w:szCs w:val="24"/>
        </w:rPr>
        <w:t>Q4), while 28% disagree and 17% remain neutral (IA Q4). These results indicate that cross-Sector engagement is present but not consistently perceived as active or systematic across regions. The level of disagreement suggests variability in implementation of the One-ITU approach at operational level. Sixty-six per cent</w:t>
      </w:r>
      <w:r w:rsidRPr="0046236F" w:rsidDel="0012506C">
        <w:rPr>
          <w:rFonts w:asciiTheme="minorHAnsi" w:hAnsiTheme="minorHAnsi" w:cstheme="minorHAnsi"/>
          <w:szCs w:val="24"/>
        </w:rPr>
        <w:t xml:space="preserve"> </w:t>
      </w:r>
      <w:r w:rsidRPr="0046236F">
        <w:rPr>
          <w:rFonts w:asciiTheme="minorHAnsi" w:hAnsiTheme="minorHAnsi" w:cstheme="minorHAnsi"/>
          <w:szCs w:val="24"/>
        </w:rPr>
        <w:t>of staff agree that increased physical presence of ITU staff from all bureaux would strengthen regional presence (</w:t>
      </w:r>
      <w:r w:rsidRPr="0046236F">
        <w:rPr>
          <w:rFonts w:asciiTheme="minorHAnsi" w:eastAsia="Avenir Nxt2 W1G" w:hAnsiTheme="minorHAnsi" w:cstheme="minorHAnsi"/>
          <w:szCs w:val="24"/>
        </w:rPr>
        <w:t>IA Q</w:t>
      </w:r>
      <w:r w:rsidRPr="0046236F">
        <w:rPr>
          <w:rFonts w:asciiTheme="minorHAnsi" w:eastAsia="Malgun Gothic" w:hAnsiTheme="minorHAnsi" w:cstheme="minorHAnsi"/>
          <w:szCs w:val="24"/>
          <w:lang w:eastAsia="ko-KR"/>
        </w:rPr>
        <w:t>9_a</w:t>
      </w:r>
      <w:r w:rsidRPr="0046236F">
        <w:rPr>
          <w:rFonts w:asciiTheme="minorHAnsi" w:hAnsiTheme="minorHAnsi" w:cstheme="minorHAnsi"/>
          <w:szCs w:val="24"/>
        </w:rPr>
        <w:t>).</w:t>
      </w:r>
    </w:p>
    <w:p w14:paraId="60754CE3"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Membership responses align with this assessment, with 61% agreeing that increased physical presence would strengthen regional activities (</w:t>
      </w:r>
      <w:r w:rsidRPr="0046236F">
        <w:rPr>
          <w:rFonts w:asciiTheme="minorHAnsi" w:eastAsia="Avenir Nxt2 W1G" w:hAnsiTheme="minorHAnsi" w:cstheme="minorHAnsi"/>
          <w:szCs w:val="24"/>
        </w:rPr>
        <w:t>MS Q5)</w:t>
      </w:r>
      <w:r w:rsidRPr="0046236F">
        <w:rPr>
          <w:rFonts w:asciiTheme="minorHAnsi" w:hAnsiTheme="minorHAnsi" w:cstheme="minorHAnsi"/>
          <w:szCs w:val="24"/>
        </w:rPr>
        <w:t>. This convergence between internal and external perspectives underscores the perceived importance of visible and sustained cross-bureau representation.</w:t>
      </w:r>
    </w:p>
    <w:p w14:paraId="0F137930"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Interviews with Regional and Area Office representatives provide additional operational insight into how the One-ITU approach is implemented in practice. RTO respondents emphasized the importance of sustained intersectoral coordination at regional level and highlighted the value of structured access to ITU-T and ITU-R expertise in supporting the implementation of activities.</w:t>
      </w:r>
    </w:p>
    <w:p w14:paraId="791CCCF3"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Several interviewees noted that the level of engagement of technical sectors in regional initiatives can vary depending on resource availability and thematic priorities. These reflections underscore a shared institutional objective to further consolidate intersectoral participation in regional programmes, ensuring that development activities are systematically enriched by ITU-T and ITU-R expertise.</w:t>
      </w:r>
    </w:p>
    <w:p w14:paraId="60EF6E0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Document analysis confirms that focal point arrangements and coordination mechanisms between Regional Offices and ITU-T and ITU-R are formally established. Organizational frameworks reflect commitment to integrated cross-Sector delivery. However, perception data indicate that formal designation of focal points does not automatically translate into consistent operational integration or sustained Sector participation in regional activities.</w:t>
      </w:r>
    </w:p>
    <w:p w14:paraId="5C5DD897" w14:textId="3752EA13"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Conclusion</w:t>
      </w:r>
    </w:p>
    <w:p w14:paraId="174AF9F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Overall, the evidence demonstrates that representation of the three Sectors at regional level is structurally in place and broadly functioning. At the same time, moderate endorsement levels, combined with strong support for enhanced dedicated expertise and increased physical presence, indicate that strengthening cross-Sector integration would likely reinforce confidence in the practical implementation of the One-ITU approach at regional level.</w:t>
      </w:r>
    </w:p>
    <w:p w14:paraId="32643BCB"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Data Sources</w:t>
      </w:r>
    </w:p>
    <w:p w14:paraId="4A56A407" w14:textId="77777777" w:rsidR="00617FC9" w:rsidRPr="00A81DED" w:rsidRDefault="00617FC9" w:rsidP="00A81DED">
      <w:pPr>
        <w:pStyle w:val="ListParagraph"/>
        <w:numPr>
          <w:ilvl w:val="0"/>
          <w:numId w:val="63"/>
        </w:numPr>
        <w:spacing w:before="60" w:after="60"/>
        <w:contextualSpacing w:val="0"/>
        <w:rPr>
          <w:rFonts w:asciiTheme="minorHAnsi" w:hAnsiTheme="minorHAnsi" w:cstheme="minorHAnsi"/>
          <w:color w:val="000000"/>
          <w:sz w:val="24"/>
          <w:szCs w:val="24"/>
        </w:rPr>
      </w:pPr>
      <w:r w:rsidRPr="00A81DED">
        <w:rPr>
          <w:rFonts w:asciiTheme="minorHAnsi" w:hAnsiTheme="minorHAnsi" w:cstheme="minorHAnsi"/>
          <w:color w:val="000000"/>
          <w:sz w:val="24"/>
          <w:szCs w:val="24"/>
        </w:rPr>
        <w:t xml:space="preserve">Annual Report on the implementation of the strategic plan and activities of the Union, 2024, </w:t>
      </w:r>
      <w:hyperlink r:id="rId107">
        <w:r w:rsidRPr="00A81DED">
          <w:rPr>
            <w:rFonts w:asciiTheme="minorHAnsi" w:hAnsiTheme="minorHAnsi" w:cstheme="minorHAnsi"/>
            <w:color w:val="467886"/>
            <w:sz w:val="24"/>
            <w:szCs w:val="24"/>
            <w:u w:val="single"/>
          </w:rPr>
          <w:t>Document C25/35</w:t>
        </w:r>
      </w:hyperlink>
      <w:r w:rsidRPr="00A81DED">
        <w:rPr>
          <w:rFonts w:asciiTheme="minorHAnsi" w:hAnsiTheme="minorHAnsi" w:cstheme="minorHAnsi"/>
          <w:sz w:val="24"/>
          <w:szCs w:val="24"/>
        </w:rPr>
        <w:t>.</w:t>
      </w:r>
    </w:p>
    <w:p w14:paraId="78DF6CBE" w14:textId="77777777" w:rsidR="00617FC9" w:rsidRPr="00A81DED" w:rsidRDefault="00617FC9" w:rsidP="00A81DED">
      <w:pPr>
        <w:pStyle w:val="ListParagraph"/>
        <w:numPr>
          <w:ilvl w:val="0"/>
          <w:numId w:val="63"/>
        </w:numPr>
        <w:spacing w:before="60" w:after="60"/>
        <w:contextualSpacing w:val="0"/>
        <w:rPr>
          <w:rFonts w:asciiTheme="minorHAnsi" w:hAnsiTheme="minorHAnsi" w:cstheme="minorHAnsi"/>
          <w:sz w:val="24"/>
          <w:szCs w:val="24"/>
        </w:rPr>
      </w:pPr>
      <w:r w:rsidRPr="00A81DED">
        <w:rPr>
          <w:rFonts w:asciiTheme="minorHAnsi" w:hAnsiTheme="minorHAnsi" w:cstheme="minorHAnsi"/>
          <w:sz w:val="24"/>
          <w:szCs w:val="24"/>
        </w:rPr>
        <w:t xml:space="preserve">Report on the implementation of the Kigali Action Plan (KAP), </w:t>
      </w:r>
      <w:hyperlink r:id="rId108">
        <w:r w:rsidRPr="00A81DED">
          <w:rPr>
            <w:rFonts w:asciiTheme="minorHAnsi" w:hAnsiTheme="minorHAnsi" w:cstheme="minorHAnsi"/>
            <w:color w:val="467886"/>
            <w:sz w:val="24"/>
            <w:szCs w:val="24"/>
            <w:u w:val="single"/>
          </w:rPr>
          <w:t>Document WTDC-25/2</w:t>
        </w:r>
      </w:hyperlink>
      <w:r w:rsidRPr="00A81DED">
        <w:rPr>
          <w:rFonts w:asciiTheme="minorHAnsi" w:hAnsiTheme="minorHAnsi" w:cstheme="minorHAnsi"/>
          <w:sz w:val="24"/>
          <w:szCs w:val="24"/>
        </w:rPr>
        <w:t>.</w:t>
      </w:r>
    </w:p>
    <w:p w14:paraId="2E5BAAD0" w14:textId="77777777" w:rsidR="00617FC9" w:rsidRPr="00A81DED" w:rsidRDefault="00617FC9" w:rsidP="00A81DED">
      <w:pPr>
        <w:pStyle w:val="ListParagraph"/>
        <w:numPr>
          <w:ilvl w:val="0"/>
          <w:numId w:val="63"/>
        </w:numPr>
        <w:spacing w:before="60" w:after="60"/>
        <w:contextualSpacing w:val="0"/>
        <w:rPr>
          <w:rFonts w:asciiTheme="minorHAnsi" w:hAnsiTheme="minorHAnsi" w:cstheme="minorHAnsi"/>
          <w:sz w:val="24"/>
          <w:szCs w:val="24"/>
        </w:rPr>
      </w:pPr>
      <w:r w:rsidRPr="00A81DED">
        <w:rPr>
          <w:rFonts w:asciiTheme="minorHAnsi" w:hAnsiTheme="minorHAnsi" w:cstheme="minorHAnsi"/>
          <w:sz w:val="24"/>
          <w:szCs w:val="24"/>
        </w:rPr>
        <w:lastRenderedPageBreak/>
        <w:t>Public information: Press releases, BDT weekly highlights, event websites.</w:t>
      </w:r>
    </w:p>
    <w:p w14:paraId="0DB4B5B9" w14:textId="77777777" w:rsidR="00617FC9" w:rsidRPr="00A81DED" w:rsidRDefault="00617FC9" w:rsidP="00A81DED">
      <w:pPr>
        <w:pStyle w:val="ListParagraph"/>
        <w:numPr>
          <w:ilvl w:val="0"/>
          <w:numId w:val="63"/>
        </w:numPr>
        <w:spacing w:before="60" w:after="60"/>
        <w:contextualSpacing w:val="0"/>
        <w:rPr>
          <w:rFonts w:asciiTheme="minorHAnsi" w:hAnsiTheme="minorHAnsi" w:cstheme="minorHAnsi"/>
          <w:color w:val="000000"/>
          <w:sz w:val="24"/>
          <w:szCs w:val="24"/>
        </w:rPr>
      </w:pPr>
      <w:r w:rsidRPr="00A81DED">
        <w:rPr>
          <w:rFonts w:asciiTheme="minorHAnsi" w:hAnsiTheme="minorHAnsi" w:cstheme="minorHAnsi"/>
          <w:color w:val="000000"/>
          <w:sz w:val="24"/>
          <w:szCs w:val="24"/>
        </w:rPr>
        <w:t xml:space="preserve">Public documents Strengthening ITU Regional Presence, </w:t>
      </w:r>
      <w:hyperlink r:id="rId109">
        <w:r w:rsidRPr="00A81DED">
          <w:rPr>
            <w:rFonts w:asciiTheme="minorHAnsi" w:hAnsiTheme="minorHAnsi" w:cstheme="minorHAnsi"/>
            <w:color w:val="467886"/>
            <w:sz w:val="24"/>
            <w:szCs w:val="24"/>
            <w:u w:val="single"/>
          </w:rPr>
          <w:t>Document C25/25</w:t>
        </w:r>
      </w:hyperlink>
      <w:r w:rsidRPr="00A81DED">
        <w:rPr>
          <w:rFonts w:asciiTheme="minorHAnsi" w:hAnsiTheme="minorHAnsi" w:cstheme="minorHAnsi"/>
          <w:sz w:val="24"/>
          <w:szCs w:val="24"/>
        </w:rPr>
        <w:t>.</w:t>
      </w:r>
    </w:p>
    <w:p w14:paraId="68AC2A9C" w14:textId="77777777" w:rsidR="00617FC9" w:rsidRPr="00A81DED" w:rsidRDefault="00617FC9" w:rsidP="00A81DED">
      <w:pPr>
        <w:pStyle w:val="ListParagraph"/>
        <w:numPr>
          <w:ilvl w:val="0"/>
          <w:numId w:val="63"/>
        </w:numPr>
        <w:spacing w:before="60" w:after="60"/>
        <w:contextualSpacing w:val="0"/>
        <w:rPr>
          <w:rFonts w:asciiTheme="minorHAnsi" w:hAnsiTheme="minorHAnsi" w:cstheme="minorHAnsi"/>
          <w:sz w:val="24"/>
          <w:szCs w:val="24"/>
        </w:rPr>
      </w:pPr>
      <w:r w:rsidRPr="00A81DED">
        <w:rPr>
          <w:rFonts w:asciiTheme="minorHAnsi" w:hAnsiTheme="minorHAnsi" w:cstheme="minorHAnsi"/>
          <w:sz w:val="24"/>
          <w:szCs w:val="24"/>
        </w:rPr>
        <w:t>Internal consultation with ITU Regional/Area Offices.</w:t>
      </w:r>
    </w:p>
    <w:p w14:paraId="2FEB898D" w14:textId="77777777" w:rsidR="00617FC9" w:rsidRPr="00A81DED" w:rsidRDefault="00617FC9" w:rsidP="00A81DED">
      <w:pPr>
        <w:pStyle w:val="ListParagraph"/>
        <w:numPr>
          <w:ilvl w:val="0"/>
          <w:numId w:val="63"/>
        </w:numPr>
        <w:spacing w:before="60" w:after="60"/>
        <w:contextualSpacing w:val="0"/>
        <w:rPr>
          <w:rFonts w:asciiTheme="minorHAnsi" w:hAnsiTheme="minorHAnsi" w:cstheme="minorHAnsi"/>
          <w:sz w:val="24"/>
          <w:szCs w:val="24"/>
        </w:rPr>
      </w:pPr>
      <w:r w:rsidRPr="00A81DED">
        <w:rPr>
          <w:rFonts w:asciiTheme="minorHAnsi" w:hAnsiTheme="minorHAnsi" w:cstheme="minorHAnsi"/>
          <w:sz w:val="24"/>
          <w:szCs w:val="24"/>
        </w:rPr>
        <w:t xml:space="preserve">[67-GEN] Contribution of the ITU Regional Offices to the ITU-T Operational Plan and Coordination activities with TSB (July 2024 - April 2025), </w:t>
      </w:r>
      <w:hyperlink r:id="rId110">
        <w:r w:rsidRPr="00A81DED">
          <w:rPr>
            <w:rFonts w:asciiTheme="minorHAnsi" w:hAnsiTheme="minorHAnsi" w:cstheme="minorHAnsi"/>
            <w:color w:val="467886"/>
            <w:sz w:val="24"/>
            <w:szCs w:val="24"/>
            <w:u w:val="single"/>
          </w:rPr>
          <w:t>https://www.itu.int/md/T25-TSAG-250526-TD-GEN-0067/en</w:t>
        </w:r>
      </w:hyperlink>
      <w:r w:rsidRPr="00A81DED">
        <w:rPr>
          <w:rFonts w:asciiTheme="minorHAnsi" w:hAnsiTheme="minorHAnsi" w:cstheme="minorHAnsi"/>
          <w:sz w:val="24"/>
          <w:szCs w:val="24"/>
        </w:rPr>
        <w:t>.</w:t>
      </w:r>
    </w:p>
    <w:p w14:paraId="7A08A8C1" w14:textId="77777777" w:rsidR="00617FC9" w:rsidRPr="0046236F" w:rsidRDefault="00617FC9" w:rsidP="00617FC9">
      <w:pPr>
        <w:pStyle w:val="KPItitle"/>
        <w:jc w:val="both"/>
        <w:rPr>
          <w:rFonts w:asciiTheme="minorHAnsi" w:hAnsiTheme="minorHAnsi" w:cstheme="minorHAnsi"/>
          <w:sz w:val="24"/>
          <w:szCs w:val="24"/>
        </w:rPr>
      </w:pPr>
      <w:bookmarkStart w:id="153" w:name="_Toc224213069"/>
      <w:bookmarkStart w:id="154" w:name="_Toc224236500"/>
      <w:r w:rsidRPr="0046236F">
        <w:rPr>
          <w:rFonts w:asciiTheme="minorHAnsi" w:hAnsiTheme="minorHAnsi" w:cstheme="minorHAnsi"/>
          <w:sz w:val="24"/>
          <w:szCs w:val="24"/>
        </w:rPr>
        <w:t>KPI 25 — Assess whether the regional presence provides adequate information in respect of the following, in annual/periodic reporting regarding the regional presence (each of the regional/area offices) to the Directors of the three Bureaus, Advisory Bodies and Council, as appropriate:</w:t>
      </w:r>
      <w:bookmarkEnd w:id="153"/>
      <w:bookmarkEnd w:id="154"/>
    </w:p>
    <w:p w14:paraId="393EFFB5" w14:textId="77777777" w:rsidR="00617FC9" w:rsidRPr="0046236F" w:rsidRDefault="00617FC9" w:rsidP="00BC7ABA">
      <w:pPr>
        <w:pStyle w:val="ListParagraph"/>
        <w:numPr>
          <w:ilvl w:val="0"/>
          <w:numId w:val="53"/>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Staffing of regional and area offices, including number of staff members, their category of employment and other factors in accordance with Resolution 48 (Rev. Bucharest, 2022)</w:t>
      </w:r>
    </w:p>
    <w:p w14:paraId="40E48584" w14:textId="77777777" w:rsidR="00617FC9" w:rsidRPr="0046236F" w:rsidRDefault="00617FC9" w:rsidP="00BC7ABA">
      <w:pPr>
        <w:pStyle w:val="ListParagraph"/>
        <w:numPr>
          <w:ilvl w:val="0"/>
          <w:numId w:val="53"/>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Financial information, including budget allocated to the regional and area offices and expenses per thematic priority and planned output</w:t>
      </w:r>
    </w:p>
    <w:p w14:paraId="19E2ECBA" w14:textId="77777777" w:rsidR="00617FC9" w:rsidRPr="0046236F" w:rsidRDefault="00617FC9" w:rsidP="00BC7ABA">
      <w:pPr>
        <w:pStyle w:val="ListParagraph"/>
        <w:numPr>
          <w:ilvl w:val="0"/>
          <w:numId w:val="53"/>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The implementation of activities (including those related to the three Sectors and the General Secretariat)</w:t>
      </w:r>
    </w:p>
    <w:p w14:paraId="31A051E5" w14:textId="77777777" w:rsidR="00617FC9" w:rsidRPr="0046236F" w:rsidRDefault="00617FC9" w:rsidP="00617FC9">
      <w:pPr>
        <w:jc w:val="both"/>
        <w:rPr>
          <w:rFonts w:asciiTheme="minorHAnsi" w:eastAsia="DengXian Light" w:hAnsiTheme="minorHAnsi" w:cstheme="minorHAnsi"/>
          <w:szCs w:val="24"/>
          <w:lang w:eastAsia="en-GB"/>
        </w:rPr>
      </w:pPr>
      <w:r w:rsidRPr="0046236F">
        <w:rPr>
          <w:rFonts w:asciiTheme="minorHAnsi" w:hAnsiTheme="minorHAnsi" w:cstheme="minorHAnsi"/>
          <w:szCs w:val="24"/>
        </w:rPr>
        <w:t>The combined evidence indicates that reporting on regional presence is institutionally established and generally perceived as adequate, though not without scope for strengthening.</w:t>
      </w:r>
    </w:p>
    <w:p w14:paraId="6E728C1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Membership responses show majority agreement that reporting to governance bodies provides adequate information. Fifty-nine per cent agree regarding reporting to Council, 58% regarding TDAG, 53% regarding TSAG and 51% regarding RAG. These results indicate that more than half of responding Members consider reporting adequate, although the level of endorsement is moderately high rather than strong.</w:t>
      </w:r>
    </w:p>
    <w:p w14:paraId="3B763124"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Staff responses display a similar pattern, with somewhat higher agreement levels. Sixty-eight percent agree that reporting to TDAG is adequate, 66% regarding Council, 58% regarding TSAG and 57% regarding RAG. This suggests that internal stakeholders view reporting mechanisms as functioning.</w:t>
      </w:r>
    </w:p>
    <w:p w14:paraId="40480E9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Regarding governance oversight, 57% of Members agree that more oversight by Advisory Bodies and Council would strengthen regional presence. This result indicates that, while reporting structures are in place, Members perceive value in reinforced scrutiny or enhanced visibility of information.</w:t>
      </w:r>
    </w:p>
    <w:p w14:paraId="27658364"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Document analysis confirms that periodic reporting frameworks include structured information on staffing levels per Regional and Area Office, including employment categories; financial allocations and expenditures by thematic priority; and implementation of projects and initiatives linked to strategic and operational plans. Reporting cycles and templates are aligned with Strategic Plan requirements, the Kigali Action Plan and four-year rolling operational plans. The inclusion of staffing data, financial information and implementation updates demonstrates formal compliance with reporting obligations.</w:t>
      </w:r>
    </w:p>
    <w:p w14:paraId="7C6E4B72" w14:textId="77777777" w:rsidR="00617FC9" w:rsidRPr="0046236F" w:rsidRDefault="00617FC9" w:rsidP="00617FC9">
      <w:pPr>
        <w:jc w:val="both"/>
        <w:rPr>
          <w:rFonts w:asciiTheme="minorHAnsi" w:hAnsiTheme="minorHAnsi" w:cstheme="minorHAnsi"/>
          <w:color w:val="000000"/>
          <w:szCs w:val="24"/>
          <w:lang w:eastAsia="en-GB"/>
        </w:rPr>
      </w:pPr>
      <w:r w:rsidRPr="0046236F">
        <w:rPr>
          <w:rFonts w:asciiTheme="minorHAnsi" w:hAnsiTheme="minorHAnsi" w:cstheme="minorHAnsi"/>
          <w:szCs w:val="24"/>
        </w:rPr>
        <w:t>However, perception data suggest that adequacy is not uniformly or strongly endorsed across all governance bodies. Agreement levels cluster between 51% and 68%, indicating that reporting is generally considered sufficient but could be strengthened in terms of clarity, granularity or comparability across regions and sectors</w:t>
      </w:r>
      <w:r w:rsidRPr="0046236F">
        <w:rPr>
          <w:rFonts w:asciiTheme="minorHAnsi" w:hAnsiTheme="minorHAnsi" w:cstheme="minorHAnsi"/>
          <w:color w:val="000000"/>
          <w:szCs w:val="24"/>
          <w:lang w:eastAsia="en-GB"/>
        </w:rPr>
        <w:t>.</w:t>
      </w:r>
    </w:p>
    <w:p w14:paraId="2E51567E"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lastRenderedPageBreak/>
        <w:t xml:space="preserve">Conclusion </w:t>
      </w:r>
    </w:p>
    <w:p w14:paraId="016FDFD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Overall, the evidence demonstrates that annual and periodic reporting on staffing, financial information and implementation is operational and embedded within governance processes. At the same time, moderately high agreement levels and support for enhanced oversight indicate scope for improving transparency and strengthening confidence in the reporting framework.</w:t>
      </w:r>
    </w:p>
    <w:p w14:paraId="3BEAFA32"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Data Sources</w:t>
      </w:r>
    </w:p>
    <w:p w14:paraId="408D27C2" w14:textId="77777777" w:rsidR="00617FC9" w:rsidRPr="0046236F" w:rsidRDefault="00617FC9" w:rsidP="00617FC9">
      <w:pPr>
        <w:pStyle w:val="TitleKPI"/>
        <w:jc w:val="both"/>
        <w:rPr>
          <w:rFonts w:asciiTheme="minorHAnsi" w:hAnsiTheme="minorHAnsi" w:cstheme="minorHAnsi"/>
          <w:sz w:val="24"/>
          <w:szCs w:val="24"/>
        </w:rPr>
      </w:pPr>
      <w:r w:rsidRPr="0046236F">
        <w:rPr>
          <w:rFonts w:asciiTheme="minorHAnsi" w:hAnsiTheme="minorHAnsi" w:cstheme="minorHAnsi"/>
          <w:sz w:val="24"/>
          <w:szCs w:val="24"/>
        </w:rPr>
        <w:t>KPI 25_a:</w:t>
      </w:r>
    </w:p>
    <w:p w14:paraId="023B0962" w14:textId="77777777" w:rsidR="00617FC9" w:rsidRPr="0046236F" w:rsidRDefault="00617FC9" w:rsidP="00BC7ABA">
      <w:pPr>
        <w:pStyle w:val="ListParagraph"/>
        <w:numPr>
          <w:ilvl w:val="0"/>
          <w:numId w:val="62"/>
        </w:numPr>
        <w:spacing w:before="60" w:after="60"/>
        <w:contextualSpacing w:val="0"/>
        <w:jc w:val="both"/>
        <w:rPr>
          <w:rFonts w:asciiTheme="minorHAnsi" w:hAnsiTheme="minorHAnsi" w:cstheme="minorHAnsi"/>
          <w:sz w:val="24"/>
          <w:szCs w:val="24"/>
          <w:lang w:val="en-US"/>
        </w:rPr>
      </w:pPr>
      <w:r w:rsidRPr="0046236F">
        <w:rPr>
          <w:rFonts w:asciiTheme="minorHAnsi" w:hAnsiTheme="minorHAnsi" w:cstheme="minorHAnsi"/>
          <w:sz w:val="24"/>
          <w:szCs w:val="24"/>
        </w:rPr>
        <w:t xml:space="preserve">Annual Report on the implementation of the strategic plan and activities of the Union Document </w:t>
      </w:r>
      <w:hyperlink r:id="rId111" w:history="1">
        <w:r w:rsidRPr="0046236F">
          <w:rPr>
            <w:rFonts w:asciiTheme="minorHAnsi" w:hAnsiTheme="minorHAnsi" w:cstheme="minorHAnsi"/>
            <w:color w:val="467886"/>
            <w:sz w:val="24"/>
            <w:szCs w:val="24"/>
            <w:u w:val="single"/>
          </w:rPr>
          <w:t>C25/35</w:t>
        </w:r>
      </w:hyperlink>
      <w:r w:rsidRPr="0046236F">
        <w:rPr>
          <w:rFonts w:asciiTheme="minorHAnsi" w:hAnsiTheme="minorHAnsi" w:cstheme="minorHAnsi"/>
          <w:sz w:val="24"/>
          <w:szCs w:val="24"/>
          <w:lang w:val="en-US"/>
        </w:rPr>
        <w:t>.</w:t>
      </w:r>
    </w:p>
    <w:p w14:paraId="2DE3A827" w14:textId="77777777" w:rsidR="00617FC9" w:rsidRPr="0046236F" w:rsidRDefault="00617FC9" w:rsidP="00BC7ABA">
      <w:pPr>
        <w:pStyle w:val="ListParagraph"/>
        <w:numPr>
          <w:ilvl w:val="0"/>
          <w:numId w:val="62"/>
        </w:numPr>
        <w:spacing w:before="60" w:after="60"/>
        <w:contextualSpacing w:val="0"/>
        <w:jc w:val="both"/>
        <w:rPr>
          <w:rFonts w:asciiTheme="minorHAnsi" w:hAnsiTheme="minorHAnsi" w:cstheme="minorHAnsi"/>
          <w:sz w:val="24"/>
          <w:szCs w:val="24"/>
          <w:lang w:val="en-US"/>
        </w:rPr>
      </w:pPr>
      <w:r w:rsidRPr="0046236F">
        <w:rPr>
          <w:rFonts w:asciiTheme="minorHAnsi" w:hAnsiTheme="minorHAnsi" w:cstheme="minorHAnsi"/>
          <w:sz w:val="24"/>
          <w:szCs w:val="24"/>
        </w:rPr>
        <w:t xml:space="preserve">Initial draft performance indicators for strategic plan, Document </w:t>
      </w:r>
      <w:hyperlink r:id="rId112" w:history="1">
        <w:r w:rsidRPr="0046236F">
          <w:rPr>
            <w:rFonts w:asciiTheme="minorHAnsi" w:hAnsiTheme="minorHAnsi" w:cstheme="minorHAnsi"/>
            <w:color w:val="467886"/>
            <w:sz w:val="24"/>
            <w:szCs w:val="24"/>
            <w:u w:val="single"/>
          </w:rPr>
          <w:t>CWG-SFP-3/7</w:t>
        </w:r>
      </w:hyperlink>
      <w:r w:rsidRPr="0046236F">
        <w:rPr>
          <w:rFonts w:asciiTheme="minorHAnsi" w:hAnsiTheme="minorHAnsi" w:cstheme="minorHAnsi"/>
          <w:sz w:val="24"/>
          <w:szCs w:val="24"/>
        </w:rPr>
        <w:t>.</w:t>
      </w:r>
    </w:p>
    <w:p w14:paraId="11B6B8D0" w14:textId="77777777" w:rsidR="00617FC9" w:rsidRPr="0046236F" w:rsidRDefault="00617FC9" w:rsidP="00BC7ABA">
      <w:pPr>
        <w:pStyle w:val="ListParagraph"/>
        <w:numPr>
          <w:ilvl w:val="0"/>
          <w:numId w:val="62"/>
        </w:numPr>
        <w:spacing w:before="60" w:after="60"/>
        <w:contextualSpacing w:val="0"/>
        <w:jc w:val="both"/>
        <w:rPr>
          <w:rFonts w:asciiTheme="minorHAnsi" w:hAnsiTheme="minorHAnsi" w:cstheme="minorHAnsi"/>
          <w:sz w:val="24"/>
          <w:szCs w:val="24"/>
          <w:lang w:val="en-US"/>
        </w:rPr>
      </w:pPr>
      <w:r w:rsidRPr="0046236F">
        <w:rPr>
          <w:rFonts w:asciiTheme="minorHAnsi" w:hAnsiTheme="minorHAnsi" w:cstheme="minorHAnsi"/>
          <w:sz w:val="24"/>
          <w:szCs w:val="24"/>
        </w:rPr>
        <w:t xml:space="preserve">Progress report on the implementation of the Human Resources Transformation Plan and of Resolution 48, Document </w:t>
      </w:r>
      <w:hyperlink r:id="rId113" w:history="1">
        <w:r w:rsidRPr="0046236F">
          <w:rPr>
            <w:rFonts w:asciiTheme="minorHAnsi" w:hAnsiTheme="minorHAnsi" w:cstheme="minorHAnsi"/>
            <w:color w:val="467886"/>
            <w:sz w:val="24"/>
            <w:szCs w:val="24"/>
            <w:u w:val="single"/>
          </w:rPr>
          <w:t>C25/66</w:t>
        </w:r>
      </w:hyperlink>
      <w:r w:rsidRPr="0046236F">
        <w:rPr>
          <w:rFonts w:asciiTheme="minorHAnsi" w:hAnsiTheme="minorHAnsi" w:cstheme="minorHAnsi"/>
          <w:sz w:val="24"/>
          <w:szCs w:val="24"/>
        </w:rPr>
        <w:t>.</w:t>
      </w:r>
    </w:p>
    <w:p w14:paraId="29DCC979" w14:textId="77777777" w:rsidR="00617FC9" w:rsidRPr="0046236F" w:rsidRDefault="00617FC9" w:rsidP="00BC7ABA">
      <w:pPr>
        <w:pStyle w:val="ListParagraph"/>
        <w:numPr>
          <w:ilvl w:val="0"/>
          <w:numId w:val="62"/>
        </w:numPr>
        <w:spacing w:before="60" w:after="60"/>
        <w:contextualSpacing w:val="0"/>
        <w:jc w:val="both"/>
        <w:rPr>
          <w:rFonts w:asciiTheme="minorHAnsi" w:hAnsiTheme="minorHAnsi" w:cstheme="minorHAnsi"/>
          <w:sz w:val="24"/>
          <w:szCs w:val="24"/>
          <w:lang w:val="en-US"/>
        </w:rPr>
      </w:pPr>
      <w:r w:rsidRPr="0046236F">
        <w:rPr>
          <w:rFonts w:asciiTheme="minorHAnsi" w:hAnsiTheme="minorHAnsi" w:cstheme="minorHAnsi"/>
          <w:sz w:val="24"/>
          <w:szCs w:val="24"/>
        </w:rPr>
        <w:t xml:space="preserve">Strengthening ITU Regional Presence, Document </w:t>
      </w:r>
      <w:hyperlink r:id="rId114" w:history="1">
        <w:r w:rsidRPr="0046236F">
          <w:rPr>
            <w:rFonts w:asciiTheme="minorHAnsi" w:hAnsiTheme="minorHAnsi" w:cstheme="minorHAnsi"/>
            <w:color w:val="467886"/>
            <w:sz w:val="24"/>
            <w:szCs w:val="24"/>
            <w:u w:val="single"/>
          </w:rPr>
          <w:t>C25/25</w:t>
        </w:r>
      </w:hyperlink>
      <w:r w:rsidRPr="0046236F">
        <w:rPr>
          <w:rFonts w:asciiTheme="minorHAnsi" w:hAnsiTheme="minorHAnsi" w:cstheme="minorHAnsi"/>
          <w:sz w:val="24"/>
          <w:szCs w:val="24"/>
          <w:lang w:val="en-US"/>
        </w:rPr>
        <w:t>.</w:t>
      </w:r>
    </w:p>
    <w:p w14:paraId="1629EC7E" w14:textId="77777777" w:rsidR="00617FC9" w:rsidRPr="0046236F" w:rsidRDefault="00617FC9" w:rsidP="00617FC9">
      <w:pPr>
        <w:pStyle w:val="TitleKPI"/>
        <w:jc w:val="both"/>
        <w:rPr>
          <w:rFonts w:asciiTheme="minorHAnsi" w:hAnsiTheme="minorHAnsi" w:cstheme="minorHAnsi"/>
          <w:sz w:val="24"/>
          <w:szCs w:val="24"/>
        </w:rPr>
      </w:pPr>
      <w:r w:rsidRPr="0046236F">
        <w:rPr>
          <w:rFonts w:asciiTheme="minorHAnsi" w:hAnsiTheme="minorHAnsi" w:cstheme="minorHAnsi"/>
          <w:sz w:val="24"/>
          <w:szCs w:val="24"/>
        </w:rPr>
        <w:t>KPI 25_b:</w:t>
      </w:r>
    </w:p>
    <w:p w14:paraId="616266D4"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Annex1 to decision 5 (Rev. Bucharest, 2022).</w:t>
      </w:r>
    </w:p>
    <w:p w14:paraId="170FB0AE" w14:textId="77777777" w:rsidR="00617FC9" w:rsidRPr="0046236F" w:rsidRDefault="00617FC9" w:rsidP="00617FC9">
      <w:pPr>
        <w:pStyle w:val="Bulletlist"/>
        <w:jc w:val="both"/>
        <w:rPr>
          <w:rFonts w:asciiTheme="minorHAnsi" w:hAnsiTheme="minorHAnsi" w:cstheme="minorHAnsi"/>
          <w:sz w:val="24"/>
          <w:szCs w:val="24"/>
        </w:rPr>
      </w:pPr>
      <w:hyperlink r:id="rId115" w:tgtFrame="_blank" w:history="1">
        <w:r w:rsidRPr="0046236F">
          <w:rPr>
            <w:rFonts w:asciiTheme="minorHAnsi" w:hAnsiTheme="minorHAnsi" w:cstheme="minorHAnsi"/>
            <w:color w:val="467886"/>
            <w:sz w:val="24"/>
            <w:szCs w:val="24"/>
            <w:u w:val="single"/>
          </w:rPr>
          <w:t>Final Acts of the Plenipotentiary Conference - Decisions and resolutions (Bucharest, 2022)</w:t>
        </w:r>
      </w:hyperlink>
      <w:r w:rsidRPr="0046236F">
        <w:rPr>
          <w:rFonts w:asciiTheme="minorHAnsi" w:hAnsiTheme="minorHAnsi" w:cstheme="minorHAnsi"/>
          <w:sz w:val="24"/>
          <w:szCs w:val="24"/>
        </w:rPr>
        <w:t>.</w:t>
      </w:r>
    </w:p>
    <w:p w14:paraId="4FF9B8A2"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Draft four year rolling operational plan for the Union for 2024-2027, Document </w:t>
      </w:r>
      <w:hyperlink r:id="rId116" w:history="1">
        <w:r w:rsidRPr="0046236F">
          <w:rPr>
            <w:rFonts w:asciiTheme="minorHAnsi" w:hAnsiTheme="minorHAnsi" w:cstheme="minorHAnsi"/>
            <w:color w:val="467886"/>
            <w:sz w:val="24"/>
            <w:szCs w:val="24"/>
            <w:u w:val="single"/>
          </w:rPr>
          <w:t>TDAG-23/46</w:t>
        </w:r>
      </w:hyperlink>
      <w:r w:rsidRPr="0046236F">
        <w:rPr>
          <w:rFonts w:asciiTheme="minorHAnsi" w:hAnsiTheme="minorHAnsi" w:cstheme="minorHAnsi"/>
          <w:sz w:val="24"/>
          <w:szCs w:val="24"/>
        </w:rPr>
        <w:t>.</w:t>
      </w:r>
    </w:p>
    <w:p w14:paraId="3A2D0C3F"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Biennial budget of the Union for 2024-2025 – Res. 1417, Council Document </w:t>
      </w:r>
      <w:hyperlink r:id="rId117" w:history="1">
        <w:r w:rsidRPr="0046236F">
          <w:rPr>
            <w:rFonts w:asciiTheme="minorHAnsi" w:hAnsiTheme="minorHAnsi" w:cstheme="minorHAnsi"/>
            <w:color w:val="467886"/>
            <w:sz w:val="24"/>
            <w:szCs w:val="24"/>
            <w:u w:val="single"/>
          </w:rPr>
          <w:t>C23/115</w:t>
        </w:r>
      </w:hyperlink>
      <w:r w:rsidRPr="0046236F">
        <w:rPr>
          <w:rFonts w:asciiTheme="minorHAnsi" w:hAnsiTheme="minorHAnsi" w:cstheme="minorHAnsi"/>
          <w:sz w:val="24"/>
          <w:szCs w:val="24"/>
        </w:rPr>
        <w:t>.</w:t>
      </w:r>
    </w:p>
    <w:p w14:paraId="6D3BAE37"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Biennial budget of the Union for 2022-2023 – Res 1405, Council Document </w:t>
      </w:r>
      <w:hyperlink r:id="rId118" w:history="1">
        <w:r w:rsidRPr="0046236F">
          <w:rPr>
            <w:rFonts w:asciiTheme="minorHAnsi" w:hAnsiTheme="minorHAnsi" w:cstheme="minorHAnsi"/>
            <w:color w:val="467886"/>
            <w:sz w:val="24"/>
            <w:szCs w:val="24"/>
            <w:u w:val="single"/>
          </w:rPr>
          <w:t>C21/97</w:t>
        </w:r>
      </w:hyperlink>
      <w:r w:rsidRPr="0046236F">
        <w:rPr>
          <w:rFonts w:asciiTheme="minorHAnsi" w:hAnsiTheme="minorHAnsi" w:cstheme="minorHAnsi"/>
          <w:sz w:val="24"/>
          <w:szCs w:val="24"/>
        </w:rPr>
        <w:t>.</w:t>
      </w:r>
    </w:p>
    <w:p w14:paraId="25977250" w14:textId="77777777" w:rsidR="00617FC9" w:rsidRPr="0046236F" w:rsidRDefault="00617FC9" w:rsidP="00617FC9">
      <w:pPr>
        <w:pStyle w:val="TitleKPI"/>
        <w:jc w:val="both"/>
        <w:rPr>
          <w:rFonts w:asciiTheme="minorHAnsi" w:hAnsiTheme="minorHAnsi" w:cstheme="minorHAnsi"/>
          <w:sz w:val="24"/>
          <w:szCs w:val="24"/>
        </w:rPr>
      </w:pPr>
      <w:r w:rsidRPr="0046236F">
        <w:rPr>
          <w:rFonts w:asciiTheme="minorHAnsi" w:hAnsiTheme="minorHAnsi" w:cstheme="minorHAnsi"/>
          <w:sz w:val="24"/>
          <w:szCs w:val="24"/>
        </w:rPr>
        <w:t>KPI 25_c:</w:t>
      </w:r>
    </w:p>
    <w:p w14:paraId="3E092421"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Annual Report on the implementation of the strategic plan and activities of the Union, Document </w:t>
      </w:r>
      <w:hyperlink r:id="rId119" w:history="1">
        <w:r w:rsidRPr="0046236F">
          <w:rPr>
            <w:rFonts w:asciiTheme="minorHAnsi" w:hAnsiTheme="minorHAnsi" w:cstheme="minorHAnsi"/>
            <w:color w:val="467886"/>
            <w:sz w:val="24"/>
            <w:szCs w:val="24"/>
            <w:u w:val="single"/>
          </w:rPr>
          <w:t>C25/35</w:t>
        </w:r>
      </w:hyperlink>
      <w:r w:rsidRPr="0046236F">
        <w:rPr>
          <w:rFonts w:asciiTheme="minorHAnsi" w:hAnsiTheme="minorHAnsi" w:cstheme="minorHAnsi"/>
          <w:sz w:val="24"/>
          <w:szCs w:val="24"/>
        </w:rPr>
        <w:t>.</w:t>
      </w:r>
    </w:p>
    <w:p w14:paraId="7FBBE13F"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Initial draft performance indicators for strategic plan, Document </w:t>
      </w:r>
      <w:hyperlink r:id="rId120" w:history="1">
        <w:r w:rsidRPr="0046236F">
          <w:rPr>
            <w:rFonts w:asciiTheme="minorHAnsi" w:hAnsiTheme="minorHAnsi" w:cstheme="minorHAnsi"/>
            <w:color w:val="467886"/>
            <w:sz w:val="24"/>
            <w:szCs w:val="24"/>
            <w:u w:val="single"/>
          </w:rPr>
          <w:t>CWG-SFP-3/7</w:t>
        </w:r>
      </w:hyperlink>
      <w:r w:rsidRPr="0046236F">
        <w:rPr>
          <w:rFonts w:asciiTheme="minorHAnsi" w:hAnsiTheme="minorHAnsi" w:cstheme="minorHAnsi"/>
          <w:sz w:val="24"/>
          <w:szCs w:val="24"/>
        </w:rPr>
        <w:t>.</w:t>
      </w:r>
    </w:p>
    <w:p w14:paraId="65BD373A"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Report on the implementation of the Kigali Action Plan (KAP), Document </w:t>
      </w:r>
      <w:hyperlink r:id="rId121" w:history="1">
        <w:r w:rsidRPr="0046236F">
          <w:rPr>
            <w:rFonts w:asciiTheme="minorHAnsi" w:hAnsiTheme="minorHAnsi" w:cstheme="minorHAnsi"/>
            <w:color w:val="467886"/>
            <w:sz w:val="24"/>
            <w:szCs w:val="24"/>
            <w:u w:val="single"/>
          </w:rPr>
          <w:t>WTDC-25/2</w:t>
        </w:r>
      </w:hyperlink>
      <w:r w:rsidRPr="0046236F">
        <w:rPr>
          <w:rFonts w:asciiTheme="minorHAnsi" w:hAnsiTheme="minorHAnsi" w:cstheme="minorHAnsi"/>
          <w:sz w:val="24"/>
          <w:szCs w:val="24"/>
        </w:rPr>
        <w:t>.</w:t>
      </w:r>
    </w:p>
    <w:p w14:paraId="26FCAA54"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Progress report on the implementation of the Human Resources Transformation Plan and of Resolution 48, Document </w:t>
      </w:r>
      <w:hyperlink r:id="rId122" w:history="1">
        <w:r w:rsidRPr="0046236F">
          <w:rPr>
            <w:rFonts w:asciiTheme="minorHAnsi" w:hAnsiTheme="minorHAnsi" w:cstheme="minorHAnsi"/>
            <w:color w:val="467886"/>
            <w:sz w:val="24"/>
            <w:szCs w:val="24"/>
            <w:u w:val="single"/>
          </w:rPr>
          <w:t>C25/66</w:t>
        </w:r>
      </w:hyperlink>
      <w:r w:rsidRPr="0046236F">
        <w:rPr>
          <w:rFonts w:asciiTheme="minorHAnsi" w:hAnsiTheme="minorHAnsi" w:cstheme="minorHAnsi"/>
          <w:sz w:val="24"/>
          <w:szCs w:val="24"/>
        </w:rPr>
        <w:t>.</w:t>
      </w:r>
    </w:p>
    <w:p w14:paraId="461F0E77" w14:textId="77777777" w:rsidR="00617FC9" w:rsidRPr="0046236F" w:rsidDel="0047777C"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Strengthening ITU Regional Presence, Document </w:t>
      </w:r>
      <w:hyperlink r:id="rId123" w:history="1">
        <w:r w:rsidRPr="0046236F">
          <w:rPr>
            <w:rFonts w:asciiTheme="minorHAnsi" w:hAnsiTheme="minorHAnsi" w:cstheme="minorHAnsi"/>
            <w:color w:val="467886"/>
            <w:sz w:val="24"/>
            <w:szCs w:val="24"/>
            <w:u w:val="single"/>
          </w:rPr>
          <w:t>C25/25</w:t>
        </w:r>
      </w:hyperlink>
      <w:r w:rsidRPr="0046236F">
        <w:rPr>
          <w:rFonts w:asciiTheme="minorHAnsi" w:hAnsiTheme="minorHAnsi" w:cstheme="minorHAnsi"/>
          <w:sz w:val="24"/>
          <w:szCs w:val="24"/>
        </w:rPr>
        <w:t>.</w:t>
      </w:r>
    </w:p>
    <w:p w14:paraId="307ABCAE"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Supplementary notes: Summary of document analysis</w:t>
      </w:r>
    </w:p>
    <w:p w14:paraId="6FA523B1" w14:textId="77777777" w:rsidR="00617FC9" w:rsidRPr="0046236F" w:rsidRDefault="00617FC9" w:rsidP="00617FC9">
      <w:pPr>
        <w:jc w:val="both"/>
        <w:rPr>
          <w:rFonts w:asciiTheme="minorHAnsi" w:eastAsia="Avenir Nxt2 W1G" w:hAnsiTheme="minorHAnsi" w:cstheme="minorHAnsi"/>
          <w:color w:val="00B0F0"/>
          <w:szCs w:val="24"/>
        </w:rPr>
      </w:pPr>
      <w:r w:rsidRPr="0046236F">
        <w:rPr>
          <w:rFonts w:asciiTheme="minorHAnsi" w:eastAsia="Avenir Nxt2 W1G" w:hAnsiTheme="minorHAnsi" w:cstheme="minorHAnsi"/>
          <w:color w:val="00B0F0"/>
          <w:szCs w:val="24"/>
        </w:rPr>
        <w:t>KPI 25_a: Assess whether the regional presence provides adequate information in respect of the following, in annual/periodic reporting regarding the regional presence (each of the regional/area offices) to the Directors of the three Bureaus, Advisory Bodies and Council, as appropriate: Staffing of regional and area offices, including number of staff members, their category of employment and other factors in accordance with Resolution 48 (Rev. Bucharest, 2022)</w:t>
      </w:r>
    </w:p>
    <w:p w14:paraId="2D573E41"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lastRenderedPageBreak/>
        <w:t xml:space="preserve">Document analysis about current staffing reporting against Resolution 48 expectations </w:t>
      </w:r>
    </w:p>
    <w:p w14:paraId="06FC0E52"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The document analysis indicates that ITU has put in place a strong organization-wide mechanism for workforce reporting and transparency (including aspects relevant to Resolution 48 (Rev. Bucharest, 2022)). </w:t>
      </w:r>
    </w:p>
    <w:p w14:paraId="0EBE16F1"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Workforce Analytics Dashboard (primary staffing transparency mechanism) </w:t>
      </w:r>
    </w:p>
    <w:p w14:paraId="2D82C30A"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The analysis notes that a </w:t>
      </w:r>
      <w:hyperlink r:id="rId124" w:tgtFrame="_blank" w:history="1">
        <w:r w:rsidRPr="0046236F">
          <w:rPr>
            <w:rFonts w:asciiTheme="minorHAnsi" w:hAnsiTheme="minorHAnsi" w:cstheme="minorHAnsi"/>
            <w:szCs w:val="24"/>
            <w:u w:val="single"/>
          </w:rPr>
          <w:t>Workforce Analytics Dashboard</w:t>
        </w:r>
      </w:hyperlink>
      <w:r w:rsidRPr="0046236F">
        <w:rPr>
          <w:rFonts w:asciiTheme="minorHAnsi" w:hAnsiTheme="minorHAnsi" w:cstheme="minorHAnsi"/>
          <w:szCs w:val="24"/>
        </w:rPr>
        <w:t xml:space="preserve"> is available (via Council resources under “Human resources information”), powered by Power BI with a continuous data feed from SAP HR data warehouse. It tracks key workforce metrics such as geographical distribution and gender parity, with enhancements such as integration with SAP SuccessFactors and grade information in retirement projections. This dashboard is explicitly presented as a mechanism fulfilling reporting requirements related to Resolution 48 (Rev. Bucharest, 2022).</w:t>
      </w:r>
    </w:p>
    <w:p w14:paraId="0C8125E9"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document analysis also provides examples of workforce-level staffing metrics, such as gender distribution by occupational group (e.g., women at 43.9% in Professional and Higher categories; women at 67.4% in General Service; women occupying 60% of D2 posts as of May 2025).</w:t>
      </w:r>
    </w:p>
    <w:p w14:paraId="519815D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At the same time, the analysis flags a scope boundary: the dashboard is protected by TIES accounts and “mainly provides information about regular staff (Permanent/Continuing/ Fixed-term contract holders) only.” This matters for KPI 25a because regional presence staffing often includes multiple modalities (e.g., regular posts, project-funded posts, secondments, and other arrangements), and Members may expect a complete staffing view for each office. </w:t>
      </w:r>
    </w:p>
    <w:p w14:paraId="528B9E4B"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Regional presence reporting (staffing specifics within narrative reports) </w:t>
      </w:r>
    </w:p>
    <w:p w14:paraId="5144895F"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review of the “Report by the Secretary-General on Strengthening ITU’s Regional Presence” finds that it focuses heavily on activities, initiatives and implementation, and contains limited explicit staffing details for specific offices — e.g., secondments from TSB (three to RO-Africa; one to RO-Asia-Pacific).</w:t>
      </w:r>
    </w:p>
    <w:p w14:paraId="4D56F174" w14:textId="77777777" w:rsidR="00617FC9" w:rsidRPr="0046236F" w:rsidRDefault="00617FC9" w:rsidP="004E1E98">
      <w:pPr>
        <w:keepNext/>
        <w:jc w:val="both"/>
        <w:rPr>
          <w:rFonts w:asciiTheme="minorHAnsi" w:eastAsia="Avenir Nxt2 W1G" w:hAnsiTheme="minorHAnsi" w:cstheme="minorHAnsi"/>
          <w:color w:val="00B0F0"/>
          <w:szCs w:val="24"/>
        </w:rPr>
      </w:pPr>
      <w:r w:rsidRPr="0046236F">
        <w:rPr>
          <w:rFonts w:asciiTheme="minorHAnsi" w:eastAsia="Avenir Nxt2 W1G" w:hAnsiTheme="minorHAnsi" w:cstheme="minorHAnsi"/>
          <w:color w:val="00B0F0"/>
          <w:szCs w:val="24"/>
        </w:rPr>
        <w:t>KPI 25_b: Assess whether the regional presence provides adequate information in respect of the following, in annual/periodic reporting regarding the regional presence (each of the regional/area offices) to the Directors of the three Bureaus, Advisory Bodies and Council, as appropriate: b) Financial information, including budget allocated to the regional and area offices and expenses per thematic priority and planned output</w:t>
      </w:r>
    </w:p>
    <w:p w14:paraId="1B79D738" w14:textId="77777777" w:rsidR="00617FC9" w:rsidRPr="0046236F" w:rsidRDefault="00617FC9" w:rsidP="00617FC9">
      <w:pPr>
        <w:jc w:val="both"/>
        <w:rPr>
          <w:rFonts w:asciiTheme="minorHAnsi" w:eastAsia="DengXian Light" w:hAnsiTheme="minorHAnsi" w:cstheme="minorHAnsi"/>
          <w:szCs w:val="24"/>
        </w:rPr>
      </w:pPr>
      <w:r w:rsidRPr="0046236F">
        <w:rPr>
          <w:rFonts w:asciiTheme="minorHAnsi" w:eastAsia="DengXian Light" w:hAnsiTheme="minorHAnsi" w:cstheme="minorHAnsi"/>
          <w:szCs w:val="24"/>
        </w:rPr>
        <w:t xml:space="preserve">The document analysis demonstrates that the draft four-year rolling operational plan for 2024–2027 (Document </w:t>
      </w:r>
      <w:hyperlink r:id="rId125" w:history="1">
        <w:r w:rsidRPr="0046236F">
          <w:rPr>
            <w:rFonts w:asciiTheme="minorHAnsi" w:eastAsia="DengXian Light" w:hAnsiTheme="minorHAnsi" w:cstheme="minorHAnsi"/>
            <w:color w:val="467886"/>
            <w:szCs w:val="24"/>
            <w:u w:val="single"/>
          </w:rPr>
          <w:t>TDAG-23/46</w:t>
        </w:r>
      </w:hyperlink>
      <w:r w:rsidRPr="0046236F">
        <w:rPr>
          <w:rFonts w:asciiTheme="minorHAnsi" w:eastAsia="DengXian Light" w:hAnsiTheme="minorHAnsi" w:cstheme="minorHAnsi"/>
          <w:szCs w:val="24"/>
        </w:rPr>
        <w:t>) provides financial reporting on regional presence includes structured and output-based allocations.</w:t>
      </w:r>
    </w:p>
    <w:p w14:paraId="2C423E49"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The 2024 breakdown of financial resources allocated to Regional Offices per thematic priority provides a direct linkage between: </w:t>
      </w:r>
    </w:p>
    <w:p w14:paraId="045C402E" w14:textId="77777777" w:rsidR="00617FC9" w:rsidRPr="0046236F" w:rsidRDefault="00617FC9" w:rsidP="00BC7ABA">
      <w:pPr>
        <w:pStyle w:val="ListParagraph"/>
        <w:numPr>
          <w:ilvl w:val="0"/>
          <w:numId w:val="54"/>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Budget allocations.</w:t>
      </w:r>
    </w:p>
    <w:p w14:paraId="6216C707" w14:textId="77777777" w:rsidR="00617FC9" w:rsidRPr="0046236F" w:rsidRDefault="00617FC9" w:rsidP="00BC7ABA">
      <w:pPr>
        <w:pStyle w:val="ListParagraph"/>
        <w:numPr>
          <w:ilvl w:val="0"/>
          <w:numId w:val="55"/>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Thematic priorities.</w:t>
      </w:r>
    </w:p>
    <w:p w14:paraId="1EDE38BA" w14:textId="77777777" w:rsidR="00617FC9" w:rsidRPr="0046236F" w:rsidRDefault="00617FC9" w:rsidP="00BC7ABA">
      <w:pPr>
        <w:pStyle w:val="ListParagraph"/>
        <w:numPr>
          <w:ilvl w:val="0"/>
          <w:numId w:val="56"/>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Planned outputs.</w:t>
      </w:r>
    </w:p>
    <w:p w14:paraId="4E330199" w14:textId="77777777" w:rsidR="00617FC9" w:rsidRPr="0046236F" w:rsidRDefault="00617FC9" w:rsidP="00BC7ABA">
      <w:pPr>
        <w:pStyle w:val="ListParagraph"/>
        <w:numPr>
          <w:ilvl w:val="0"/>
          <w:numId w:val="57"/>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Actual expenditures.</w:t>
      </w:r>
    </w:p>
    <w:p w14:paraId="15D1361B"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This demonstrates alignment with KPI 25b requirements, particularly in terms of: </w:t>
      </w:r>
    </w:p>
    <w:p w14:paraId="16157663" w14:textId="77777777" w:rsidR="00617FC9" w:rsidRPr="0046236F" w:rsidRDefault="00617FC9" w:rsidP="00BC7ABA">
      <w:pPr>
        <w:pStyle w:val="ListParagraph"/>
        <w:numPr>
          <w:ilvl w:val="0"/>
          <w:numId w:val="54"/>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Disaggregation of financial information by output and thematic priority.</w:t>
      </w:r>
    </w:p>
    <w:p w14:paraId="506B7FDE" w14:textId="77777777" w:rsidR="00617FC9" w:rsidRPr="0046236F" w:rsidRDefault="00617FC9" w:rsidP="00BC7ABA">
      <w:pPr>
        <w:pStyle w:val="ListParagraph"/>
        <w:numPr>
          <w:ilvl w:val="0"/>
          <w:numId w:val="54"/>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lastRenderedPageBreak/>
        <w:t>Methodological transparency (time survey-based allocation).</w:t>
      </w:r>
    </w:p>
    <w:p w14:paraId="47154190" w14:textId="77777777" w:rsidR="00617FC9" w:rsidRPr="0046236F" w:rsidRDefault="00617FC9" w:rsidP="00BC7ABA">
      <w:pPr>
        <w:pStyle w:val="ListParagraph"/>
        <w:numPr>
          <w:ilvl w:val="0"/>
          <w:numId w:val="54"/>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sz w:val="24"/>
          <w:szCs w:val="24"/>
        </w:rPr>
        <w:t>Application of the breakdown to both budgeted and actual expenditures.</w:t>
      </w:r>
    </w:p>
    <w:p w14:paraId="158109F5"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inclusion of financial information in biennial budgets (Res. 1405 and Res. 1417) and rolling operational plans further anchors regional financial reporting within the Union-wide budgetary framework.</w:t>
      </w:r>
    </w:p>
    <w:p w14:paraId="1267AAEA" w14:textId="77777777" w:rsidR="00617FC9" w:rsidRPr="0046236F" w:rsidRDefault="00617FC9" w:rsidP="00617FC9">
      <w:pPr>
        <w:jc w:val="both"/>
        <w:rPr>
          <w:rFonts w:asciiTheme="minorHAnsi" w:eastAsia="Avenir Nxt2 W1G" w:hAnsiTheme="minorHAnsi" w:cstheme="minorHAnsi"/>
          <w:color w:val="00B0F0"/>
          <w:szCs w:val="24"/>
        </w:rPr>
      </w:pPr>
      <w:r w:rsidRPr="0046236F">
        <w:rPr>
          <w:rFonts w:asciiTheme="minorHAnsi" w:eastAsia="Avenir Nxt2 W1G" w:hAnsiTheme="minorHAnsi" w:cstheme="minorHAnsi"/>
          <w:color w:val="00B0F0"/>
          <w:szCs w:val="24"/>
        </w:rPr>
        <w:t>KPI 25_c: Assess whether the regional presence provides adequate information in respect of the following, in annual/periodic reporting regarding the regional presence (each of the regional/area offices) to the Directors of the three Bureaus, Advisory Bodies and Council, as appropriate: the implementation of activities (including those related to the three Sectors and the General Secretariat)</w:t>
      </w:r>
    </w:p>
    <w:p w14:paraId="2E147B3F"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Desk review of official ITU documents confirms and contextualizes the survey findings.</w:t>
      </w:r>
    </w:p>
    <w:p w14:paraId="62C8E81E"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Annual Report on the Implementation of the Strategic Plan and the Report on Strengthening ITU Regional Presence demonstrate that regional and area offices are systematically presented as the implementation arm of ITU across all three Sectors and the General Secretariat, with structured reporting on activities aligned to the Strategic Plan and the Kigali Action Plan:</w:t>
      </w:r>
    </w:p>
    <w:p w14:paraId="507DA4A2" w14:textId="77777777" w:rsidR="00617FC9" w:rsidRPr="0046236F" w:rsidRDefault="00617FC9" w:rsidP="00BC7ABA">
      <w:pPr>
        <w:pStyle w:val="ListParagraph"/>
        <w:numPr>
          <w:ilvl w:val="0"/>
          <w:numId w:val="58"/>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i/>
          <w:sz w:val="24"/>
          <w:szCs w:val="24"/>
        </w:rPr>
        <w:t>ITU-D/BDT:</w:t>
      </w:r>
      <w:r w:rsidRPr="0046236F">
        <w:rPr>
          <w:rFonts w:asciiTheme="minorHAnsi" w:hAnsiTheme="minorHAnsi" w:cstheme="minorHAnsi"/>
          <w:sz w:val="24"/>
          <w:szCs w:val="24"/>
        </w:rPr>
        <w:t xml:space="preserve"> Reporting provides detailed accounts of project implementation, regional initiatives, and operational planning, with explicit links to KPIs adopted by TDAG. Regional offices are consistently described as leading implementation on the ground, supported by measurable outputs and examples across all six regions.</w:t>
      </w:r>
    </w:p>
    <w:p w14:paraId="7F21BD9B" w14:textId="77777777" w:rsidR="00617FC9" w:rsidRPr="0046236F" w:rsidRDefault="00617FC9" w:rsidP="00BC7ABA">
      <w:pPr>
        <w:pStyle w:val="ListParagraph"/>
        <w:numPr>
          <w:ilvl w:val="0"/>
          <w:numId w:val="59"/>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i/>
          <w:sz w:val="24"/>
          <w:szCs w:val="24"/>
        </w:rPr>
        <w:t>ITU-R/BR:</w:t>
      </w:r>
      <w:r w:rsidRPr="0046236F">
        <w:rPr>
          <w:rFonts w:asciiTheme="minorHAnsi" w:hAnsiTheme="minorHAnsi" w:cstheme="minorHAnsi"/>
          <w:sz w:val="24"/>
          <w:szCs w:val="24"/>
        </w:rPr>
        <w:t xml:space="preserve"> Reports document implementation through regional seminars, workshops, and technical assistance activities, illustrating how regional presence enables delivery of spectrum management and radiocommunication capacity-building activities.</w:t>
      </w:r>
    </w:p>
    <w:p w14:paraId="4C73CC95" w14:textId="77777777" w:rsidR="00617FC9" w:rsidRPr="0046236F" w:rsidRDefault="00617FC9" w:rsidP="00BC7ABA">
      <w:pPr>
        <w:pStyle w:val="ListParagraph"/>
        <w:numPr>
          <w:ilvl w:val="0"/>
          <w:numId w:val="60"/>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i/>
          <w:sz w:val="24"/>
          <w:szCs w:val="24"/>
        </w:rPr>
        <w:t>ITU-T/TSB:</w:t>
      </w:r>
      <w:r w:rsidRPr="0046236F">
        <w:rPr>
          <w:rFonts w:asciiTheme="minorHAnsi" w:hAnsiTheme="minorHAnsi" w:cstheme="minorHAnsi"/>
          <w:sz w:val="24"/>
          <w:szCs w:val="24"/>
        </w:rPr>
        <w:t xml:space="preserve"> Documentation highlights regional capacity-building, preparatory meetings, and targeted projects addressing the standardization gap, demonstrating how implementation information is integrated into sectoral reporting.</w:t>
      </w:r>
    </w:p>
    <w:p w14:paraId="117C51EA" w14:textId="77777777" w:rsidR="00617FC9" w:rsidRPr="0046236F" w:rsidRDefault="00617FC9" w:rsidP="00BC7ABA">
      <w:pPr>
        <w:pStyle w:val="ListParagraph"/>
        <w:numPr>
          <w:ilvl w:val="0"/>
          <w:numId w:val="61"/>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i/>
          <w:sz w:val="24"/>
          <w:szCs w:val="24"/>
        </w:rPr>
        <w:t>General Secretariat:</w:t>
      </w:r>
      <w:r w:rsidRPr="0046236F">
        <w:rPr>
          <w:rFonts w:asciiTheme="minorHAnsi" w:hAnsiTheme="minorHAnsi" w:cstheme="minorHAnsi"/>
          <w:sz w:val="24"/>
          <w:szCs w:val="24"/>
        </w:rPr>
        <w:t xml:space="preserve"> Implementation reporting focuses on cross-cutting institutional functions (HR transformation, UN system coordination, administrative modernization), with regional offices presented as facilitators and enablers of GS-led initiatives.</w:t>
      </w:r>
    </w:p>
    <w:p w14:paraId="695F330E"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Across these documents, implementation information is generally presented by </w:t>
      </w:r>
      <w:r w:rsidRPr="0046236F">
        <w:rPr>
          <w:rFonts w:asciiTheme="minorHAnsi" w:hAnsiTheme="minorHAnsi" w:cstheme="minorHAnsi"/>
          <w:b/>
          <w:szCs w:val="24"/>
        </w:rPr>
        <w:t>sector and region</w:t>
      </w:r>
      <w:r w:rsidRPr="0046236F">
        <w:rPr>
          <w:rFonts w:asciiTheme="minorHAnsi" w:hAnsiTheme="minorHAnsi" w:cstheme="minorHAnsi"/>
          <w:szCs w:val="24"/>
        </w:rPr>
        <w:t xml:space="preserve">, with concrete examples, alignment to approved plans, and linkage to strategic objectives. This structure supports Council and Advisory Bodies in understanding how regional presence contributes to delivering ITU mandates. </w:t>
      </w:r>
    </w:p>
    <w:p w14:paraId="04369102" w14:textId="77777777" w:rsidR="00617FC9" w:rsidRPr="0046236F" w:rsidRDefault="00617FC9" w:rsidP="00617FC9">
      <w:pPr>
        <w:pStyle w:val="KPItitle"/>
        <w:jc w:val="both"/>
        <w:rPr>
          <w:rFonts w:asciiTheme="minorHAnsi" w:hAnsiTheme="minorHAnsi" w:cstheme="minorHAnsi"/>
          <w:sz w:val="24"/>
          <w:szCs w:val="24"/>
        </w:rPr>
      </w:pPr>
      <w:bookmarkStart w:id="155" w:name="_Toc224213070"/>
      <w:bookmarkStart w:id="156" w:name="_Toc224236501"/>
      <w:r w:rsidRPr="0046236F">
        <w:rPr>
          <w:rFonts w:asciiTheme="minorHAnsi" w:hAnsiTheme="minorHAnsi" w:cstheme="minorHAnsi"/>
          <w:sz w:val="24"/>
          <w:szCs w:val="24"/>
        </w:rPr>
        <w:t>KPI 26 — Assess whether the regional presence, in its reports to the Directors of the three Bureaus, Advisory Bodies and Council, provides adequate information on: Document Analysis plus Survey:</w:t>
      </w:r>
      <w:bookmarkEnd w:id="155"/>
      <w:bookmarkEnd w:id="156"/>
    </w:p>
    <w:p w14:paraId="3C65A2F0" w14:textId="77777777" w:rsidR="00617FC9" w:rsidRPr="0046236F" w:rsidRDefault="00617FC9" w:rsidP="00BC7ABA">
      <w:pPr>
        <w:pStyle w:val="ListParagraph"/>
        <w:numPr>
          <w:ilvl w:val="0"/>
          <w:numId w:val="64"/>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Any challenges faced in collecting the above data/ data requested</w:t>
      </w:r>
    </w:p>
    <w:p w14:paraId="2228A748" w14:textId="77777777" w:rsidR="00617FC9" w:rsidRPr="0046236F" w:rsidRDefault="00617FC9" w:rsidP="00BC7ABA">
      <w:pPr>
        <w:pStyle w:val="ListParagraph"/>
        <w:numPr>
          <w:ilvl w:val="0"/>
          <w:numId w:val="64"/>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 xml:space="preserve">Any </w:t>
      </w:r>
      <w:r w:rsidRPr="0046236F" w:rsidDel="001F2A97">
        <w:rPr>
          <w:rFonts w:asciiTheme="minorHAnsi" w:hAnsiTheme="minorHAnsi" w:cstheme="minorHAnsi"/>
          <w:sz w:val="24"/>
          <w:szCs w:val="24"/>
          <w:lang w:eastAsia="en-GB"/>
        </w:rPr>
        <w:t>recommendations</w:t>
      </w:r>
      <w:r w:rsidRPr="0046236F">
        <w:rPr>
          <w:rFonts w:asciiTheme="minorHAnsi" w:hAnsiTheme="minorHAnsi" w:cstheme="minorHAnsi"/>
          <w:sz w:val="24"/>
          <w:szCs w:val="24"/>
          <w:lang w:eastAsia="en-GB"/>
        </w:rPr>
        <w:t xml:space="preserve"> on how regular reporting may help strengthen the activities of the regional presence</w:t>
      </w:r>
    </w:p>
    <w:p w14:paraId="0CA643AF" w14:textId="77777777" w:rsidR="00617FC9" w:rsidRPr="0046236F" w:rsidRDefault="00617FC9" w:rsidP="00BC7ABA">
      <w:pPr>
        <w:pStyle w:val="ListParagraph"/>
        <w:numPr>
          <w:ilvl w:val="0"/>
          <w:numId w:val="64"/>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 xml:space="preserve">Any </w:t>
      </w:r>
      <w:r w:rsidRPr="0046236F" w:rsidDel="001F2A97">
        <w:rPr>
          <w:rFonts w:asciiTheme="minorHAnsi" w:hAnsiTheme="minorHAnsi" w:cstheme="minorHAnsi"/>
          <w:sz w:val="24"/>
          <w:szCs w:val="24"/>
          <w:lang w:eastAsia="en-GB"/>
        </w:rPr>
        <w:t>recommendations</w:t>
      </w:r>
      <w:r w:rsidRPr="0046236F">
        <w:rPr>
          <w:rFonts w:asciiTheme="minorHAnsi" w:hAnsiTheme="minorHAnsi" w:cstheme="minorHAnsi"/>
          <w:sz w:val="24"/>
          <w:szCs w:val="24"/>
          <w:lang w:eastAsia="en-GB"/>
        </w:rPr>
        <w:t xml:space="preserve"> on how oversight by Advisory Bodies and Council may help strengthen the activities of the regional presence</w:t>
      </w:r>
    </w:p>
    <w:p w14:paraId="617F51D6"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The available evidence indicates that reporting on the regional presence to the Directors of the three Bureaus, Council and Advisory Bodies is generally perceived as positive and adequate, with variations across reporting fora. Because the same structured reporting questions are mapped </w:t>
      </w:r>
      <w:r w:rsidRPr="0046236F">
        <w:rPr>
          <w:rFonts w:asciiTheme="minorHAnsi" w:hAnsiTheme="minorHAnsi" w:cstheme="minorHAnsi"/>
          <w:szCs w:val="24"/>
        </w:rPr>
        <w:lastRenderedPageBreak/>
        <w:t xml:space="preserve">across the three dimensions of this KPI, the evidence base for challenges, </w:t>
      </w:r>
      <w:r w:rsidRPr="0046236F" w:rsidDel="001F2A97">
        <w:rPr>
          <w:rFonts w:asciiTheme="minorHAnsi" w:hAnsiTheme="minorHAnsi" w:cstheme="minorHAnsi"/>
          <w:szCs w:val="24"/>
        </w:rPr>
        <w:t>recommendations</w:t>
      </w:r>
      <w:r w:rsidRPr="0046236F">
        <w:rPr>
          <w:rFonts w:asciiTheme="minorHAnsi" w:hAnsiTheme="minorHAnsi" w:cstheme="minorHAnsi"/>
          <w:szCs w:val="24"/>
        </w:rPr>
        <w:t xml:space="preserve"> and oversight is closely interconnected.</w:t>
      </w:r>
    </w:p>
    <w:p w14:paraId="6C736099"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From the Internal Assessment, 68% agree that reporting to TDAG provides adequate information (Q16_a). Support is lower for TSAG and RAG, where 58% and 57% respectively agree (Q16_b; Q16_c). For Council reporting, 66% agree that information is adequate (Q16_d). Neutral responses range from 25% to 30% across the four reporting bodies, while disagreement remains limited, between 6% and 9%. These results indicate that staff generally consider reporting arrangements to be functioning reasonably well, particularly for TDAG and Council, but with weaker confidence regarding reporting to TSAG and RAG.</w:t>
      </w:r>
    </w:p>
    <w:p w14:paraId="214DAFF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Membership Survey responses follow a similar pattern, though at slightly lower levels. Fifty-nine per cent agree that reporting to Council provides adequate information (Q21_a). Agreement reaches 58% for TDAG, 53% for TSAG and 51% for RAG (Q21_b; Q21_c; Q21_d). Neutral responses range from 21% to 24%, and disagreement remains relatively limited. This suggests moderately high confidence among Membership in the adequacy of reporting, while also indicating that reporting may not yet convey the same level of clarity or usefulness across all advisory/ governance bodies.</w:t>
      </w:r>
    </w:p>
    <w:p w14:paraId="3C645D3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question on strengthened oversight provides further insight across the three dimensions of the KPI. Fifty-seven per cent of Membership Survey respondents agree that more oversight by Advisory Bodies and Council would strengthen regional activities, while 30% remain neutral and 3% disagree (Q5_b). This suggests that stronger oversight is generally perceived as constructive rather than burdensome, and that improved reporting is seen as one of the channels through which oversight could add value.</w:t>
      </w:r>
    </w:p>
    <w:p w14:paraId="7159C413" w14:textId="77777777" w:rsidR="00617FC9" w:rsidRPr="0046236F" w:rsidRDefault="00617FC9" w:rsidP="00617FC9">
      <w:pPr>
        <w:jc w:val="both"/>
        <w:rPr>
          <w:rFonts w:asciiTheme="minorHAnsi" w:hAnsiTheme="minorHAnsi" w:cstheme="minorHAnsi"/>
          <w:color w:val="000000"/>
          <w:szCs w:val="24"/>
          <w:lang w:eastAsia="en-GB"/>
        </w:rPr>
      </w:pPr>
      <w:r w:rsidRPr="0046236F">
        <w:rPr>
          <w:rFonts w:asciiTheme="minorHAnsi" w:hAnsiTheme="minorHAnsi" w:cstheme="minorHAnsi"/>
          <w:szCs w:val="24"/>
          <w:lang w:eastAsia="en-GB"/>
        </w:rPr>
        <w:t>Responses to the Internal Assessment open-ended question on how oversight by Advisory Bodies and Council may help strengthen the activities of the regional presence help clarify what respondents expect from stronger oversight (Q32). The dominant pattern is a preference for more focused and action-oriented oversight, including clearer guidance on priorities, more systematic review of implementation progress, and stronger follow up on identified bottlenecks. Another recurring pattern is the expectation that reports should present more explicit analysis of implementation challenges, lessons learned and corrective actions, rather than mainly describing activities undertaken. Respondents also point to the need for oversight mechanisms that sharpen accountability while remaining practical and supportive of delivery</w:t>
      </w:r>
      <w:r w:rsidRPr="0046236F">
        <w:rPr>
          <w:rFonts w:asciiTheme="minorHAnsi" w:hAnsiTheme="minorHAnsi" w:cstheme="minorHAnsi"/>
          <w:color w:val="000000"/>
          <w:szCs w:val="24"/>
          <w:lang w:eastAsia="en-GB"/>
        </w:rPr>
        <w:t>.</w:t>
      </w:r>
    </w:p>
    <w:p w14:paraId="1BC401B8"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t xml:space="preserve">Conclusion </w:t>
      </w:r>
    </w:p>
    <w:p w14:paraId="4982AA36"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Taken together, these findings indicate that current reporting arrangements are viewed as broadly adequate, particularly with respect to TDAG and Council, and that this broad adequacy extends to reporting on implementation challenges, </w:t>
      </w:r>
      <w:r w:rsidRPr="0046236F" w:rsidDel="001F2A97">
        <w:rPr>
          <w:rFonts w:asciiTheme="minorHAnsi" w:hAnsiTheme="minorHAnsi" w:cstheme="minorHAnsi"/>
          <w:szCs w:val="24"/>
        </w:rPr>
        <w:t>recommendations</w:t>
      </w:r>
      <w:r w:rsidRPr="0046236F">
        <w:rPr>
          <w:rFonts w:asciiTheme="minorHAnsi" w:hAnsiTheme="minorHAnsi" w:cstheme="minorHAnsi"/>
          <w:szCs w:val="24"/>
        </w:rPr>
        <w:t xml:space="preserve"> and oversight-related matters. At the same time, the combination of moderate agreement levels, sizeable neutral shares and clear support for stronger oversight suggests that reporting could do more to distinguish clearly between activities delivered, challenges encountered, </w:t>
      </w:r>
      <w:r w:rsidRPr="0046236F" w:rsidDel="001F2A97">
        <w:rPr>
          <w:rFonts w:asciiTheme="minorHAnsi" w:hAnsiTheme="minorHAnsi" w:cstheme="minorHAnsi"/>
          <w:szCs w:val="24"/>
        </w:rPr>
        <w:t>recommendations</w:t>
      </w:r>
      <w:r w:rsidRPr="0046236F">
        <w:rPr>
          <w:rFonts w:asciiTheme="minorHAnsi" w:hAnsiTheme="minorHAnsi" w:cstheme="minorHAnsi"/>
          <w:szCs w:val="24"/>
        </w:rPr>
        <w:t xml:space="preserve"> emerging from implementation, and actions required from governance bodies.</w:t>
      </w:r>
    </w:p>
    <w:p w14:paraId="34C8C690"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Overall, the evidence shows that reporting on the regional presence provides a well-regarded and functioning basis for communication and advice as regards Council and Advisory Bodies, but that there remains scope to strengthen its analytical value. Taken together evidence suggests that more explicit treatment of implementation challenges, clearer forward-looking recommendations, and more structured reporting that supports practical oversight would likely improve the usefulness of reporting across all three dimensions of KPI 26.</w:t>
      </w:r>
    </w:p>
    <w:p w14:paraId="15766033" w14:textId="77777777" w:rsidR="00617FC9" w:rsidRPr="0046236F" w:rsidRDefault="00617FC9" w:rsidP="00617FC9">
      <w:pPr>
        <w:pStyle w:val="KPItitle"/>
        <w:jc w:val="both"/>
        <w:rPr>
          <w:rFonts w:asciiTheme="minorHAnsi" w:hAnsiTheme="minorHAnsi" w:cstheme="minorHAnsi"/>
          <w:sz w:val="24"/>
          <w:szCs w:val="24"/>
        </w:rPr>
      </w:pPr>
      <w:bookmarkStart w:id="157" w:name="_Toc224213071"/>
      <w:bookmarkStart w:id="158" w:name="_Toc224236502"/>
      <w:r w:rsidRPr="0046236F">
        <w:rPr>
          <w:rFonts w:asciiTheme="minorHAnsi" w:hAnsiTheme="minorHAnsi" w:cstheme="minorHAnsi"/>
          <w:sz w:val="24"/>
          <w:szCs w:val="24"/>
        </w:rPr>
        <w:lastRenderedPageBreak/>
        <w:t>KPI 27 — Indicate the extent to which:</w:t>
      </w:r>
      <w:bookmarkEnd w:id="157"/>
      <w:bookmarkEnd w:id="158"/>
    </w:p>
    <w:p w14:paraId="79554EDA" w14:textId="77777777" w:rsidR="00617FC9" w:rsidRPr="0046236F" w:rsidRDefault="00617FC9" w:rsidP="00BC7ABA">
      <w:pPr>
        <w:pStyle w:val="ListParagraph"/>
        <w:numPr>
          <w:ilvl w:val="0"/>
          <w:numId w:val="67"/>
        </w:numPr>
        <w:spacing w:before="60" w:after="60"/>
        <w:contextualSpacing w:val="0"/>
        <w:jc w:val="both"/>
        <w:rPr>
          <w:rFonts w:asciiTheme="minorHAnsi" w:eastAsiaTheme="majorEastAsia" w:hAnsiTheme="minorHAnsi" w:cstheme="minorHAnsi"/>
          <w:b/>
          <w:bCs/>
          <w:color w:val="00B0F0"/>
          <w:sz w:val="24"/>
          <w:szCs w:val="24"/>
          <w:lang w:eastAsia="en-GB"/>
        </w:rPr>
      </w:pPr>
      <w:r w:rsidRPr="0046236F">
        <w:rPr>
          <w:rFonts w:asciiTheme="minorHAnsi" w:eastAsiaTheme="majorEastAsia" w:hAnsiTheme="minorHAnsi" w:cstheme="minorHAnsi"/>
          <w:b/>
          <w:bCs/>
          <w:color w:val="00B0F0"/>
          <w:sz w:val="24"/>
          <w:szCs w:val="24"/>
          <w:lang w:eastAsia="en-GB"/>
        </w:rPr>
        <w:t>The relevant internal audit, external audit, Independent Management Advisory Committee and Joint Inspection Unit recommendations have been implemented related to the regional presence</w:t>
      </w:r>
    </w:p>
    <w:p w14:paraId="58BF0897" w14:textId="77777777" w:rsidR="00617FC9" w:rsidRPr="0046236F" w:rsidRDefault="00617FC9" w:rsidP="00BC7ABA">
      <w:pPr>
        <w:pStyle w:val="ListParagraph"/>
        <w:numPr>
          <w:ilvl w:val="0"/>
          <w:numId w:val="67"/>
        </w:numPr>
        <w:spacing w:before="60" w:after="60"/>
        <w:contextualSpacing w:val="0"/>
        <w:jc w:val="both"/>
        <w:rPr>
          <w:rFonts w:asciiTheme="minorHAnsi" w:eastAsiaTheme="majorEastAsia" w:hAnsiTheme="minorHAnsi" w:cstheme="minorHAnsi"/>
          <w:b/>
          <w:bCs/>
          <w:color w:val="00B0F0"/>
          <w:sz w:val="24"/>
          <w:szCs w:val="24"/>
          <w:lang w:eastAsia="en-GB"/>
        </w:rPr>
      </w:pPr>
      <w:r w:rsidRPr="0046236F">
        <w:rPr>
          <w:rFonts w:asciiTheme="minorHAnsi" w:eastAsiaTheme="majorEastAsia" w:hAnsiTheme="minorHAnsi" w:cstheme="minorHAnsi"/>
          <w:b/>
          <w:bCs/>
          <w:color w:val="00B0F0"/>
          <w:sz w:val="24"/>
          <w:szCs w:val="24"/>
          <w:lang w:eastAsia="en-GB"/>
        </w:rPr>
        <w:t>The components of the ITU Accountability Framework have been implemented in the regional offices and area offices. This should include an indication of how RBM, results-based budgeting and the human resources strategic plan are implemented. It should also include an identification of any implementation gaps and progress on activities</w:t>
      </w:r>
    </w:p>
    <w:p w14:paraId="33B96B63" w14:textId="182ECFF8" w:rsidR="00617FC9" w:rsidRPr="0046236F" w:rsidRDefault="00617FC9" w:rsidP="00BC7ABA">
      <w:pPr>
        <w:pStyle w:val="ListParagraph"/>
        <w:numPr>
          <w:ilvl w:val="0"/>
          <w:numId w:val="67"/>
        </w:numPr>
        <w:spacing w:before="60" w:after="60"/>
        <w:contextualSpacing w:val="0"/>
        <w:jc w:val="both"/>
        <w:rPr>
          <w:rFonts w:asciiTheme="minorHAnsi" w:eastAsiaTheme="majorEastAsia" w:hAnsiTheme="minorHAnsi" w:cstheme="minorHAnsi"/>
          <w:b/>
          <w:bCs/>
          <w:color w:val="00B0F0"/>
          <w:sz w:val="24"/>
          <w:szCs w:val="24"/>
          <w:lang w:eastAsia="en-GB"/>
        </w:rPr>
      </w:pPr>
      <w:r w:rsidRPr="0046236F">
        <w:rPr>
          <w:rFonts w:asciiTheme="minorHAnsi" w:eastAsiaTheme="majorEastAsia" w:hAnsiTheme="minorHAnsi" w:cstheme="minorHAnsi"/>
          <w:b/>
          <w:bCs/>
          <w:color w:val="00B0F0"/>
          <w:sz w:val="24"/>
          <w:szCs w:val="24"/>
          <w:lang w:eastAsia="en-GB"/>
        </w:rPr>
        <w:t>Accountability measures have been undertaken when providing regional/area offices greater autonomy in decision making on the various activities, initiatives and projects they carry out</w:t>
      </w:r>
      <w:r w:rsidR="00BF3228">
        <w:rPr>
          <w:rFonts w:asciiTheme="minorHAnsi" w:eastAsiaTheme="majorEastAsia" w:hAnsiTheme="minorHAnsi" w:cstheme="minorHAnsi"/>
          <w:b/>
          <w:bCs/>
          <w:color w:val="00B0F0"/>
          <w:sz w:val="24"/>
          <w:szCs w:val="24"/>
          <w:lang w:eastAsia="en-GB"/>
        </w:rPr>
        <w:t xml:space="preserve">. </w:t>
      </w:r>
      <w:r w:rsidRPr="0046236F">
        <w:rPr>
          <w:rFonts w:asciiTheme="minorHAnsi" w:eastAsiaTheme="majorEastAsia" w:hAnsiTheme="minorHAnsi" w:cstheme="minorHAnsi"/>
          <w:b/>
          <w:bCs/>
          <w:color w:val="00B0F0"/>
          <w:sz w:val="24"/>
          <w:szCs w:val="24"/>
          <w:lang w:eastAsia="en-GB"/>
        </w:rPr>
        <w:t>The efficiency and effectiveness of the ethics, complaints and response mechanisms</w:t>
      </w:r>
    </w:p>
    <w:p w14:paraId="6B598955"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available evidence indicates that governance and accountability mechanisms affecting the regional presence are structurally established and advancing, though perceptions vary across the four dimensions of this KPI.</w:t>
      </w:r>
    </w:p>
    <w:p w14:paraId="64F66FF2"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With respect to audit and oversight </w:t>
      </w:r>
      <w:r w:rsidRPr="0046236F" w:rsidDel="001F2A97">
        <w:rPr>
          <w:rFonts w:asciiTheme="minorHAnsi" w:hAnsiTheme="minorHAnsi" w:cstheme="minorHAnsi"/>
          <w:szCs w:val="24"/>
        </w:rPr>
        <w:t>recommendations</w:t>
      </w:r>
      <w:r w:rsidRPr="0046236F">
        <w:rPr>
          <w:rFonts w:asciiTheme="minorHAnsi" w:hAnsiTheme="minorHAnsi" w:cstheme="minorHAnsi"/>
          <w:szCs w:val="24"/>
        </w:rPr>
        <w:t xml:space="preserve">, document analysis shows that implementation is progressing. Operational </w:t>
      </w:r>
      <w:r w:rsidRPr="0046236F" w:rsidDel="001F2A97">
        <w:rPr>
          <w:rFonts w:asciiTheme="minorHAnsi" w:hAnsiTheme="minorHAnsi" w:cstheme="minorHAnsi"/>
          <w:szCs w:val="24"/>
        </w:rPr>
        <w:t>recommendations</w:t>
      </w:r>
      <w:r w:rsidRPr="0046236F">
        <w:rPr>
          <w:rFonts w:asciiTheme="minorHAnsi" w:hAnsiTheme="minorHAnsi" w:cstheme="minorHAnsi"/>
          <w:szCs w:val="24"/>
        </w:rPr>
        <w:t xml:space="preserve"> related to controls, asset management, security arrangements and process formalization have been implemented in several Regional and Area Offices, while broader strategic, risk management and system-level reforms remain in progress. Joint Inspection Unit guidance on mainstreaming the regional presence within the Strategic Plan is reflected in operational planning arrangements.</w:t>
      </w:r>
    </w:p>
    <w:p w14:paraId="5D3190AC"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Internal Assessment perceptions indicate moderately high confidence in the impact of these reforms. Fifty-two per cent agree that there has been improvement in strengthening the regional presence following implementation of relevant audit and IMAC </w:t>
      </w:r>
      <w:r w:rsidRPr="0046236F" w:rsidDel="001F2A97">
        <w:rPr>
          <w:rFonts w:asciiTheme="minorHAnsi" w:hAnsiTheme="minorHAnsi" w:cstheme="minorHAnsi"/>
          <w:szCs w:val="24"/>
        </w:rPr>
        <w:t>recommendations</w:t>
      </w:r>
      <w:r w:rsidRPr="0046236F">
        <w:rPr>
          <w:rFonts w:asciiTheme="minorHAnsi" w:hAnsiTheme="minorHAnsi" w:cstheme="minorHAnsi"/>
          <w:szCs w:val="24"/>
        </w:rPr>
        <w:t>, while 31% remain neutral and 15% disagree. This distribution suggests that reforms are recognized by a majority, although a sizeable share do not express a clear positive assessment.</w:t>
      </w:r>
    </w:p>
    <w:p w14:paraId="5187F6B1"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Regarding the Accountability Framework, document analysis confirms that Results-Based Management principles, operational planning aligned with strategic priorities and structured monitoring mechanisms are in place. Results-based budgeting practices are integrated into operational processes, and the Human Resources transformation has introduced strengthened performance management and workforce planning tools supporting accountability in Regional and Area Offices. The same perception profile applies, with </w:t>
      </w:r>
      <w:r w:rsidRPr="0046236F" w:rsidDel="001E11DB">
        <w:rPr>
          <w:rFonts w:asciiTheme="minorHAnsi" w:hAnsiTheme="minorHAnsi" w:cstheme="minorHAnsi"/>
          <w:szCs w:val="24"/>
        </w:rPr>
        <w:t>52</w:t>
      </w:r>
      <w:r w:rsidRPr="0046236F">
        <w:rPr>
          <w:rFonts w:asciiTheme="minorHAnsi" w:hAnsiTheme="minorHAnsi" w:cstheme="minorHAnsi"/>
          <w:szCs w:val="24"/>
        </w:rPr>
        <w:t>% agreement on overall strengthening following audit-related implementation.</w:t>
      </w:r>
    </w:p>
    <w:p w14:paraId="680FC6D4"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perception profile differs significantly for accountability arrangements accompanying greater autonomy. Twenty-three percent agree that implementation has been adequate with respect to greater autonomy in decision making, while 21% remain neutral and 55% express disagreement, including 17% who strongly disagree. This suggests that, despite formal governance and monitoring mechanisms, staff confidence in the balance between decentralization and accountability remains limited.</w:t>
      </w:r>
    </w:p>
    <w:p w14:paraId="404BADC0" w14:textId="77777777" w:rsidR="00617FC9" w:rsidRPr="0046236F" w:rsidRDefault="00617FC9" w:rsidP="00617FC9">
      <w:pPr>
        <w:jc w:val="both"/>
        <w:rPr>
          <w:rFonts w:asciiTheme="minorHAnsi" w:hAnsiTheme="minorHAnsi" w:cstheme="minorHAnsi"/>
          <w:color w:val="000000"/>
          <w:szCs w:val="24"/>
          <w:lang w:eastAsia="en-GB"/>
        </w:rPr>
      </w:pPr>
      <w:r w:rsidRPr="0046236F">
        <w:rPr>
          <w:rFonts w:asciiTheme="minorHAnsi" w:hAnsiTheme="minorHAnsi" w:cstheme="minorHAnsi"/>
          <w:szCs w:val="24"/>
          <w:lang w:eastAsia="en-GB"/>
        </w:rPr>
        <w:t>With respect to ethics, complaints and response mechanisms, document analysis indicates that centralized reporting channels, standardized case-handling procedures and a strengthened tracking system are in place. Additional awareness and training activities reinforce preventive culture. Internal Assessment responses indicate that 54% agree that implementation has been adequate in this area, while 29% remain neutral and 16% disagree</w:t>
      </w:r>
      <w:r w:rsidRPr="0046236F">
        <w:rPr>
          <w:rFonts w:asciiTheme="minorHAnsi" w:hAnsiTheme="minorHAnsi" w:cstheme="minorHAnsi"/>
          <w:color w:val="000000"/>
          <w:szCs w:val="24"/>
          <w:lang w:eastAsia="en-GB"/>
        </w:rPr>
        <w:t>.</w:t>
      </w:r>
    </w:p>
    <w:p w14:paraId="32556675" w14:textId="77777777" w:rsidR="00617FC9" w:rsidRPr="0046236F" w:rsidRDefault="00617FC9" w:rsidP="00617FC9">
      <w:pPr>
        <w:pStyle w:val="Subtitle0"/>
        <w:rPr>
          <w:rFonts w:asciiTheme="minorHAnsi" w:hAnsiTheme="minorHAnsi" w:cstheme="minorHAnsi"/>
          <w:sz w:val="24"/>
          <w:szCs w:val="24"/>
        </w:rPr>
      </w:pPr>
      <w:r w:rsidRPr="0046236F">
        <w:rPr>
          <w:rFonts w:asciiTheme="minorHAnsi" w:hAnsiTheme="minorHAnsi" w:cstheme="minorHAnsi"/>
          <w:sz w:val="24"/>
          <w:szCs w:val="24"/>
        </w:rPr>
        <w:lastRenderedPageBreak/>
        <w:t xml:space="preserve">Conclusion </w:t>
      </w:r>
    </w:p>
    <w:p w14:paraId="114869D4"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Taken together, the evidence demonstrates that institutional structures for audit follow up, accountability and ethics are operational and advancing. However, perception data indicate that confidence in accountability arrangements associated with greater autonomy is comparatively weak, suggesting scope for clearer articulation and reinforcement of safeguards accompanying decentralized decision making.</w:t>
      </w:r>
    </w:p>
    <w:p w14:paraId="22109CE5"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Sources</w:t>
      </w:r>
    </w:p>
    <w:p w14:paraId="725FBD7A" w14:textId="77777777" w:rsidR="00617FC9" w:rsidRPr="0046236F" w:rsidRDefault="00617FC9" w:rsidP="00BC7ABA">
      <w:pPr>
        <w:pStyle w:val="ListParagraph"/>
        <w:numPr>
          <w:ilvl w:val="0"/>
          <w:numId w:val="66"/>
        </w:numPr>
        <w:ind w:left="357" w:hanging="357"/>
        <w:contextualSpacing w:val="0"/>
        <w:jc w:val="both"/>
        <w:rPr>
          <w:rFonts w:asciiTheme="minorHAnsi" w:hAnsiTheme="minorHAnsi" w:cstheme="minorHAnsi"/>
          <w:sz w:val="24"/>
          <w:szCs w:val="24"/>
        </w:rPr>
      </w:pPr>
      <w:r w:rsidRPr="0046236F">
        <w:rPr>
          <w:rFonts w:asciiTheme="minorHAnsi" w:hAnsiTheme="minorHAnsi" w:cstheme="minorHAnsi"/>
          <w:sz w:val="24"/>
          <w:szCs w:val="24"/>
        </w:rPr>
        <w:t xml:space="preserve">KPI 27_a: </w:t>
      </w:r>
    </w:p>
    <w:p w14:paraId="5DF4EBAD"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Summary table of Conte dei conti BDT recommendations 092025 provided on 25 September 2025 by the Organizational Business Risk Manager (internal).</w:t>
      </w:r>
    </w:p>
    <w:p w14:paraId="18023D84"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lang w:val="fr-FR"/>
        </w:rPr>
        <w:t>BDT related audit recommendations (internal).</w:t>
      </w:r>
    </w:p>
    <w:p w14:paraId="28FEB97C"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United Nations Joint Inspection Unit (JIU), </w:t>
      </w:r>
      <w:hyperlink r:id="rId126" w:history="1">
        <w:r w:rsidRPr="0046236F">
          <w:rPr>
            <w:rFonts w:asciiTheme="minorHAnsi" w:hAnsiTheme="minorHAnsi" w:cstheme="minorHAnsi"/>
            <w:i/>
            <w:color w:val="467886"/>
            <w:sz w:val="24"/>
            <w:szCs w:val="24"/>
            <w:u w:val="single"/>
          </w:rPr>
          <w:t>Review of Management and Administration in the International Telecommunication Union (ITU)</w:t>
        </w:r>
      </w:hyperlink>
      <w:r w:rsidRPr="0046236F">
        <w:rPr>
          <w:rFonts w:asciiTheme="minorHAnsi" w:hAnsiTheme="minorHAnsi" w:cstheme="minorHAnsi"/>
          <w:sz w:val="24"/>
          <w:szCs w:val="24"/>
        </w:rPr>
        <w:t>, 2016, section IX, paras. 192–198 and recommendation 12.</w:t>
      </w:r>
    </w:p>
    <w:p w14:paraId="4F1E9D4B"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Compliance Tracker (internal use only).</w:t>
      </w:r>
    </w:p>
    <w:p w14:paraId="64851884" w14:textId="77777777" w:rsidR="00617FC9" w:rsidRPr="0046236F" w:rsidRDefault="00617FC9" w:rsidP="00BC7ABA">
      <w:pPr>
        <w:pStyle w:val="ListParagraph"/>
        <w:numPr>
          <w:ilvl w:val="0"/>
          <w:numId w:val="66"/>
        </w:numPr>
        <w:ind w:left="357" w:hanging="357"/>
        <w:contextualSpacing w:val="0"/>
        <w:jc w:val="both"/>
        <w:rPr>
          <w:rFonts w:asciiTheme="minorHAnsi" w:hAnsiTheme="minorHAnsi" w:cstheme="minorHAnsi"/>
          <w:sz w:val="24"/>
          <w:szCs w:val="24"/>
        </w:rPr>
      </w:pPr>
      <w:r w:rsidRPr="0046236F">
        <w:rPr>
          <w:rFonts w:asciiTheme="minorHAnsi" w:hAnsiTheme="minorHAnsi" w:cstheme="minorHAnsi"/>
          <w:sz w:val="24"/>
          <w:szCs w:val="24"/>
        </w:rPr>
        <w:t>KPI 27_b:</w:t>
      </w:r>
    </w:p>
    <w:p w14:paraId="610A6AB9"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Annual Report on the implementation of the Strategic Plan and activities of the Union </w:t>
      </w:r>
      <w:hyperlink r:id="rId127" w:history="1">
        <w:r w:rsidRPr="0046236F">
          <w:rPr>
            <w:rFonts w:asciiTheme="minorHAnsi" w:hAnsiTheme="minorHAnsi" w:cstheme="minorHAnsi"/>
            <w:color w:val="467886"/>
            <w:sz w:val="24"/>
            <w:szCs w:val="24"/>
            <w:u w:val="single"/>
          </w:rPr>
          <w:t>Document C25/35</w:t>
        </w:r>
      </w:hyperlink>
      <w:r w:rsidRPr="0046236F">
        <w:rPr>
          <w:rFonts w:asciiTheme="minorHAnsi" w:hAnsiTheme="minorHAnsi" w:cstheme="minorHAnsi"/>
          <w:sz w:val="24"/>
          <w:szCs w:val="24"/>
        </w:rPr>
        <w:t>.</w:t>
      </w:r>
    </w:p>
    <w:p w14:paraId="67AD3530"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Report on the implementation of the Kigali Action Plan (KAP), Document </w:t>
      </w:r>
      <w:hyperlink r:id="rId128" w:tgtFrame="_blank" w:history="1">
        <w:r w:rsidRPr="0046236F">
          <w:rPr>
            <w:rFonts w:asciiTheme="minorHAnsi" w:hAnsiTheme="minorHAnsi" w:cstheme="minorHAnsi"/>
            <w:color w:val="467886"/>
            <w:sz w:val="24"/>
            <w:szCs w:val="24"/>
            <w:u w:val="single"/>
          </w:rPr>
          <w:t>WTDC-25/2</w:t>
        </w:r>
      </w:hyperlink>
      <w:r w:rsidRPr="0046236F">
        <w:rPr>
          <w:rFonts w:asciiTheme="minorHAnsi" w:hAnsiTheme="minorHAnsi" w:cstheme="minorHAnsi"/>
          <w:sz w:val="24"/>
          <w:szCs w:val="24"/>
        </w:rPr>
        <w:t>.</w:t>
      </w:r>
    </w:p>
    <w:p w14:paraId="7ADE678C"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Progress report on the implementation of the Human Resources Transformation Plan and of Resolution 48, </w:t>
      </w:r>
      <w:hyperlink r:id="rId129" w:history="1">
        <w:r w:rsidRPr="0046236F">
          <w:rPr>
            <w:rFonts w:asciiTheme="minorHAnsi" w:hAnsiTheme="minorHAnsi" w:cstheme="minorHAnsi"/>
            <w:color w:val="467886"/>
            <w:sz w:val="24"/>
            <w:szCs w:val="24"/>
            <w:u w:val="single"/>
          </w:rPr>
          <w:t>Document C25/66</w:t>
        </w:r>
      </w:hyperlink>
      <w:r w:rsidRPr="0046236F">
        <w:rPr>
          <w:rFonts w:asciiTheme="minorHAnsi" w:hAnsiTheme="minorHAnsi" w:cstheme="minorHAnsi"/>
          <w:sz w:val="24"/>
          <w:szCs w:val="24"/>
        </w:rPr>
        <w:t>.</w:t>
      </w:r>
    </w:p>
    <w:p w14:paraId="41376264"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Strengthening ITU Regional Presence, </w:t>
      </w:r>
      <w:hyperlink r:id="rId130" w:history="1">
        <w:r w:rsidRPr="0046236F">
          <w:rPr>
            <w:rFonts w:asciiTheme="minorHAnsi" w:hAnsiTheme="minorHAnsi" w:cstheme="minorHAnsi"/>
            <w:color w:val="467886"/>
            <w:sz w:val="24"/>
            <w:szCs w:val="24"/>
            <w:u w:val="single"/>
          </w:rPr>
          <w:t>Document C25/25</w:t>
        </w:r>
      </w:hyperlink>
      <w:r w:rsidRPr="0046236F">
        <w:rPr>
          <w:rFonts w:asciiTheme="minorHAnsi" w:hAnsiTheme="minorHAnsi" w:cstheme="minorHAnsi"/>
          <w:sz w:val="24"/>
          <w:szCs w:val="24"/>
        </w:rPr>
        <w:t>.</w:t>
      </w:r>
    </w:p>
    <w:p w14:paraId="04C66BFA" w14:textId="77777777" w:rsidR="00617FC9" w:rsidRPr="0046236F" w:rsidRDefault="00617FC9" w:rsidP="004E1E98">
      <w:pPr>
        <w:pStyle w:val="ListParagraph"/>
        <w:keepNext/>
        <w:numPr>
          <w:ilvl w:val="0"/>
          <w:numId w:val="66"/>
        </w:numPr>
        <w:ind w:left="357" w:hanging="357"/>
        <w:contextualSpacing w:val="0"/>
        <w:jc w:val="both"/>
        <w:rPr>
          <w:rFonts w:asciiTheme="minorHAnsi" w:hAnsiTheme="minorHAnsi" w:cstheme="minorHAnsi"/>
          <w:sz w:val="24"/>
          <w:szCs w:val="24"/>
        </w:rPr>
      </w:pPr>
      <w:r w:rsidRPr="0046236F">
        <w:rPr>
          <w:rFonts w:asciiTheme="minorHAnsi" w:hAnsiTheme="minorHAnsi" w:cstheme="minorHAnsi"/>
          <w:sz w:val="24"/>
          <w:szCs w:val="24"/>
        </w:rPr>
        <w:t>KPI 27_c:</w:t>
      </w:r>
    </w:p>
    <w:p w14:paraId="4B28FA89" w14:textId="77777777" w:rsidR="00617FC9" w:rsidRPr="0046236F" w:rsidRDefault="00617FC9" w:rsidP="00617FC9">
      <w:pPr>
        <w:pStyle w:val="Bulletlist"/>
        <w:jc w:val="both"/>
        <w:rPr>
          <w:rFonts w:asciiTheme="minorHAnsi" w:hAnsiTheme="minorHAnsi" w:cstheme="minorHAnsi"/>
          <w:sz w:val="24"/>
          <w:szCs w:val="24"/>
          <w:lang w:val="en-US"/>
        </w:rPr>
      </w:pPr>
      <w:r w:rsidRPr="0046236F">
        <w:rPr>
          <w:rFonts w:asciiTheme="minorHAnsi" w:hAnsiTheme="minorHAnsi" w:cstheme="minorHAnsi"/>
          <w:sz w:val="24"/>
          <w:szCs w:val="24"/>
        </w:rPr>
        <w:t xml:space="preserve">Annual Report on the implementation of the strategic plan and activities of the Union </w:t>
      </w:r>
      <w:hyperlink r:id="rId131" w:tgtFrame="_blank" w:history="1">
        <w:r w:rsidRPr="0046236F">
          <w:rPr>
            <w:rFonts w:asciiTheme="minorHAnsi" w:hAnsiTheme="minorHAnsi" w:cstheme="minorHAnsi"/>
            <w:color w:val="467886"/>
            <w:sz w:val="24"/>
            <w:szCs w:val="24"/>
            <w:u w:val="single"/>
          </w:rPr>
          <w:t>Document C25/35</w:t>
        </w:r>
      </w:hyperlink>
      <w:r w:rsidRPr="0046236F">
        <w:rPr>
          <w:rFonts w:asciiTheme="minorHAnsi" w:hAnsiTheme="minorHAnsi" w:cstheme="minorHAnsi"/>
          <w:sz w:val="24"/>
          <w:szCs w:val="24"/>
        </w:rPr>
        <w:t>.</w:t>
      </w:r>
    </w:p>
    <w:p w14:paraId="7E2033C1" w14:textId="77777777" w:rsidR="00617FC9" w:rsidRPr="0046236F" w:rsidRDefault="00617FC9" w:rsidP="00617FC9">
      <w:pPr>
        <w:pStyle w:val="Bulletlist"/>
        <w:jc w:val="both"/>
        <w:rPr>
          <w:rFonts w:asciiTheme="minorHAnsi" w:hAnsiTheme="minorHAnsi" w:cstheme="minorHAnsi"/>
          <w:sz w:val="24"/>
          <w:szCs w:val="24"/>
          <w:lang w:val="en-US"/>
        </w:rPr>
      </w:pPr>
      <w:r w:rsidRPr="0046236F">
        <w:rPr>
          <w:rFonts w:asciiTheme="minorHAnsi" w:hAnsiTheme="minorHAnsi" w:cstheme="minorHAnsi"/>
          <w:sz w:val="24"/>
          <w:szCs w:val="24"/>
        </w:rPr>
        <w:t xml:space="preserve">Strengthening ITU Regional Presence, </w:t>
      </w:r>
      <w:hyperlink r:id="rId132" w:tgtFrame="_blank" w:history="1">
        <w:r w:rsidRPr="0046236F">
          <w:rPr>
            <w:rFonts w:asciiTheme="minorHAnsi" w:hAnsiTheme="minorHAnsi" w:cstheme="minorHAnsi"/>
            <w:color w:val="467886"/>
            <w:sz w:val="24"/>
            <w:szCs w:val="24"/>
            <w:u w:val="single"/>
          </w:rPr>
          <w:t>Document C25/25</w:t>
        </w:r>
      </w:hyperlink>
      <w:r w:rsidRPr="0046236F">
        <w:rPr>
          <w:rFonts w:asciiTheme="minorHAnsi" w:hAnsiTheme="minorHAnsi" w:cstheme="minorHAnsi"/>
          <w:sz w:val="24"/>
          <w:szCs w:val="24"/>
        </w:rPr>
        <w:t>.</w:t>
      </w:r>
    </w:p>
    <w:p w14:paraId="346E7916" w14:textId="77777777" w:rsidR="00617FC9" w:rsidRPr="0046236F" w:rsidRDefault="00617FC9" w:rsidP="00617FC9">
      <w:pPr>
        <w:pStyle w:val="Bulletlist"/>
        <w:jc w:val="both"/>
        <w:rPr>
          <w:rFonts w:asciiTheme="minorHAnsi" w:hAnsiTheme="minorHAnsi" w:cstheme="minorHAnsi"/>
          <w:sz w:val="24"/>
          <w:szCs w:val="24"/>
          <w:lang w:val="en-US"/>
        </w:rPr>
      </w:pPr>
      <w:r w:rsidRPr="0046236F">
        <w:rPr>
          <w:rFonts w:asciiTheme="minorHAnsi" w:hAnsiTheme="minorHAnsi" w:cstheme="minorHAnsi"/>
          <w:sz w:val="24"/>
          <w:szCs w:val="24"/>
        </w:rPr>
        <w:t xml:space="preserve">Report on the implementation of the Kigali Action Plan (KAP),Document </w:t>
      </w:r>
      <w:hyperlink r:id="rId133" w:tgtFrame="_blank" w:history="1">
        <w:r w:rsidRPr="0046236F">
          <w:rPr>
            <w:rFonts w:asciiTheme="minorHAnsi" w:hAnsiTheme="minorHAnsi" w:cstheme="minorHAnsi"/>
            <w:color w:val="467886"/>
            <w:sz w:val="24"/>
            <w:szCs w:val="24"/>
            <w:u w:val="single"/>
          </w:rPr>
          <w:t>WTDC-25/2</w:t>
        </w:r>
      </w:hyperlink>
      <w:r w:rsidRPr="0046236F">
        <w:rPr>
          <w:rFonts w:asciiTheme="minorHAnsi" w:hAnsiTheme="minorHAnsi" w:cstheme="minorHAnsi"/>
          <w:sz w:val="24"/>
          <w:szCs w:val="24"/>
        </w:rPr>
        <w:t>.</w:t>
      </w:r>
    </w:p>
    <w:p w14:paraId="0D281225" w14:textId="77777777" w:rsidR="00617FC9" w:rsidRPr="0046236F" w:rsidRDefault="00617FC9" w:rsidP="00BC7ABA">
      <w:pPr>
        <w:pStyle w:val="ListParagraph"/>
        <w:keepNext/>
        <w:numPr>
          <w:ilvl w:val="0"/>
          <w:numId w:val="66"/>
        </w:numPr>
        <w:ind w:left="357" w:hanging="357"/>
        <w:contextualSpacing w:val="0"/>
        <w:jc w:val="both"/>
        <w:rPr>
          <w:rFonts w:asciiTheme="minorHAnsi" w:hAnsiTheme="minorHAnsi" w:cstheme="minorHAnsi"/>
          <w:sz w:val="24"/>
          <w:szCs w:val="24"/>
        </w:rPr>
      </w:pPr>
      <w:r w:rsidRPr="0046236F">
        <w:rPr>
          <w:rFonts w:asciiTheme="minorHAnsi" w:hAnsiTheme="minorHAnsi" w:cstheme="minorHAnsi"/>
          <w:sz w:val="24"/>
          <w:szCs w:val="24"/>
        </w:rPr>
        <w:t>KPI 27_d:</w:t>
      </w:r>
    </w:p>
    <w:p w14:paraId="554CBE0D"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Information from the Ethics Officer (internal).</w:t>
      </w:r>
    </w:p>
    <w:p w14:paraId="7C23E3CB"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 xml:space="preserve">Supplementary notes: Summary of document analysis </w:t>
      </w:r>
    </w:p>
    <w:p w14:paraId="07E6D23E" w14:textId="77777777" w:rsidR="00617FC9" w:rsidRPr="0046236F" w:rsidRDefault="00617FC9" w:rsidP="00617FC9">
      <w:pPr>
        <w:jc w:val="both"/>
        <w:rPr>
          <w:rFonts w:asciiTheme="minorHAnsi" w:eastAsia="Avenir Nxt2 W1G" w:hAnsiTheme="minorHAnsi" w:cstheme="minorHAnsi"/>
          <w:color w:val="00B0F0"/>
          <w:szCs w:val="24"/>
        </w:rPr>
      </w:pPr>
      <w:r w:rsidRPr="0046236F">
        <w:rPr>
          <w:rFonts w:asciiTheme="minorHAnsi" w:eastAsia="Avenir Nxt2 W1G" w:hAnsiTheme="minorHAnsi" w:cstheme="minorHAnsi"/>
          <w:color w:val="00B0F0"/>
          <w:szCs w:val="24"/>
        </w:rPr>
        <w:t xml:space="preserve">KPI 27_a: Indicate the extent to which: a) the relevant internal audit, external audit, Independent Management Advisory Committee and Joint Inspection Unit </w:t>
      </w:r>
      <w:r w:rsidRPr="0046236F" w:rsidDel="001F2A97">
        <w:rPr>
          <w:rFonts w:asciiTheme="minorHAnsi" w:eastAsia="Avenir Nxt2 W1G" w:hAnsiTheme="minorHAnsi" w:cstheme="minorHAnsi"/>
          <w:color w:val="00B0F0"/>
          <w:szCs w:val="24"/>
        </w:rPr>
        <w:t>recommendations</w:t>
      </w:r>
      <w:r w:rsidRPr="0046236F">
        <w:rPr>
          <w:rFonts w:asciiTheme="minorHAnsi" w:eastAsia="Avenir Nxt2 W1G" w:hAnsiTheme="minorHAnsi" w:cstheme="minorHAnsi"/>
          <w:color w:val="00B0F0"/>
          <w:szCs w:val="24"/>
        </w:rPr>
        <w:t xml:space="preserve"> have been implemented related to the regional presence</w:t>
      </w:r>
    </w:p>
    <w:p w14:paraId="3D1C52CA"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i/>
          <w:szCs w:val="24"/>
        </w:rPr>
        <w:t xml:space="preserve">Internal Audit </w:t>
      </w:r>
      <w:r w:rsidRPr="0046236F" w:rsidDel="001F2A97">
        <w:rPr>
          <w:rFonts w:asciiTheme="minorHAnsi" w:hAnsiTheme="minorHAnsi" w:cstheme="minorHAnsi"/>
          <w:i/>
          <w:szCs w:val="24"/>
        </w:rPr>
        <w:t>recommendations</w:t>
      </w:r>
      <w:r w:rsidRPr="0046236F">
        <w:rPr>
          <w:rFonts w:asciiTheme="minorHAnsi" w:hAnsiTheme="minorHAnsi" w:cstheme="minorHAnsi"/>
          <w:i/>
          <w:szCs w:val="24"/>
        </w:rPr>
        <w:t>:</w:t>
      </w:r>
      <w:r w:rsidRPr="0046236F">
        <w:rPr>
          <w:rFonts w:asciiTheme="minorHAnsi" w:hAnsiTheme="minorHAnsi" w:cstheme="minorHAnsi"/>
          <w:szCs w:val="24"/>
        </w:rPr>
        <w:t xml:space="preserve"> Document analysis shows substantial progress in implementing Internal Audit </w:t>
      </w:r>
      <w:r w:rsidRPr="0046236F" w:rsidDel="001F2A97">
        <w:rPr>
          <w:rFonts w:asciiTheme="minorHAnsi" w:hAnsiTheme="minorHAnsi" w:cstheme="minorHAnsi"/>
          <w:szCs w:val="24"/>
        </w:rPr>
        <w:t>recommendations</w:t>
      </w:r>
      <w:r w:rsidRPr="0046236F">
        <w:rPr>
          <w:rFonts w:asciiTheme="minorHAnsi" w:hAnsiTheme="minorHAnsi" w:cstheme="minorHAnsi"/>
          <w:szCs w:val="24"/>
        </w:rPr>
        <w:t>, particularly those related to Africa and Arab States Regional Offices.</w:t>
      </w:r>
    </w:p>
    <w:p w14:paraId="02A0E70E"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lastRenderedPageBreak/>
        <w:t xml:space="preserve">A significant number of </w:t>
      </w:r>
      <w:r w:rsidRPr="0046236F" w:rsidDel="001F2A97">
        <w:rPr>
          <w:rFonts w:asciiTheme="minorHAnsi" w:hAnsiTheme="minorHAnsi" w:cstheme="minorHAnsi"/>
          <w:szCs w:val="24"/>
        </w:rPr>
        <w:t>recommendations</w:t>
      </w:r>
      <w:r w:rsidRPr="0046236F">
        <w:rPr>
          <w:rFonts w:asciiTheme="minorHAnsi" w:hAnsiTheme="minorHAnsi" w:cstheme="minorHAnsi"/>
          <w:szCs w:val="24"/>
        </w:rPr>
        <w:t xml:space="preserve"> (e.g. asset management, security measures, handover processes, host country agreement provisions) are reported as implemented.</w:t>
      </w:r>
    </w:p>
    <w:p w14:paraId="71CCA520"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Several cross-cutting </w:t>
      </w:r>
      <w:r w:rsidRPr="0046236F" w:rsidDel="001F2A97">
        <w:rPr>
          <w:rFonts w:asciiTheme="minorHAnsi" w:hAnsiTheme="minorHAnsi" w:cstheme="minorHAnsi"/>
          <w:szCs w:val="24"/>
        </w:rPr>
        <w:t>recommendations</w:t>
      </w:r>
      <w:r w:rsidRPr="0046236F">
        <w:rPr>
          <w:rFonts w:asciiTheme="minorHAnsi" w:hAnsiTheme="minorHAnsi" w:cstheme="minorHAnsi"/>
          <w:szCs w:val="24"/>
        </w:rPr>
        <w:t>—such as HR delegation of authority, risk management harmonization, and mandatory training completion—are In Progress, reflecting structural reforms that require coordination beyond individual regional offices.</w:t>
      </w:r>
    </w:p>
    <w:p w14:paraId="52E7C0CD"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A limited number of actions, mainly related to updating job descriptions and risk frameworks, are identified as Not Started, providing a clearly defined pipeline for further strengthening.</w:t>
      </w:r>
    </w:p>
    <w:p w14:paraId="1FDC52EA"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External Auditor (Corte dei conti / National Audit Office) </w:t>
      </w:r>
      <w:r w:rsidRPr="0046236F" w:rsidDel="001F2A97">
        <w:rPr>
          <w:rFonts w:asciiTheme="minorHAnsi" w:hAnsiTheme="minorHAnsi" w:cstheme="minorHAnsi"/>
          <w:szCs w:val="24"/>
        </w:rPr>
        <w:t>recommendations</w:t>
      </w:r>
      <w:r w:rsidRPr="0046236F">
        <w:rPr>
          <w:rFonts w:asciiTheme="minorHAnsi" w:hAnsiTheme="minorHAnsi" w:cstheme="minorHAnsi"/>
          <w:szCs w:val="24"/>
        </w:rPr>
        <w:t>:</w:t>
      </w:r>
      <w:r w:rsidRPr="0046236F">
        <w:rPr>
          <w:rFonts w:asciiTheme="minorHAnsi" w:hAnsiTheme="minorHAnsi" w:cstheme="minorHAnsi"/>
          <w:b/>
          <w:szCs w:val="24"/>
        </w:rPr>
        <w:t xml:space="preserve"> </w:t>
      </w:r>
      <w:r w:rsidRPr="0046236F">
        <w:rPr>
          <w:rFonts w:asciiTheme="minorHAnsi" w:hAnsiTheme="minorHAnsi" w:cstheme="minorHAnsi"/>
          <w:szCs w:val="24"/>
        </w:rPr>
        <w:t xml:space="preserve">External audit </w:t>
      </w:r>
      <w:r w:rsidRPr="0046236F" w:rsidDel="001F2A97">
        <w:rPr>
          <w:rFonts w:asciiTheme="minorHAnsi" w:hAnsiTheme="minorHAnsi" w:cstheme="minorHAnsi"/>
          <w:szCs w:val="24"/>
        </w:rPr>
        <w:t>recommendations</w:t>
      </w:r>
      <w:r w:rsidRPr="0046236F">
        <w:rPr>
          <w:rFonts w:asciiTheme="minorHAnsi" w:hAnsiTheme="minorHAnsi" w:cstheme="minorHAnsi"/>
          <w:szCs w:val="24"/>
        </w:rPr>
        <w:t xml:space="preserve"> related to regional presence are largely classified as In Progress, reflecting their strategic and organization-wide nature. Key themes include:</w:t>
      </w:r>
    </w:p>
    <w:p w14:paraId="626597B3"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Translating regional presence objectives into measurable KPIs and cascading them into operational </w:t>
      </w:r>
      <w:proofErr w:type="gramStart"/>
      <w:r w:rsidRPr="0046236F">
        <w:rPr>
          <w:rFonts w:asciiTheme="minorHAnsi" w:hAnsiTheme="minorHAnsi" w:cstheme="minorHAnsi"/>
          <w:sz w:val="24"/>
          <w:szCs w:val="24"/>
        </w:rPr>
        <w:t>plans;</w:t>
      </w:r>
      <w:proofErr w:type="gramEnd"/>
    </w:p>
    <w:p w14:paraId="6E798CCF"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Strengthening risk management and evaluation </w:t>
      </w:r>
      <w:proofErr w:type="gramStart"/>
      <w:r w:rsidRPr="0046236F">
        <w:rPr>
          <w:rFonts w:asciiTheme="minorHAnsi" w:hAnsiTheme="minorHAnsi" w:cstheme="minorHAnsi"/>
          <w:sz w:val="24"/>
          <w:szCs w:val="24"/>
        </w:rPr>
        <w:t>functions;</w:t>
      </w:r>
      <w:proofErr w:type="gramEnd"/>
    </w:p>
    <w:p w14:paraId="481BD8C9" w14:textId="77777777" w:rsidR="00617FC9" w:rsidRPr="0046236F" w:rsidRDefault="00617FC9" w:rsidP="00617FC9">
      <w:pPr>
        <w:pStyle w:val="Bulletlist"/>
        <w:rPr>
          <w:rFonts w:asciiTheme="minorHAnsi" w:hAnsiTheme="minorHAnsi" w:cstheme="minorHAnsi"/>
          <w:sz w:val="24"/>
          <w:szCs w:val="24"/>
        </w:rPr>
      </w:pPr>
      <w:r w:rsidRPr="0046236F">
        <w:rPr>
          <w:rFonts w:asciiTheme="minorHAnsi" w:hAnsiTheme="minorHAnsi" w:cstheme="minorHAnsi"/>
          <w:sz w:val="24"/>
          <w:szCs w:val="24"/>
        </w:rPr>
        <w:t>Clarifying delegation of authority and internal controls, especially for financial and contractual matters.</w:t>
      </w:r>
    </w:p>
    <w:p w14:paraId="6F586CF6" w14:textId="77777777" w:rsidR="00617FC9" w:rsidRPr="0046236F" w:rsidRDefault="00617FC9" w:rsidP="00617FC9">
      <w:pPr>
        <w:jc w:val="both"/>
        <w:rPr>
          <w:rFonts w:asciiTheme="minorHAnsi" w:hAnsiTheme="minorHAnsi" w:cstheme="minorHAnsi"/>
          <w:b/>
          <w:szCs w:val="24"/>
        </w:rPr>
      </w:pPr>
      <w:r w:rsidRPr="0046236F">
        <w:rPr>
          <w:rFonts w:asciiTheme="minorHAnsi" w:hAnsiTheme="minorHAnsi" w:cstheme="minorHAnsi"/>
          <w:i/>
          <w:szCs w:val="24"/>
        </w:rPr>
        <w:t xml:space="preserve">Joint Inspection Unit (JIU) recommendation: </w:t>
      </w:r>
      <w:r w:rsidRPr="0046236F">
        <w:rPr>
          <w:rFonts w:asciiTheme="minorHAnsi" w:hAnsiTheme="minorHAnsi" w:cstheme="minorHAnsi"/>
          <w:szCs w:val="24"/>
        </w:rPr>
        <w:t>The JIU recommendation on mainstreaming the role of regional presence within a “One ITU” framework has been institutionally embedded in the Strategic Plan and operational planning processes, particularly within BDT. Evidence shows systematic cascading into operational plans, inter-sectoral coordination, and joint activities, indicating substantive implementation at policy and planning levels.</w:t>
      </w:r>
    </w:p>
    <w:p w14:paraId="2E590052"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i/>
          <w:szCs w:val="24"/>
        </w:rPr>
        <w:t>Independent Management Advisory Committee (IMAC):</w:t>
      </w:r>
      <w:r w:rsidRPr="0046236F">
        <w:rPr>
          <w:rFonts w:asciiTheme="minorHAnsi" w:hAnsiTheme="minorHAnsi" w:cstheme="minorHAnsi"/>
          <w:szCs w:val="24"/>
        </w:rPr>
        <w:t xml:space="preserve"> There are no outstanding IMAC </w:t>
      </w:r>
      <w:r w:rsidRPr="0046236F" w:rsidDel="001F2A97">
        <w:rPr>
          <w:rFonts w:asciiTheme="minorHAnsi" w:hAnsiTheme="minorHAnsi" w:cstheme="minorHAnsi"/>
          <w:szCs w:val="24"/>
        </w:rPr>
        <w:t>recommendations</w:t>
      </w:r>
      <w:r w:rsidRPr="0046236F">
        <w:rPr>
          <w:rFonts w:asciiTheme="minorHAnsi" w:hAnsiTheme="minorHAnsi" w:cstheme="minorHAnsi"/>
          <w:szCs w:val="24"/>
        </w:rPr>
        <w:t xml:space="preserve"> related to BDT or regional presence, suggesting that earlier issues raised have been satisfactorily addressed or absorbed into ongoing reform processes.</w:t>
      </w:r>
    </w:p>
    <w:p w14:paraId="276E1372" w14:textId="77777777" w:rsidR="00617FC9" w:rsidRPr="0046236F" w:rsidRDefault="00617FC9" w:rsidP="004E1E98">
      <w:pPr>
        <w:keepNext/>
        <w:spacing w:before="200"/>
        <w:jc w:val="both"/>
        <w:rPr>
          <w:rFonts w:asciiTheme="minorHAnsi" w:eastAsia="Avenir Nxt2 W1G" w:hAnsiTheme="minorHAnsi" w:cstheme="minorHAnsi"/>
          <w:color w:val="00B0F0"/>
          <w:szCs w:val="24"/>
        </w:rPr>
      </w:pPr>
      <w:r w:rsidRPr="0046236F">
        <w:rPr>
          <w:rFonts w:asciiTheme="minorHAnsi" w:eastAsia="Avenir Nxt2 W1G" w:hAnsiTheme="minorHAnsi" w:cstheme="minorHAnsi"/>
          <w:color w:val="00B0F0"/>
          <w:szCs w:val="24"/>
        </w:rPr>
        <w:t>KPI 27_b: Indicate the extent to which: b) the components of the ITU Accountability Framework have been implemented in the regional offices and area offices. This should include an indication of how RBM, results-based budgeting and the human resources strategic plan are implemented. It should also include an identification of any implementation gaps and progress on activities</w:t>
      </w:r>
    </w:p>
    <w:p w14:paraId="44ECC518"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i/>
          <w:szCs w:val="24"/>
        </w:rPr>
        <w:t xml:space="preserve">Results-Based Management (RBM): </w:t>
      </w:r>
      <w:r w:rsidRPr="0046236F">
        <w:rPr>
          <w:rFonts w:asciiTheme="minorHAnsi" w:hAnsiTheme="minorHAnsi" w:cstheme="minorHAnsi"/>
          <w:szCs w:val="24"/>
        </w:rPr>
        <w:t xml:space="preserve">The document analysis notes that RBB principles are established, supported by financial management systems and governance arrangements. At the same time: </w:t>
      </w:r>
    </w:p>
    <w:p w14:paraId="4A520AE7"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Region-specific visibility linking budget allocations (regular and extrabudgetary) to outputs and outcomes remains limited in external reporting.</w:t>
      </w:r>
    </w:p>
    <w:p w14:paraId="487909F2"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significant share of extrabudgetary funding increases the importance of integrated budget-to-results views at regional and project level.</w:t>
      </w:r>
    </w:p>
    <w:p w14:paraId="667F746F"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These findings are consistent with staff survey results highlighting the need for more timely access to project-level financial data to support results-oriented management in the field (Q06 The staff in the Regional and Area Offices have access to detailed financial situation of projects in a reasonable time: 35% agree/strongly agree.).</w:t>
      </w:r>
    </w:p>
    <w:p w14:paraId="42A2B944"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i/>
          <w:szCs w:val="24"/>
        </w:rPr>
        <w:t xml:space="preserve">Human Resources Strategic Plan / Transformation (HRTP): </w:t>
      </w:r>
      <w:r w:rsidRPr="0046236F">
        <w:rPr>
          <w:rFonts w:asciiTheme="minorHAnsi" w:hAnsiTheme="minorHAnsi" w:cstheme="minorHAnsi"/>
          <w:szCs w:val="24"/>
        </w:rPr>
        <w:t>The document analysis shows tangible progress in using HRTP as an accountability enabler for regional delivery:</w:t>
      </w:r>
    </w:p>
    <w:p w14:paraId="77AA319A"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Simplified ePMDS supports performance management aligned with organizational objectives.</w:t>
      </w:r>
    </w:p>
    <w:p w14:paraId="573DE139"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lastRenderedPageBreak/>
        <w:t>Deployment of project managers, implementation support roles and targeted staffing adjustments strengthen delivery capacity in regions.</w:t>
      </w:r>
    </w:p>
    <w:p w14:paraId="7BF62058"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HR analytics and digital HR services improve workforce visibility and management efficiency.</w:t>
      </w:r>
    </w:p>
    <w:p w14:paraId="2C43CB9A" w14:textId="77777777" w:rsidR="00617FC9" w:rsidRPr="0046236F" w:rsidRDefault="00617FC9" w:rsidP="004E1E98">
      <w:pPr>
        <w:keepNext/>
        <w:spacing w:before="200"/>
        <w:jc w:val="both"/>
        <w:rPr>
          <w:rFonts w:asciiTheme="minorHAnsi" w:eastAsia="Avenir Nxt2 W1G" w:hAnsiTheme="minorHAnsi" w:cstheme="minorHAnsi"/>
          <w:color w:val="00B0F0"/>
          <w:szCs w:val="24"/>
        </w:rPr>
      </w:pPr>
      <w:r w:rsidRPr="0046236F">
        <w:rPr>
          <w:rFonts w:asciiTheme="minorHAnsi" w:eastAsia="Avenir Nxt2 W1G" w:hAnsiTheme="minorHAnsi" w:cstheme="minorHAnsi"/>
          <w:color w:val="00B0F0"/>
          <w:szCs w:val="24"/>
        </w:rPr>
        <w:t>KPI 27_c: Indicate the extent to which: c) accountability measures have been undertaken when providing regional/area offices greater autonomy in decision making on the various activities, initiatives and projects they carry out</w:t>
      </w:r>
    </w:p>
    <w:p w14:paraId="3FE6A1B2" w14:textId="77777777" w:rsidR="00617FC9" w:rsidRPr="0046236F" w:rsidRDefault="00617FC9" w:rsidP="00617FC9">
      <w:pPr>
        <w:pStyle w:val="Subtitleitalic"/>
        <w:jc w:val="both"/>
        <w:rPr>
          <w:rFonts w:asciiTheme="minorHAnsi" w:eastAsia="Yu Gothic Light" w:hAnsiTheme="minorHAnsi" w:cstheme="minorHAnsi"/>
          <w:color w:val="0F4761"/>
          <w:sz w:val="24"/>
          <w:szCs w:val="24"/>
        </w:rPr>
      </w:pPr>
      <w:r w:rsidRPr="0046236F">
        <w:rPr>
          <w:rFonts w:asciiTheme="minorHAnsi" w:hAnsiTheme="minorHAnsi" w:cstheme="minorHAnsi"/>
          <w:sz w:val="24"/>
          <w:szCs w:val="24"/>
        </w:rPr>
        <w:t>Document analysis: institutional foundations for accountable autonomy</w:t>
      </w:r>
    </w:p>
    <w:p w14:paraId="0DD5FFD6"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The document analysis confirms that formal accountability mechanisms are well established and designed to support increased autonomy at the regional level.</w:t>
      </w:r>
    </w:p>
    <w:p w14:paraId="65C463DF" w14:textId="77777777" w:rsidR="00617FC9" w:rsidRPr="0046236F" w:rsidRDefault="00617FC9" w:rsidP="00BC7ABA">
      <w:pPr>
        <w:pStyle w:val="ListParagraph"/>
        <w:numPr>
          <w:ilvl w:val="0"/>
          <w:numId w:val="65"/>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i/>
          <w:sz w:val="24"/>
          <w:szCs w:val="24"/>
        </w:rPr>
        <w:t xml:space="preserve">RBM framework: </w:t>
      </w:r>
      <w:r w:rsidRPr="0046236F">
        <w:rPr>
          <w:rFonts w:asciiTheme="minorHAnsi" w:hAnsiTheme="minorHAnsi" w:cstheme="minorHAnsi"/>
          <w:sz w:val="24"/>
          <w:szCs w:val="24"/>
        </w:rPr>
        <w:t>Regional and HQ operations are implemented through integrated operational planning, aligned with the Kigali (and Baku) Action Plan and KPI-based monitoring, ensuring autonomy is exercised within a results framework.</w:t>
      </w:r>
    </w:p>
    <w:p w14:paraId="3A384584" w14:textId="77777777" w:rsidR="00617FC9" w:rsidRPr="0046236F" w:rsidRDefault="00617FC9" w:rsidP="00BC7ABA">
      <w:pPr>
        <w:pStyle w:val="ListParagraph"/>
        <w:numPr>
          <w:ilvl w:val="0"/>
          <w:numId w:val="65"/>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i/>
          <w:sz w:val="24"/>
          <w:szCs w:val="24"/>
        </w:rPr>
        <w:t>Results-based budgeting and financial oversight:</w:t>
      </w:r>
      <w:r w:rsidRPr="0046236F">
        <w:rPr>
          <w:rFonts w:asciiTheme="minorHAnsi" w:hAnsiTheme="minorHAnsi" w:cstheme="minorHAnsi"/>
          <w:sz w:val="24"/>
          <w:szCs w:val="24"/>
        </w:rPr>
        <w:t xml:space="preserve"> Joint oversight of financial and HR decisions, supported by BDT dashboards, enables monitoring of expenditure and performance while allowing decentralized execution.</w:t>
      </w:r>
    </w:p>
    <w:p w14:paraId="1BCFBB30" w14:textId="77777777" w:rsidR="00617FC9" w:rsidRPr="0046236F" w:rsidRDefault="00617FC9" w:rsidP="00BC7ABA">
      <w:pPr>
        <w:pStyle w:val="ListParagraph"/>
        <w:numPr>
          <w:ilvl w:val="0"/>
          <w:numId w:val="65"/>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i/>
          <w:sz w:val="24"/>
          <w:szCs w:val="24"/>
        </w:rPr>
        <w:t xml:space="preserve">Project governance: </w:t>
      </w:r>
      <w:r w:rsidRPr="0046236F">
        <w:rPr>
          <w:rFonts w:asciiTheme="minorHAnsi" w:hAnsiTheme="minorHAnsi" w:cstheme="minorHAnsi"/>
          <w:sz w:val="24"/>
          <w:szCs w:val="24"/>
        </w:rPr>
        <w:t>Accountability is reinforced through structured project governance, including the BDT Projects Board, quarterly reporting, and independent monitoring and review mechanisms.</w:t>
      </w:r>
    </w:p>
    <w:p w14:paraId="0B4CD8F0" w14:textId="77777777" w:rsidR="00617FC9" w:rsidRPr="0046236F" w:rsidRDefault="00617FC9" w:rsidP="00BC7ABA">
      <w:pPr>
        <w:pStyle w:val="ListParagraph"/>
        <w:numPr>
          <w:ilvl w:val="0"/>
          <w:numId w:val="65"/>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i/>
          <w:sz w:val="24"/>
          <w:szCs w:val="24"/>
        </w:rPr>
        <w:t xml:space="preserve">Human resources strategic plan and performance management: </w:t>
      </w:r>
      <w:r w:rsidRPr="0046236F">
        <w:rPr>
          <w:rFonts w:asciiTheme="minorHAnsi" w:hAnsiTheme="minorHAnsi" w:cstheme="minorHAnsi"/>
          <w:sz w:val="24"/>
          <w:szCs w:val="24"/>
        </w:rPr>
        <w:t>Reforms linked to the Transformation Process include strengthened performance management tools, clearer accountability for managers, and structural adjustments (e.g. enhanced project management support in regions).</w:t>
      </w:r>
    </w:p>
    <w:p w14:paraId="1E2B2104" w14:textId="77777777" w:rsidR="00617FC9" w:rsidRPr="0046236F" w:rsidRDefault="00617FC9" w:rsidP="00BC7ABA">
      <w:pPr>
        <w:pStyle w:val="ListParagraph"/>
        <w:numPr>
          <w:ilvl w:val="0"/>
          <w:numId w:val="65"/>
        </w:numPr>
        <w:spacing w:before="60" w:after="60"/>
        <w:contextualSpacing w:val="0"/>
        <w:jc w:val="both"/>
        <w:rPr>
          <w:rFonts w:asciiTheme="minorHAnsi" w:hAnsiTheme="minorHAnsi" w:cstheme="minorHAnsi"/>
          <w:sz w:val="24"/>
          <w:szCs w:val="24"/>
        </w:rPr>
      </w:pPr>
      <w:r w:rsidRPr="0046236F">
        <w:rPr>
          <w:rFonts w:asciiTheme="minorHAnsi" w:hAnsiTheme="minorHAnsi" w:cstheme="minorHAnsi"/>
          <w:i/>
          <w:sz w:val="24"/>
          <w:szCs w:val="24"/>
        </w:rPr>
        <w:t xml:space="preserve">Transparency and reporting to Membership: </w:t>
      </w:r>
      <w:r w:rsidRPr="0046236F">
        <w:rPr>
          <w:rFonts w:asciiTheme="minorHAnsi" w:hAnsiTheme="minorHAnsi" w:cstheme="minorHAnsi"/>
          <w:sz w:val="24"/>
          <w:szCs w:val="24"/>
        </w:rPr>
        <w:t>Regular reporting through TDAG, RDFs and Council processes, as well as publication of partnership agreements, supports transparency and accountability in decentralized operations.</w:t>
      </w:r>
    </w:p>
    <w:p w14:paraId="779E6846" w14:textId="77777777" w:rsidR="00617FC9" w:rsidRPr="0046236F" w:rsidRDefault="00617FC9" w:rsidP="00617FC9">
      <w:pPr>
        <w:jc w:val="both"/>
        <w:rPr>
          <w:rFonts w:asciiTheme="minorHAnsi" w:eastAsia="Avenir Nxt2 W1G" w:hAnsiTheme="minorHAnsi" w:cstheme="minorHAnsi"/>
          <w:color w:val="00B0F0"/>
          <w:szCs w:val="24"/>
        </w:rPr>
      </w:pPr>
      <w:r w:rsidRPr="0046236F">
        <w:rPr>
          <w:rFonts w:asciiTheme="minorHAnsi" w:eastAsia="Avenir Nxt2 W1G" w:hAnsiTheme="minorHAnsi" w:cstheme="minorHAnsi"/>
          <w:color w:val="00B0F0"/>
          <w:szCs w:val="24"/>
        </w:rPr>
        <w:t>KPI 27_d: Indicate the extent to which: d) the efficiency and effectiveness of the ethics, complaints and response mechanisms</w:t>
      </w:r>
    </w:p>
    <w:p w14:paraId="13132CC2"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Document review confirms that ITU has:</w:t>
      </w:r>
    </w:p>
    <w:p w14:paraId="61A8D488"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A formal ethics framework and ethics </w:t>
      </w:r>
      <w:proofErr w:type="gramStart"/>
      <w:r w:rsidRPr="0046236F">
        <w:rPr>
          <w:rFonts w:asciiTheme="minorHAnsi" w:hAnsiTheme="minorHAnsi" w:cstheme="minorHAnsi"/>
          <w:sz w:val="24"/>
          <w:szCs w:val="24"/>
        </w:rPr>
        <w:t>function;</w:t>
      </w:r>
      <w:proofErr w:type="gramEnd"/>
    </w:p>
    <w:p w14:paraId="24EE5F3E"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Established complaints-handling and investigation mechanisms; and</w:t>
      </w:r>
    </w:p>
    <w:p w14:paraId="67C88E56"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Oversight by internal audit, external audit, IMAC, and JIU, which also address ethics-related matters. </w:t>
      </w:r>
    </w:p>
    <w:p w14:paraId="140957A8"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Mandatory available eLearning course informs all personnel about the available channels to contact the Ethics Office. In July 2025, the Ethics Office introduced a new tracker system to record all queries and concerns, including response times and case details. Before this, concerns were managed through an email inbox, which limited the ability to monitor cases by region. The filing system is currently under review, with plans to migrate historical cases into the new tracker and case management system. </w:t>
      </w:r>
    </w:p>
    <w:p w14:paraId="45747669"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A standardized process is applied to all concerns: an acknowledgment email is sent within hours, followed by direct engagement from the Ethics Officer to better understand the issue and document it securely in the tracker. To strengthen awareness and prevention, the Ethics Office conducted personnel engagement sessions in autumn 2025 and delivered online training in November and </w:t>
      </w:r>
      <w:r w:rsidRPr="0046236F">
        <w:rPr>
          <w:rFonts w:asciiTheme="minorHAnsi" w:hAnsiTheme="minorHAnsi" w:cstheme="minorHAnsi"/>
          <w:szCs w:val="24"/>
        </w:rPr>
        <w:lastRenderedPageBreak/>
        <w:t>December 2025 on harassment prevention and conflict management. These actions form part of a refreshed ethics strategy aimed at further strengthening speak-up channels, awareness, and education.</w:t>
      </w:r>
    </w:p>
    <w:p w14:paraId="1FEF84B2" w14:textId="77777777" w:rsidR="00617FC9" w:rsidRPr="0046236F" w:rsidRDefault="00617FC9" w:rsidP="00617FC9">
      <w:pPr>
        <w:pStyle w:val="Heading2"/>
        <w:rPr>
          <w:rFonts w:asciiTheme="minorHAnsi" w:hAnsiTheme="minorHAnsi" w:cstheme="minorHAnsi"/>
          <w:szCs w:val="24"/>
        </w:rPr>
      </w:pPr>
      <w:bookmarkStart w:id="159" w:name="_Toc224213072"/>
      <w:bookmarkStart w:id="160" w:name="_Toc225163576"/>
      <w:bookmarkStart w:id="161" w:name="_Toc226580578"/>
      <w:r w:rsidRPr="0046236F">
        <w:rPr>
          <w:rFonts w:asciiTheme="minorHAnsi" w:hAnsiTheme="minorHAnsi" w:cstheme="minorHAnsi"/>
          <w:szCs w:val="24"/>
        </w:rPr>
        <w:t>Annex B. Membership Survey Results</w:t>
      </w:r>
      <w:bookmarkEnd w:id="159"/>
      <w:bookmarkEnd w:id="160"/>
      <w:bookmarkEnd w:id="161"/>
    </w:p>
    <w:p w14:paraId="42C25F61" w14:textId="77777777" w:rsidR="00617FC9" w:rsidRPr="0046236F" w:rsidRDefault="00617FC9" w:rsidP="00617FC9">
      <w:pPr>
        <w:jc w:val="both"/>
        <w:rPr>
          <w:rFonts w:asciiTheme="minorHAnsi" w:hAnsiTheme="minorHAnsi" w:cstheme="minorHAnsi"/>
          <w:szCs w:val="24"/>
          <w:lang w:val="en-US"/>
        </w:rPr>
      </w:pPr>
      <w:r w:rsidRPr="0046236F">
        <w:rPr>
          <w:rFonts w:asciiTheme="minorHAnsi" w:hAnsiTheme="minorHAnsi" w:cstheme="minorHAnsi"/>
          <w:szCs w:val="24"/>
          <w:lang w:val="en-US"/>
        </w:rPr>
        <w:t xml:space="preserve">Document </w:t>
      </w:r>
      <w:hyperlink r:id="rId134">
        <w:r w:rsidRPr="0046236F">
          <w:rPr>
            <w:rStyle w:val="Hyperlink"/>
            <w:rFonts w:asciiTheme="minorHAnsi" w:hAnsiTheme="minorHAnsi" w:cstheme="minorHAnsi"/>
            <w:szCs w:val="24"/>
            <w:lang w:val="en-US"/>
          </w:rPr>
          <w:t>CWG-FHR</w:t>
        </w:r>
        <w:bookmarkStart w:id="162" w:name="_Hlt224206363"/>
        <w:r w:rsidRPr="0046236F">
          <w:rPr>
            <w:rStyle w:val="Hyperlink"/>
            <w:rFonts w:asciiTheme="minorHAnsi" w:hAnsiTheme="minorHAnsi" w:cstheme="minorHAnsi"/>
            <w:szCs w:val="24"/>
            <w:lang w:val="en-US"/>
          </w:rPr>
          <w:t>-</w:t>
        </w:r>
        <w:bookmarkEnd w:id="162"/>
        <w:r w:rsidRPr="0046236F">
          <w:rPr>
            <w:rStyle w:val="Hyperlink"/>
            <w:rFonts w:asciiTheme="minorHAnsi" w:hAnsiTheme="minorHAnsi" w:cstheme="minorHAnsi"/>
            <w:szCs w:val="24"/>
            <w:lang w:val="en-US"/>
          </w:rPr>
          <w:t>22/4</w:t>
        </w:r>
      </w:hyperlink>
      <w:r w:rsidRPr="0046236F">
        <w:rPr>
          <w:rFonts w:asciiTheme="minorHAnsi" w:hAnsiTheme="minorHAnsi" w:cstheme="minorHAnsi"/>
          <w:szCs w:val="24"/>
        </w:rPr>
        <w:t xml:space="preserve"> </w:t>
      </w:r>
      <w:r w:rsidRPr="0046236F">
        <w:rPr>
          <w:rFonts w:asciiTheme="minorHAnsi" w:hAnsiTheme="minorHAnsi" w:cstheme="minorHAnsi"/>
          <w:i/>
          <w:iCs/>
          <w:szCs w:val="24"/>
        </w:rPr>
        <w:t>(Annex 1)</w:t>
      </w:r>
      <w:r w:rsidRPr="0046236F">
        <w:rPr>
          <w:rFonts w:asciiTheme="minorHAnsi" w:hAnsiTheme="minorHAnsi" w:cstheme="minorHAnsi"/>
          <w:szCs w:val="24"/>
        </w:rPr>
        <w:t xml:space="preserve"> </w:t>
      </w:r>
      <w:r w:rsidRPr="0046236F">
        <w:rPr>
          <w:rFonts w:asciiTheme="minorHAnsi" w:hAnsiTheme="minorHAnsi" w:cstheme="minorHAnsi"/>
          <w:szCs w:val="24"/>
          <w:lang w:val="en-US"/>
        </w:rPr>
        <w:t>contains the detailed analysis of the Membership Survey. An interactive dashboard presenting the detailed results will be made available prior to the Council session.</w:t>
      </w:r>
    </w:p>
    <w:p w14:paraId="35D1E75A" w14:textId="77777777" w:rsidR="00617FC9" w:rsidRPr="0046236F" w:rsidRDefault="00617FC9" w:rsidP="00617FC9">
      <w:pPr>
        <w:pStyle w:val="Heading2"/>
        <w:rPr>
          <w:rFonts w:asciiTheme="minorHAnsi" w:hAnsiTheme="minorHAnsi" w:cstheme="minorHAnsi"/>
          <w:szCs w:val="24"/>
        </w:rPr>
      </w:pPr>
      <w:bookmarkStart w:id="163" w:name="_Toc224213073"/>
      <w:bookmarkStart w:id="164" w:name="_Toc225163577"/>
      <w:bookmarkStart w:id="165" w:name="_Toc226580579"/>
      <w:r w:rsidRPr="0046236F">
        <w:rPr>
          <w:rFonts w:asciiTheme="minorHAnsi" w:hAnsiTheme="minorHAnsi" w:cstheme="minorHAnsi"/>
          <w:szCs w:val="24"/>
        </w:rPr>
        <w:t>Annex C. Stakeholder Consultation</w:t>
      </w:r>
      <w:bookmarkEnd w:id="163"/>
      <w:bookmarkEnd w:id="164"/>
      <w:bookmarkEnd w:id="165"/>
    </w:p>
    <w:p w14:paraId="50A53CBD" w14:textId="77777777" w:rsidR="00617FC9" w:rsidRPr="0046236F" w:rsidRDefault="00617FC9" w:rsidP="00617FC9">
      <w:pPr>
        <w:pStyle w:val="Heading3"/>
        <w:rPr>
          <w:rFonts w:asciiTheme="minorHAnsi" w:hAnsiTheme="minorHAnsi" w:cstheme="minorHAnsi"/>
          <w:szCs w:val="24"/>
        </w:rPr>
      </w:pPr>
      <w:bookmarkStart w:id="166" w:name="_Toc224213074"/>
      <w:bookmarkStart w:id="167" w:name="_Toc225163578"/>
      <w:bookmarkStart w:id="168" w:name="_Toc226580580"/>
      <w:r w:rsidRPr="0046236F">
        <w:rPr>
          <w:rFonts w:asciiTheme="minorHAnsi" w:hAnsiTheme="minorHAnsi" w:cstheme="minorHAnsi"/>
          <w:szCs w:val="24"/>
        </w:rPr>
        <w:t>Annex C1. Summary of the WTDC-25 Special Session on the ITU Regional Presence Review</w:t>
      </w:r>
      <w:bookmarkEnd w:id="166"/>
      <w:bookmarkEnd w:id="167"/>
      <w:bookmarkEnd w:id="168"/>
    </w:p>
    <w:p w14:paraId="6E17FEB7" w14:textId="550040D9" w:rsidR="00617FC9" w:rsidRPr="0046236F" w:rsidRDefault="00617FC9" w:rsidP="00617FC9">
      <w:pPr>
        <w:pStyle w:val="paragraph"/>
        <w:jc w:val="both"/>
        <w:rPr>
          <w:rFonts w:asciiTheme="minorHAnsi" w:hAnsiTheme="minorHAnsi" w:cstheme="minorHAnsi"/>
          <w:sz w:val="24"/>
          <w:szCs w:val="24"/>
        </w:rPr>
      </w:pPr>
      <w:r w:rsidRPr="0046236F">
        <w:rPr>
          <w:rFonts w:asciiTheme="minorHAnsi" w:eastAsiaTheme="majorEastAsia" w:hAnsiTheme="minorHAnsi" w:cstheme="minorHAnsi"/>
          <w:sz w:val="24"/>
          <w:szCs w:val="24"/>
        </w:rPr>
        <w:t>During WTDC-25 in Baku, a Special Session on ITU’s Regional Presence Review was held on 24</w:t>
      </w:r>
      <w:r w:rsidR="0046236F" w:rsidRPr="0046236F">
        <w:rPr>
          <w:rFonts w:asciiTheme="minorHAnsi" w:eastAsiaTheme="majorEastAsia" w:hAnsiTheme="minorHAnsi" w:cstheme="minorHAnsi"/>
          <w:sz w:val="24"/>
          <w:szCs w:val="24"/>
        </w:rPr>
        <w:t> </w:t>
      </w:r>
      <w:r w:rsidRPr="0046236F">
        <w:rPr>
          <w:rFonts w:asciiTheme="minorHAnsi" w:eastAsiaTheme="majorEastAsia" w:hAnsiTheme="minorHAnsi" w:cstheme="minorHAnsi"/>
          <w:sz w:val="24"/>
          <w:szCs w:val="24"/>
        </w:rPr>
        <w:t>November to present initial findings of the membership survey and to gather</w:t>
      </w:r>
      <w:r w:rsidR="00C703DD">
        <w:rPr>
          <w:rFonts w:asciiTheme="minorHAnsi" w:eastAsiaTheme="majorEastAsia" w:hAnsiTheme="minorHAnsi" w:cstheme="minorHAnsi"/>
          <w:sz w:val="24"/>
          <w:szCs w:val="24"/>
        </w:rPr>
        <w:t xml:space="preserve"> </w:t>
      </w:r>
      <w:r w:rsidRPr="0046236F">
        <w:rPr>
          <w:rFonts w:asciiTheme="minorHAnsi" w:eastAsiaTheme="majorEastAsia" w:hAnsiTheme="minorHAnsi" w:cstheme="minorHAnsi"/>
          <w:sz w:val="24"/>
          <w:szCs w:val="24"/>
        </w:rPr>
        <w:t>Member</w:t>
      </w:r>
      <w:r w:rsidR="00C703DD">
        <w:rPr>
          <w:rFonts w:asciiTheme="minorHAnsi" w:eastAsiaTheme="majorEastAsia" w:hAnsiTheme="minorHAnsi" w:cstheme="minorHAnsi"/>
          <w:sz w:val="24"/>
          <w:szCs w:val="24"/>
        </w:rPr>
        <w:t xml:space="preserve"> </w:t>
      </w:r>
      <w:r w:rsidRPr="0046236F">
        <w:rPr>
          <w:rFonts w:asciiTheme="minorHAnsi" w:eastAsiaTheme="majorEastAsia" w:hAnsiTheme="minorHAnsi" w:cstheme="minorHAnsi"/>
          <w:sz w:val="24"/>
          <w:szCs w:val="24"/>
        </w:rPr>
        <w:t>States’</w:t>
      </w:r>
      <w:r w:rsidR="00C703DD">
        <w:rPr>
          <w:rFonts w:asciiTheme="minorHAnsi" w:eastAsiaTheme="majorEastAsia" w:hAnsiTheme="minorHAnsi" w:cstheme="minorHAnsi"/>
          <w:sz w:val="24"/>
          <w:szCs w:val="24"/>
        </w:rPr>
        <w:t xml:space="preserve"> </w:t>
      </w:r>
      <w:r w:rsidRPr="0046236F">
        <w:rPr>
          <w:rFonts w:asciiTheme="minorHAnsi" w:eastAsiaTheme="majorEastAsia" w:hAnsiTheme="minorHAnsi" w:cstheme="minorHAnsi"/>
          <w:sz w:val="24"/>
          <w:szCs w:val="24"/>
        </w:rPr>
        <w:t>feedback ahead of the final report to Council-26. The session emphasized the strategic importance of the regional and area offices as the operational “bridge” between ITU and its membership, delivering context-relevant assistance, strengthening partnerships, and implementing development priorities. </w:t>
      </w:r>
    </w:p>
    <w:p w14:paraId="2993AD71" w14:textId="49886611" w:rsidR="00617FC9" w:rsidRPr="0046236F" w:rsidRDefault="00617FC9" w:rsidP="00617FC9">
      <w:pPr>
        <w:pStyle w:val="paragraph"/>
        <w:jc w:val="both"/>
        <w:rPr>
          <w:rFonts w:asciiTheme="minorHAnsi" w:hAnsiTheme="minorHAnsi" w:cstheme="minorHAnsi"/>
          <w:sz w:val="24"/>
          <w:szCs w:val="24"/>
        </w:rPr>
      </w:pPr>
      <w:r w:rsidRPr="0046236F">
        <w:rPr>
          <w:rFonts w:asciiTheme="minorHAnsi" w:eastAsiaTheme="majorEastAsia" w:hAnsiTheme="minorHAnsi" w:cstheme="minorHAnsi"/>
          <w:sz w:val="24"/>
          <w:szCs w:val="24"/>
        </w:rPr>
        <w:t>Senior ITU leadership, including the Director of BDT and the Deputy Secretary-General, highlighted that the review</w:t>
      </w:r>
      <w:r w:rsidR="00C703DD">
        <w:rPr>
          <w:rFonts w:asciiTheme="minorHAnsi" w:eastAsiaTheme="majorEastAsia" w:hAnsiTheme="minorHAnsi" w:cstheme="minorHAnsi"/>
          <w:sz w:val="24"/>
          <w:szCs w:val="24"/>
        </w:rPr>
        <w:t xml:space="preserve"> </w:t>
      </w:r>
      <w:r w:rsidRPr="0046236F">
        <w:rPr>
          <w:rFonts w:asciiTheme="minorHAnsi" w:eastAsiaTheme="majorEastAsia" w:hAnsiTheme="minorHAnsi" w:cstheme="minorHAnsi"/>
          <w:sz w:val="24"/>
          <w:szCs w:val="24"/>
        </w:rPr>
        <w:t> —</w:t>
      </w:r>
      <w:r w:rsidR="00C703DD">
        <w:rPr>
          <w:rFonts w:asciiTheme="minorHAnsi" w:eastAsiaTheme="majorEastAsia" w:hAnsiTheme="minorHAnsi" w:cstheme="minorHAnsi"/>
          <w:sz w:val="24"/>
          <w:szCs w:val="24"/>
        </w:rPr>
        <w:t xml:space="preserve"> </w:t>
      </w:r>
      <w:r w:rsidRPr="0046236F">
        <w:rPr>
          <w:rFonts w:asciiTheme="minorHAnsi" w:eastAsiaTheme="majorEastAsia" w:hAnsiTheme="minorHAnsi" w:cstheme="minorHAnsi"/>
          <w:sz w:val="24"/>
          <w:szCs w:val="24"/>
        </w:rPr>
        <w:t>mandated by PP-22 Resolution 25 and guided by Council Documents</w:t>
      </w:r>
      <w:r w:rsidR="00C703DD">
        <w:rPr>
          <w:rFonts w:asciiTheme="minorHAnsi" w:eastAsiaTheme="majorEastAsia" w:hAnsiTheme="minorHAnsi" w:cstheme="minorHAnsi"/>
          <w:sz w:val="24"/>
          <w:szCs w:val="24"/>
        </w:rPr>
        <w:t xml:space="preserve"> </w:t>
      </w:r>
      <w:hyperlink r:id="rId135" w:history="1">
        <w:r w:rsidRPr="0046236F">
          <w:rPr>
            <w:rStyle w:val="Hyperlink"/>
            <w:rFonts w:asciiTheme="minorHAnsi" w:eastAsiaTheme="majorEastAsia" w:hAnsiTheme="minorHAnsi" w:cstheme="minorHAnsi"/>
            <w:color w:val="5F497A" w:themeColor="accent4" w:themeShade="BF"/>
            <w:sz w:val="24"/>
            <w:szCs w:val="24"/>
          </w:rPr>
          <w:t>C25/105</w:t>
        </w:r>
      </w:hyperlink>
      <w:r w:rsidR="00C703DD">
        <w:rPr>
          <w:rFonts w:asciiTheme="minorHAnsi" w:eastAsiaTheme="majorEastAsia" w:hAnsiTheme="minorHAnsi" w:cstheme="minorHAnsi"/>
          <w:sz w:val="24"/>
          <w:szCs w:val="24"/>
        </w:rPr>
        <w:t xml:space="preserve"> </w:t>
      </w:r>
      <w:r w:rsidRPr="0046236F">
        <w:rPr>
          <w:rFonts w:asciiTheme="minorHAnsi" w:eastAsiaTheme="majorEastAsia" w:hAnsiTheme="minorHAnsi" w:cstheme="minorHAnsi"/>
          <w:sz w:val="24"/>
          <w:szCs w:val="24"/>
        </w:rPr>
        <w:t>and</w:t>
      </w:r>
      <w:r w:rsidR="00C703DD">
        <w:rPr>
          <w:rFonts w:asciiTheme="minorHAnsi" w:eastAsiaTheme="majorEastAsia" w:hAnsiTheme="minorHAnsi" w:cstheme="minorHAnsi"/>
          <w:sz w:val="24"/>
          <w:szCs w:val="24"/>
        </w:rPr>
        <w:t xml:space="preserve"> </w:t>
      </w:r>
      <w:hyperlink r:id="rId136">
        <w:r w:rsidRPr="0046236F">
          <w:rPr>
            <w:rStyle w:val="Hyperlink"/>
            <w:rFonts w:asciiTheme="minorHAnsi" w:hAnsiTheme="minorHAnsi" w:cstheme="minorHAnsi"/>
            <w:color w:val="5F497A" w:themeColor="accent4" w:themeShade="BF"/>
            <w:sz w:val="24"/>
            <w:szCs w:val="24"/>
            <w:lang w:val="en-US"/>
          </w:rPr>
          <w:t>C25/69(Rev.1)</w:t>
        </w:r>
      </w:hyperlink>
      <w:r w:rsidRPr="0046236F">
        <w:rPr>
          <w:rFonts w:asciiTheme="minorHAnsi" w:eastAsiaTheme="majorEastAsia" w:hAnsiTheme="minorHAnsi" w:cstheme="minorHAnsi"/>
          <w:sz w:val="24"/>
          <w:szCs w:val="24"/>
        </w:rPr>
        <w:t xml:space="preserve"> —  is progressing through four phases, currently nearing completion of data collection. The review draws on </w:t>
      </w:r>
      <w:r w:rsidRPr="0046236F">
        <w:rPr>
          <w:rFonts w:asciiTheme="minorHAnsi" w:eastAsiaTheme="majorEastAsia" w:hAnsiTheme="minorHAnsi" w:cstheme="minorHAnsi"/>
          <w:b/>
          <w:sz w:val="24"/>
          <w:szCs w:val="24"/>
        </w:rPr>
        <w:t>27 KPIs</w:t>
      </w:r>
      <w:r w:rsidRPr="0046236F">
        <w:rPr>
          <w:rFonts w:asciiTheme="minorHAnsi" w:eastAsiaTheme="majorEastAsia" w:hAnsiTheme="minorHAnsi" w:cstheme="minorHAnsi"/>
          <w:sz w:val="24"/>
          <w:szCs w:val="24"/>
        </w:rPr>
        <w:t>, desk research, internal and external surveys, and coordinated inputs from multiple ITU units under an inter-sectoral task force. Members were informed that nearly </w:t>
      </w:r>
      <w:r w:rsidRPr="0046236F">
        <w:rPr>
          <w:rFonts w:asciiTheme="minorHAnsi" w:eastAsiaTheme="majorEastAsia" w:hAnsiTheme="minorHAnsi" w:cstheme="minorHAnsi"/>
          <w:b/>
          <w:sz w:val="24"/>
          <w:szCs w:val="24"/>
        </w:rPr>
        <w:t>70 per cent of Member States</w:t>
      </w:r>
      <w:r w:rsidRPr="0046236F">
        <w:rPr>
          <w:rFonts w:asciiTheme="minorHAnsi" w:eastAsiaTheme="majorEastAsia" w:hAnsiTheme="minorHAnsi" w:cstheme="minorHAnsi"/>
          <w:sz w:val="24"/>
          <w:szCs w:val="24"/>
        </w:rPr>
        <w:t> responded to the survey, showing strong engagement. </w:t>
      </w:r>
    </w:p>
    <w:p w14:paraId="21717E60" w14:textId="77777777" w:rsidR="00617FC9" w:rsidRPr="0046236F" w:rsidRDefault="00617FC9" w:rsidP="00E04A1C">
      <w:pPr>
        <w:pStyle w:val="paragraph"/>
        <w:keepNext/>
        <w:jc w:val="both"/>
        <w:rPr>
          <w:rFonts w:asciiTheme="minorHAnsi" w:hAnsiTheme="minorHAnsi" w:cstheme="minorHAnsi"/>
          <w:sz w:val="24"/>
          <w:szCs w:val="24"/>
        </w:rPr>
      </w:pPr>
      <w:r w:rsidRPr="0046236F">
        <w:rPr>
          <w:rFonts w:asciiTheme="minorHAnsi" w:eastAsiaTheme="majorEastAsia" w:hAnsiTheme="minorHAnsi" w:cstheme="minorHAnsi"/>
          <w:sz w:val="24"/>
          <w:szCs w:val="24"/>
        </w:rPr>
        <w:t>The Secretariat presented preliminary survey results: </w:t>
      </w:r>
    </w:p>
    <w:p w14:paraId="1A09F6CE"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b/>
          <w:sz w:val="24"/>
          <w:szCs w:val="24"/>
        </w:rPr>
        <w:t>High satisfaction</w:t>
      </w:r>
      <w:r w:rsidRPr="0046236F">
        <w:rPr>
          <w:rFonts w:asciiTheme="minorHAnsi" w:hAnsiTheme="minorHAnsi" w:cstheme="minorHAnsi"/>
          <w:sz w:val="24"/>
          <w:szCs w:val="24"/>
        </w:rPr>
        <w:t> with Regional and Area Offices’ support, information delivery, and willingness to collaborate. </w:t>
      </w:r>
    </w:p>
    <w:p w14:paraId="0B4DECB8"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b/>
          <w:sz w:val="24"/>
          <w:szCs w:val="24"/>
        </w:rPr>
        <w:t>Mixed results </w:t>
      </w:r>
      <w:r w:rsidRPr="0046236F">
        <w:rPr>
          <w:rFonts w:asciiTheme="minorHAnsi" w:hAnsiTheme="minorHAnsi" w:cstheme="minorHAnsi"/>
          <w:sz w:val="24"/>
          <w:szCs w:val="24"/>
        </w:rPr>
        <w:t>on adequacy of financial and human resources, with many respondents indicating insufficient staffing, limited resources, or lack of clarity on resource allocation. </w:t>
      </w:r>
    </w:p>
    <w:p w14:paraId="477F04F1"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Strong calls for</w:t>
      </w:r>
      <w:r w:rsidRPr="0046236F">
        <w:rPr>
          <w:rFonts w:asciiTheme="minorHAnsi" w:hAnsiTheme="minorHAnsi" w:cstheme="minorHAnsi"/>
          <w:b/>
          <w:sz w:val="24"/>
          <w:szCs w:val="24"/>
        </w:rPr>
        <w:t> better communication</w:t>
      </w:r>
      <w:r w:rsidRPr="0046236F">
        <w:rPr>
          <w:rFonts w:asciiTheme="minorHAnsi" w:hAnsiTheme="minorHAnsi" w:cstheme="minorHAnsi"/>
          <w:sz w:val="24"/>
          <w:szCs w:val="24"/>
        </w:rPr>
        <w:t>, clearer focal points, more multilingual content, and improved alignment with regional institutions. </w:t>
      </w:r>
    </w:p>
    <w:p w14:paraId="6EED70EF"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Recurrent </w:t>
      </w:r>
      <w:r w:rsidRPr="0046236F" w:rsidDel="001F2A97">
        <w:rPr>
          <w:rFonts w:asciiTheme="minorHAnsi" w:hAnsiTheme="minorHAnsi" w:cstheme="minorHAnsi"/>
          <w:sz w:val="24"/>
          <w:szCs w:val="24"/>
        </w:rPr>
        <w:t>recommendations</w:t>
      </w:r>
      <w:r w:rsidRPr="0046236F">
        <w:rPr>
          <w:rFonts w:asciiTheme="minorHAnsi" w:hAnsiTheme="minorHAnsi" w:cstheme="minorHAnsi"/>
          <w:sz w:val="24"/>
          <w:szCs w:val="24"/>
        </w:rPr>
        <w:t xml:space="preserve"> for</w:t>
      </w:r>
      <w:r w:rsidRPr="0046236F">
        <w:rPr>
          <w:rFonts w:asciiTheme="minorHAnsi" w:hAnsiTheme="minorHAnsi" w:cstheme="minorHAnsi"/>
          <w:b/>
          <w:sz w:val="24"/>
          <w:szCs w:val="24"/>
        </w:rPr>
        <w:t> greater regional autonomy</w:t>
      </w:r>
      <w:r w:rsidRPr="0046236F">
        <w:rPr>
          <w:rFonts w:asciiTheme="minorHAnsi" w:hAnsiTheme="minorHAnsi" w:cstheme="minorHAnsi"/>
          <w:sz w:val="24"/>
          <w:szCs w:val="24"/>
        </w:rPr>
        <w:t>, strengthened presence in underserved regions (especially the Pacific SIDS), and more systematic follow up, data transparency, and country-level engagement. </w:t>
      </w:r>
    </w:p>
    <w:p w14:paraId="2612636F" w14:textId="77777777" w:rsidR="00617FC9" w:rsidRPr="0046236F" w:rsidRDefault="00617FC9" w:rsidP="00617FC9">
      <w:pPr>
        <w:pStyle w:val="paragraph"/>
        <w:jc w:val="both"/>
        <w:rPr>
          <w:rFonts w:asciiTheme="minorHAnsi" w:hAnsiTheme="minorHAnsi" w:cstheme="minorHAnsi"/>
          <w:sz w:val="24"/>
          <w:szCs w:val="24"/>
        </w:rPr>
      </w:pPr>
      <w:r w:rsidRPr="0046236F">
        <w:rPr>
          <w:rFonts w:asciiTheme="minorHAnsi" w:eastAsiaTheme="majorEastAsia" w:hAnsiTheme="minorHAnsi" w:cstheme="minorHAnsi"/>
          <w:sz w:val="24"/>
          <w:szCs w:val="24"/>
        </w:rPr>
        <w:t>During the open floor interventions, delegations —including Brazil, Kenya, Pacific SIDS, Algeria, Angola, China, Thailand, and Cuba— acknowledged the progress but stressed several priorities: more equitable distribution of support across countries; enhanced authority and flexibility for regional offices; transparency in resource and project allocation; physical presence in key underserved regions; and integration of external auditor and ethics oversight into the review. Member States also urged that the review remain independent, evidence-based, and inclusive of all staff categories. </w:t>
      </w:r>
    </w:p>
    <w:p w14:paraId="2A7D4E4D" w14:textId="77777777" w:rsidR="00617FC9" w:rsidRPr="0046236F" w:rsidRDefault="00617FC9" w:rsidP="00617FC9">
      <w:pPr>
        <w:pStyle w:val="paragraph"/>
        <w:jc w:val="both"/>
        <w:rPr>
          <w:rFonts w:asciiTheme="minorHAnsi" w:hAnsiTheme="minorHAnsi" w:cstheme="minorHAnsi"/>
          <w:sz w:val="24"/>
          <w:szCs w:val="24"/>
        </w:rPr>
      </w:pPr>
      <w:r w:rsidRPr="0046236F">
        <w:rPr>
          <w:rFonts w:asciiTheme="minorHAnsi" w:eastAsiaTheme="majorEastAsia" w:hAnsiTheme="minorHAnsi" w:cstheme="minorHAnsi"/>
          <w:sz w:val="24"/>
          <w:szCs w:val="24"/>
        </w:rPr>
        <w:lastRenderedPageBreak/>
        <w:t>ITU leadership responded by affirming that the process is system-led, transparent, relies entirely on internal resources, and integrates feedback from IMAC and external auditors. They reiterated ongoing steps to strengthen project management, accountability, and alignment between headquarters and regional offices. </w:t>
      </w:r>
    </w:p>
    <w:p w14:paraId="2431A38F" w14:textId="77777777" w:rsidR="00617FC9" w:rsidRPr="0046236F" w:rsidRDefault="00617FC9" w:rsidP="00617FC9">
      <w:pPr>
        <w:pStyle w:val="paragraph"/>
        <w:jc w:val="both"/>
        <w:rPr>
          <w:rFonts w:asciiTheme="minorHAnsi" w:eastAsiaTheme="majorEastAsia" w:hAnsiTheme="minorHAnsi" w:cstheme="minorHAnsi"/>
          <w:sz w:val="24"/>
          <w:szCs w:val="24"/>
        </w:rPr>
      </w:pPr>
      <w:r w:rsidRPr="0046236F">
        <w:rPr>
          <w:rFonts w:asciiTheme="minorHAnsi" w:eastAsiaTheme="majorEastAsia" w:hAnsiTheme="minorHAnsi" w:cstheme="minorHAnsi"/>
          <w:sz w:val="24"/>
          <w:szCs w:val="24"/>
        </w:rPr>
        <w:t>Overall, the session reaffirmed the critical role of the regional presence in delivering ITU’s mandate and signalled broad consensus for strengthening resources, autonomy, accountability, and inclusivity —while also underscoring the need for continued dialogue and consensus-building ahead of Council and WTDC-25. </w:t>
      </w:r>
    </w:p>
    <w:p w14:paraId="1F5C78A5" w14:textId="77777777" w:rsidR="00617FC9" w:rsidRPr="0046236F" w:rsidRDefault="00617FC9" w:rsidP="00617FC9">
      <w:pPr>
        <w:pStyle w:val="Heading3"/>
        <w:rPr>
          <w:rFonts w:asciiTheme="minorHAnsi" w:hAnsiTheme="minorHAnsi" w:cstheme="minorHAnsi"/>
          <w:szCs w:val="24"/>
        </w:rPr>
      </w:pPr>
      <w:bookmarkStart w:id="169" w:name="_Toc224213075"/>
      <w:bookmarkStart w:id="170" w:name="_Toc225163579"/>
      <w:bookmarkStart w:id="171" w:name="_Toc226580581"/>
      <w:r w:rsidRPr="0046236F">
        <w:rPr>
          <w:rFonts w:asciiTheme="minorHAnsi" w:hAnsiTheme="minorHAnsi" w:cstheme="minorHAnsi"/>
          <w:szCs w:val="24"/>
        </w:rPr>
        <w:t>Annex C2. Internal Assessment Survey Responses</w:t>
      </w:r>
      <w:bookmarkEnd w:id="169"/>
      <w:bookmarkEnd w:id="170"/>
      <w:bookmarkEnd w:id="171"/>
    </w:p>
    <w:p w14:paraId="398D27A9"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Document </w:t>
      </w:r>
      <w:hyperlink r:id="rId137" w:history="1">
        <w:r w:rsidRPr="0046236F">
          <w:rPr>
            <w:rStyle w:val="Hyperlink"/>
            <w:rFonts w:asciiTheme="minorHAnsi" w:hAnsiTheme="minorHAnsi" w:cstheme="minorHAnsi"/>
            <w:szCs w:val="24"/>
            <w:lang w:val="en-US"/>
          </w:rPr>
          <w:t>CWG-FHR-22/4</w:t>
        </w:r>
        <w:r w:rsidRPr="0046236F">
          <w:rPr>
            <w:rStyle w:val="Hyperlink"/>
            <w:rFonts w:asciiTheme="minorHAnsi" w:hAnsiTheme="minorHAnsi" w:cstheme="minorHAnsi"/>
            <w:szCs w:val="24"/>
          </w:rPr>
          <w:t>(Rev.1)</w:t>
        </w:r>
      </w:hyperlink>
      <w:r w:rsidRPr="0046236F">
        <w:rPr>
          <w:rFonts w:asciiTheme="minorHAnsi" w:hAnsiTheme="minorHAnsi" w:cstheme="minorHAnsi"/>
          <w:szCs w:val="24"/>
          <w:lang w:eastAsia="en-GB"/>
        </w:rPr>
        <w:t xml:space="preserve"> </w:t>
      </w:r>
      <w:r w:rsidRPr="0046236F">
        <w:rPr>
          <w:rFonts w:asciiTheme="minorHAnsi" w:hAnsiTheme="minorHAnsi" w:cstheme="minorHAnsi"/>
          <w:i/>
          <w:iCs/>
          <w:szCs w:val="24"/>
          <w:lang w:eastAsia="en-GB"/>
        </w:rPr>
        <w:t>Annex 4</w:t>
      </w:r>
      <w:r w:rsidRPr="0046236F">
        <w:rPr>
          <w:rFonts w:asciiTheme="minorHAnsi" w:hAnsiTheme="minorHAnsi" w:cstheme="minorHAnsi"/>
          <w:szCs w:val="24"/>
          <w:lang w:eastAsia="en-GB"/>
        </w:rPr>
        <w:t xml:space="preserve"> contains the detailed analysis of the Internal Assessment Survey.</w:t>
      </w:r>
    </w:p>
    <w:p w14:paraId="77375070" w14:textId="77777777" w:rsidR="00617FC9" w:rsidRPr="0046236F" w:rsidRDefault="00617FC9" w:rsidP="00617FC9">
      <w:pPr>
        <w:pStyle w:val="Heading3"/>
        <w:rPr>
          <w:rFonts w:asciiTheme="minorHAnsi" w:hAnsiTheme="minorHAnsi" w:cstheme="minorHAnsi"/>
          <w:szCs w:val="24"/>
        </w:rPr>
      </w:pPr>
      <w:bookmarkStart w:id="172" w:name="_Toc224213076"/>
      <w:bookmarkStart w:id="173" w:name="_Toc225163580"/>
      <w:bookmarkStart w:id="174" w:name="_Toc226580582"/>
      <w:r w:rsidRPr="0046236F">
        <w:rPr>
          <w:rFonts w:asciiTheme="minorHAnsi" w:hAnsiTheme="minorHAnsi" w:cstheme="minorHAnsi"/>
          <w:szCs w:val="24"/>
        </w:rPr>
        <w:t>Annex C3. Interview with RTOs</w:t>
      </w:r>
      <w:bookmarkEnd w:id="172"/>
      <w:bookmarkEnd w:id="173"/>
      <w:bookmarkEnd w:id="174"/>
    </w:p>
    <w:p w14:paraId="2015D4EC" w14:textId="77777777" w:rsidR="00617FC9" w:rsidRPr="0046236F" w:rsidRDefault="00617FC9" w:rsidP="00617FC9">
      <w:pPr>
        <w:pStyle w:val="AnnexHeading4"/>
        <w:ind w:left="357" w:hanging="357"/>
        <w:rPr>
          <w:rFonts w:asciiTheme="minorHAnsi" w:eastAsiaTheme="minorEastAsia" w:hAnsiTheme="minorHAnsi" w:cstheme="minorHAnsi"/>
          <w:b/>
          <w:color w:val="000000" w:themeColor="text1"/>
          <w:sz w:val="24"/>
          <w:szCs w:val="24"/>
        </w:rPr>
      </w:pPr>
      <w:r w:rsidRPr="0046236F">
        <w:rPr>
          <w:rFonts w:asciiTheme="minorHAnsi" w:hAnsiTheme="minorHAnsi" w:cstheme="minorHAnsi"/>
          <w:b/>
          <w:color w:val="auto"/>
          <w:sz w:val="24"/>
          <w:szCs w:val="24"/>
        </w:rPr>
        <w:t>How can ITU strengthen its efforts to provide support that is better aligned with regional and national priorities?</w:t>
      </w:r>
    </w:p>
    <w:p w14:paraId="00961B82" w14:textId="77777777" w:rsidR="00617FC9" w:rsidRPr="0046236F" w:rsidRDefault="00617FC9" w:rsidP="00617FC9">
      <w:pPr>
        <w:jc w:val="both"/>
        <w:rPr>
          <w:rFonts w:asciiTheme="minorHAnsi" w:hAnsiTheme="minorHAnsi" w:cstheme="minorHAnsi"/>
          <w:szCs w:val="24"/>
          <w:lang w:eastAsia="en-GB"/>
        </w:rPr>
      </w:pPr>
      <w:bookmarkStart w:id="175" w:name="_Toc224213077"/>
      <w:bookmarkStart w:id="176" w:name="_Toc224236508"/>
      <w:r w:rsidRPr="0046236F">
        <w:rPr>
          <w:rStyle w:val="SubtitleitalicChar"/>
          <w:rFonts w:asciiTheme="minorHAnsi" w:hAnsiTheme="minorHAnsi" w:cstheme="minorHAnsi"/>
          <w:sz w:val="24"/>
          <w:szCs w:val="24"/>
        </w:rPr>
        <w:t>Arab States (LAS)</w:t>
      </w:r>
      <w:bookmarkEnd w:id="175"/>
      <w:bookmarkEnd w:id="176"/>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Belkassem Ali Belkassem Makhlouf, ICT Development Department, League of Arab States (24-12-2025)</w:t>
      </w:r>
    </w:p>
    <w:p w14:paraId="19A9FF6E"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interviewee emphasized that ITU’s technical delivery in the Arab region is generally well regarded; however, some structural gaps limit the effectiveness and sustainability of outcomes.</w:t>
      </w:r>
    </w:p>
    <w:p w14:paraId="29B8D117"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a) Adequate and Predictable Funding</w:t>
      </w:r>
    </w:p>
    <w:p w14:paraId="323A3231"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A primary gap raised was the lack of sufficient financial resources to implement initiatives already agreed upon by Member States, particularly those adopted through WTDC resolutions. According to the interviewee, several regional initiatives have not achieved their intended outcomes due to funding shortfalls rather than lack of relevance or political support. Strengthening alignment therefore requires ITU to ensure that adopted initiatives are backed by realistic funding mechanisms, including stronger partnership-based financing models.</w:t>
      </w:r>
    </w:p>
    <w:p w14:paraId="7DA440ED"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b) Strengthening Technical Expertise in Regional Offices</w:t>
      </w:r>
    </w:p>
    <w:p w14:paraId="215BB25B"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While acknowledging the strong performance of existing regional staff, the interviewee stressed the need to reinforce regional offices with deeper technical expertise, particularly in:</w:t>
      </w:r>
    </w:p>
    <w:p w14:paraId="55D61EA8"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Radio spectrum management and radiocommunication, </w:t>
      </w:r>
    </w:p>
    <w:p w14:paraId="1262E575"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Artificial Intelligence (AI),</w:t>
      </w:r>
    </w:p>
    <w:p w14:paraId="7709657C"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Cybersecurity.</w:t>
      </w:r>
    </w:p>
    <w:p w14:paraId="3E8737CA"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These areas are seen as strategic priorities for Arab countries, and the absence of sufficient specialized expertise at the regional level limits ITU’s ability to respond effectively to Member State needs and emerging challenges.</w:t>
      </w:r>
    </w:p>
    <w:p w14:paraId="64741008"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lastRenderedPageBreak/>
        <w:t>c) Enhanced Institutional Cooperation with the League of Arab States</w:t>
      </w:r>
    </w:p>
    <w:p w14:paraId="5397DFF7"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interviewee proposed closer, more structured cooperation between ITU regional offices and the League of Arab States, particularly in relation to resolutions adopted by the Arab Ministerial Council for ICT. Regular dialogue mechanisms and joint planning could help translate ministerial resolutions into concrete, jointly implemented activities.</w:t>
      </w:r>
    </w:p>
    <w:p w14:paraId="0477F780"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d) Joint Initiatives and Alignment of Strategies</w:t>
      </w:r>
    </w:p>
    <w:p w14:paraId="095EAB24"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It was noted that the Arab ICT Strategy and WTDC initiatives are largely complementary. The interviewee suggested developing joint projects and joint activities that simultaneously advance ITU resolutions and regional Arab strategies, thereby improving coherence, ownership, and impact. </w:t>
      </w:r>
    </w:p>
    <w:p w14:paraId="0FD83C0E"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e) Capacity Building on ITU Processes and Resolution Implementation</w:t>
      </w:r>
    </w:p>
    <w:p w14:paraId="75848C7F"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A recurring challenge identified was that many participants from Member States particularly newcomers—lack a clear understanding of what happens after resolutions are adopted. The interviewee recommended targeted capacity-building workshops explaining:</w:t>
      </w:r>
    </w:p>
    <w:p w14:paraId="790ED2CD"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ITU processes and responsibilities, </w:t>
      </w:r>
    </w:p>
    <w:p w14:paraId="48BA0D9D"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The lifecycle of resolutions,</w:t>
      </w:r>
    </w:p>
    <w:p w14:paraId="24A925B7"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Roles and expectations of Member States after conferences.</w:t>
      </w:r>
    </w:p>
    <w:p w14:paraId="0818A39E" w14:textId="77777777" w:rsidR="00617FC9" w:rsidRPr="0046236F" w:rsidRDefault="00617FC9" w:rsidP="00617FC9">
      <w:pPr>
        <w:rPr>
          <w:rFonts w:asciiTheme="minorHAnsi" w:hAnsiTheme="minorHAnsi" w:cstheme="minorHAnsi"/>
          <w:szCs w:val="24"/>
          <w:lang w:eastAsia="en-GB"/>
        </w:rPr>
      </w:pPr>
      <w:r w:rsidRPr="0046236F">
        <w:rPr>
          <w:rFonts w:asciiTheme="minorHAnsi" w:hAnsiTheme="minorHAnsi" w:cstheme="minorHAnsi"/>
          <w:szCs w:val="24"/>
          <w:lang w:eastAsia="en-GB"/>
        </w:rPr>
        <w:t xml:space="preserve">Such awareness-raising would help ensure that resolutions translate into actionable </w:t>
      </w:r>
      <w:r w:rsidRPr="0046236F">
        <w:rPr>
          <w:rFonts w:asciiTheme="minorHAnsi" w:hAnsiTheme="minorHAnsi" w:cstheme="minorHAnsi"/>
          <w:szCs w:val="24"/>
        </w:rPr>
        <w:br/>
      </w:r>
      <w:r w:rsidRPr="0046236F">
        <w:rPr>
          <w:rFonts w:asciiTheme="minorHAnsi" w:hAnsiTheme="minorHAnsi" w:cstheme="minorHAnsi"/>
          <w:szCs w:val="24"/>
          <w:lang w:eastAsia="en-GB"/>
        </w:rPr>
        <w:t>national and regional initiatives.</w:t>
      </w:r>
    </w:p>
    <w:p w14:paraId="3449987A" w14:textId="77777777" w:rsidR="00617FC9" w:rsidRPr="0046236F" w:rsidRDefault="00617FC9" w:rsidP="00617FC9">
      <w:pPr>
        <w:keepNext/>
        <w:jc w:val="both"/>
        <w:rPr>
          <w:rFonts w:asciiTheme="minorHAnsi" w:hAnsiTheme="minorHAnsi" w:cstheme="minorHAnsi"/>
          <w:szCs w:val="24"/>
          <w:lang w:eastAsia="en-GB"/>
        </w:rPr>
      </w:pPr>
      <w:bookmarkStart w:id="177" w:name="_Toc224213078"/>
      <w:bookmarkStart w:id="178" w:name="_Toc224236509"/>
      <w:r w:rsidRPr="0046236F">
        <w:rPr>
          <w:rStyle w:val="SubtitleitalicChar"/>
          <w:rFonts w:asciiTheme="minorHAnsi" w:hAnsiTheme="minorHAnsi" w:cstheme="minorHAnsi"/>
          <w:sz w:val="24"/>
          <w:szCs w:val="24"/>
        </w:rPr>
        <w:t>CIS (RCC)</w:t>
      </w:r>
      <w:bookmarkEnd w:id="177"/>
      <w:bookmarkEnd w:id="178"/>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Alexey Borodin (RCC DG), Ms Maria Bolshakova (RCC DDG) (24-12-2025)</w:t>
      </w:r>
    </w:p>
    <w:p w14:paraId="066B3D04"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a) Stronger integration of the three ITU Bureaus in regional work</w:t>
      </w:r>
    </w:p>
    <w:p w14:paraId="5B107ADF"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participants highlighted the importance of ensuring that all three ITU Bureaus are effectively represented through regional office activities, including clearer communication channels between bureaus and better identification of subject-matter experts who can support projects and initiatives.</w:t>
      </w:r>
    </w:p>
    <w:p w14:paraId="2246B499"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b) More agile management of regional initiatives across the 4-year cycle</w:t>
      </w:r>
    </w:p>
    <w:p w14:paraId="0D8B2787"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While regional initiatives are set within the four-year development cycle, rapid technological and policy changes in telecommunications mean priorities can evolve quickly. The interviewees recommended interim reviews and continuous dialogue with Member States to adjust projects and initiatives during the cycle, enabling step-by-step refinement rather than fixed execution without recalibration.</w:t>
      </w:r>
    </w:p>
    <w:p w14:paraId="2E7826A2"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c) </w:t>
      </w:r>
      <w:proofErr w:type="gramStart"/>
      <w:r w:rsidRPr="0046236F">
        <w:rPr>
          <w:rFonts w:asciiTheme="minorHAnsi" w:hAnsiTheme="minorHAnsi" w:cstheme="minorHAnsi"/>
          <w:sz w:val="24"/>
          <w:szCs w:val="24"/>
        </w:rPr>
        <w:t>Regional</w:t>
      </w:r>
      <w:proofErr w:type="gramEnd"/>
      <w:r w:rsidRPr="0046236F">
        <w:rPr>
          <w:rFonts w:asciiTheme="minorHAnsi" w:hAnsiTheme="minorHAnsi" w:cstheme="minorHAnsi"/>
          <w:sz w:val="24"/>
          <w:szCs w:val="24"/>
        </w:rPr>
        <w:t xml:space="preserve"> offices and RTOs as ‘listening posts’ for </w:t>
      </w:r>
      <w:r w:rsidRPr="0046236F" w:rsidDel="001D4BD7">
        <w:rPr>
          <w:rFonts w:asciiTheme="minorHAnsi" w:hAnsiTheme="minorHAnsi" w:cstheme="minorHAnsi"/>
          <w:sz w:val="24"/>
          <w:szCs w:val="24"/>
        </w:rPr>
        <w:t>priorities</w:t>
      </w:r>
    </w:p>
    <w:p w14:paraId="526EDE5B"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Negotiation and dialogue were emphasized as key mechanisms. Regional offices were described as essential conduits for ITU to capture evolving regional needs, while close collaboration with the RTO can help surface region specific issues earlier and translate them into the broader ITU agenda. This, in turn, supports better allocation of financial and human resources aligned to real demand. </w:t>
      </w:r>
    </w:p>
    <w:p w14:paraId="02552A2B" w14:textId="77777777" w:rsidR="00617FC9" w:rsidRPr="0046236F" w:rsidRDefault="00617FC9" w:rsidP="00617FC9">
      <w:pPr>
        <w:pStyle w:val="NoSpacing"/>
        <w:keepNext/>
        <w:spacing w:before="240" w:after="240"/>
        <w:jc w:val="both"/>
        <w:rPr>
          <w:rFonts w:eastAsia="Aptos" w:cstheme="minorHAnsi"/>
        </w:rPr>
      </w:pPr>
      <w:bookmarkStart w:id="179" w:name="_Toc224213079"/>
      <w:bookmarkStart w:id="180" w:name="_Toc224236510"/>
      <w:r w:rsidRPr="0046236F">
        <w:rPr>
          <w:rStyle w:val="SubtitleitalicChar"/>
          <w:rFonts w:asciiTheme="minorHAnsi" w:hAnsiTheme="minorHAnsi" w:cstheme="minorHAnsi"/>
          <w:sz w:val="24"/>
          <w:szCs w:val="24"/>
        </w:rPr>
        <w:lastRenderedPageBreak/>
        <w:t>Europe (CEPT)</w:t>
      </w:r>
      <w:bookmarkEnd w:id="179"/>
      <w:bookmarkEnd w:id="180"/>
      <w:r w:rsidRPr="0046236F">
        <w:rPr>
          <w:rStyle w:val="SubtitleitalicChar"/>
          <w:rFonts w:asciiTheme="minorHAnsi" w:hAnsiTheme="minorHAnsi" w:cstheme="minorHAnsi"/>
          <w:sz w:val="24"/>
          <w:szCs w:val="24"/>
        </w:rPr>
        <w:t xml:space="preserve"> </w:t>
      </w:r>
      <w:r w:rsidRPr="0046236F">
        <w:rPr>
          <w:rStyle w:val="SubtitleitalicChar"/>
          <w:rFonts w:asciiTheme="minorHAnsi" w:hAnsiTheme="minorHAnsi" w:cstheme="minorHAnsi"/>
          <w:sz w:val="24"/>
          <w:szCs w:val="24"/>
        </w:rPr>
        <w:br/>
      </w:r>
      <w:r w:rsidRPr="0046236F">
        <w:rPr>
          <w:rFonts w:eastAsia="Aptos" w:cstheme="minorHAnsi"/>
        </w:rPr>
        <w:t>Mr Oli Bird, Co-President and Chair of Com-ITU (6-1-2026)</w:t>
      </w:r>
    </w:p>
    <w:p w14:paraId="183F76AF"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a) Recognize Europe’s ‘multi-speed’ policy environment </w:t>
      </w:r>
    </w:p>
    <w:p w14:paraId="55B8E0DB" w14:textId="77777777" w:rsidR="00617FC9" w:rsidRPr="0046236F" w:rsidRDefault="00617FC9" w:rsidP="00617FC9">
      <w:pPr>
        <w:pStyle w:val="NoSpacing"/>
        <w:spacing w:before="240" w:after="240"/>
        <w:jc w:val="both"/>
        <w:rPr>
          <w:rFonts w:cstheme="minorHAnsi"/>
          <w:lang w:eastAsia="en-GB"/>
        </w:rPr>
      </w:pPr>
      <w:r w:rsidRPr="0046236F">
        <w:rPr>
          <w:rFonts w:cstheme="minorHAnsi"/>
          <w:lang w:eastAsia="en-GB"/>
        </w:rPr>
        <w:t>The interviewee stressed that alignment in Europe is complex because priorities differ across three broad groupings: (i) EU Member States that are primarily focused on the Brussels policy agenda; (ii) non-EU, largely self-sufficient countries (e.g., UK and some Nordic countries); and (iii) a longer ‘tail’ of countries particularly in the East where capacity building is most needed.</w:t>
      </w:r>
    </w:p>
    <w:p w14:paraId="309714C4"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b) Maintain strong support for countries that most need capacity building </w:t>
      </w:r>
    </w:p>
    <w:p w14:paraId="2F046990" w14:textId="77777777" w:rsidR="00617FC9" w:rsidRPr="0046236F" w:rsidRDefault="00617FC9" w:rsidP="00617FC9">
      <w:pPr>
        <w:pStyle w:val="NoSpacing"/>
        <w:spacing w:before="240" w:after="240"/>
        <w:jc w:val="both"/>
        <w:rPr>
          <w:rFonts w:cstheme="minorHAnsi"/>
          <w:lang w:eastAsia="en-GB"/>
        </w:rPr>
      </w:pPr>
      <w:r w:rsidRPr="0046236F">
        <w:rPr>
          <w:rFonts w:cstheme="minorHAnsi"/>
          <w:lang w:eastAsia="en-GB"/>
        </w:rPr>
        <w:t>From the interviewee’s perspective, ITU’s established pattern of support delivered through the regional office works well for the developing-country segment of the region and is valued. He did not perceive a major gap for this cohort that requires urgent redesign.</w:t>
      </w:r>
    </w:p>
    <w:p w14:paraId="5752824B"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c) Explore how ITU can add value alongside the EU agenda </w:t>
      </w:r>
    </w:p>
    <w:p w14:paraId="135D4DF1" w14:textId="77777777" w:rsidR="00617FC9" w:rsidRPr="0046236F" w:rsidRDefault="00617FC9" w:rsidP="00617FC9">
      <w:pPr>
        <w:pStyle w:val="NoSpacing"/>
        <w:spacing w:before="240" w:after="240"/>
        <w:jc w:val="both"/>
        <w:rPr>
          <w:rFonts w:cstheme="minorHAnsi"/>
          <w:lang w:eastAsia="en-GB"/>
        </w:rPr>
      </w:pPr>
      <w:r w:rsidRPr="0046236F">
        <w:rPr>
          <w:rFonts w:cstheme="minorHAnsi"/>
          <w:lang w:eastAsia="en-GB"/>
        </w:rPr>
        <w:t>The interviewee recognized the efforts of ITU Office for Europe towards alignment of ITU and EU agendas. For EU-focused administrations, he noted that the perceived ‘need’ for ITU can be lower because the EU ecosystem is viewed as self-contained. He suggested that a clearer articulation of how ITU capabilities (e.g., regulatory tools, model policies, data and benchmarking) can complement EU priorities could help improve perceived relevance.</w:t>
      </w:r>
    </w:p>
    <w:p w14:paraId="7D83D018" w14:textId="77777777" w:rsidR="00617FC9" w:rsidRPr="0046236F" w:rsidRDefault="00617FC9" w:rsidP="002A3002">
      <w:pPr>
        <w:keepNext/>
        <w:jc w:val="both"/>
        <w:rPr>
          <w:rFonts w:asciiTheme="minorHAnsi" w:hAnsiTheme="minorHAnsi" w:cstheme="minorHAnsi"/>
          <w:szCs w:val="24"/>
          <w:lang w:eastAsia="en-GB"/>
        </w:rPr>
      </w:pPr>
      <w:bookmarkStart w:id="181" w:name="_Toc224213080"/>
      <w:bookmarkStart w:id="182" w:name="_Toc224236511"/>
      <w:r w:rsidRPr="0046236F">
        <w:rPr>
          <w:rStyle w:val="SubtitleitalicChar"/>
          <w:rFonts w:asciiTheme="minorHAnsi" w:hAnsiTheme="minorHAnsi" w:cstheme="minorHAnsi"/>
          <w:sz w:val="24"/>
          <w:szCs w:val="24"/>
        </w:rPr>
        <w:t>Americas (CITEL)</w:t>
      </w:r>
      <w:bookmarkEnd w:id="181"/>
      <w:bookmarkEnd w:id="182"/>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Oscar Leon (Executive Secretary, CITEL) and Ms Maria C. Fuenmayor (CITEL) (6-1-2025)</w:t>
      </w:r>
    </w:p>
    <w:p w14:paraId="44D315BD" w14:textId="77777777" w:rsidR="00617FC9" w:rsidRPr="0046236F" w:rsidRDefault="00617FC9" w:rsidP="00617FC9">
      <w:pPr>
        <w:pStyle w:val="Subtitleitalic"/>
        <w:jc w:val="both"/>
        <w:rPr>
          <w:rFonts w:asciiTheme="minorHAnsi" w:eastAsia="Times New Roman" w:hAnsiTheme="minorHAnsi" w:cstheme="minorHAnsi"/>
          <w:color w:val="000000"/>
          <w:kern w:val="0"/>
          <w:sz w:val="24"/>
          <w:szCs w:val="24"/>
          <w14:ligatures w14:val="none"/>
        </w:rPr>
      </w:pPr>
      <w:r w:rsidRPr="0046236F">
        <w:rPr>
          <w:rFonts w:asciiTheme="minorHAnsi" w:hAnsiTheme="minorHAnsi" w:cstheme="minorHAnsi"/>
          <w:sz w:val="24"/>
          <w:szCs w:val="24"/>
        </w:rPr>
        <w:t xml:space="preserve">a) Strong RTO–regional office cooperation is already working well </w:t>
      </w:r>
    </w:p>
    <w:p w14:paraId="70F5D896"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Both speakers emphasized that cooperation between CITEL and the ITU regional office is close, constructive and effective.</w:t>
      </w:r>
    </w:p>
    <w:p w14:paraId="2282E609"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regional office regularly participates in CITEL meetings, remains responsive, and issues are resolved quickly through direct coordination.</w:t>
      </w:r>
    </w:p>
    <w:p w14:paraId="12BF9E58" w14:textId="77777777" w:rsidR="00617FC9" w:rsidRPr="0046236F" w:rsidRDefault="00617FC9" w:rsidP="00617FC9">
      <w:pPr>
        <w:pStyle w:val="Subtitleitalic"/>
        <w:jc w:val="both"/>
        <w:rPr>
          <w:rFonts w:asciiTheme="minorHAnsi" w:eastAsia="Times New Roman" w:hAnsiTheme="minorHAnsi" w:cstheme="minorHAnsi"/>
          <w:color w:val="000000" w:themeColor="text1"/>
          <w:sz w:val="24"/>
          <w:szCs w:val="24"/>
        </w:rPr>
      </w:pPr>
      <w:r w:rsidRPr="0046236F">
        <w:rPr>
          <w:rFonts w:asciiTheme="minorHAnsi" w:hAnsiTheme="minorHAnsi" w:cstheme="minorHAnsi"/>
          <w:sz w:val="24"/>
          <w:szCs w:val="24"/>
        </w:rPr>
        <w:t xml:space="preserve">b) Deepen direct engagement with countries to clarify concrete needs </w:t>
      </w:r>
    </w:p>
    <w:p w14:paraId="5C2A5CD9"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While countries often express a general desire for “more support,” the interviewees noted that alignment improves when ITU and CITEL engage directly and ask what specific support is required (and when). They suggested that one-on-one or targeted discussions help move from general requests to actionable priorities.</w:t>
      </w:r>
    </w:p>
    <w:p w14:paraId="6038EA97" w14:textId="77777777" w:rsidR="00617FC9" w:rsidRPr="0046236F" w:rsidRDefault="00617FC9" w:rsidP="00617FC9">
      <w:pPr>
        <w:pStyle w:val="Subtitleitalic"/>
        <w:jc w:val="both"/>
        <w:rPr>
          <w:rFonts w:asciiTheme="minorHAnsi" w:eastAsia="Times New Roman" w:hAnsiTheme="minorHAnsi" w:cstheme="minorHAnsi"/>
          <w:color w:val="000000" w:themeColor="text1"/>
          <w:sz w:val="24"/>
          <w:szCs w:val="24"/>
        </w:rPr>
      </w:pPr>
      <w:r w:rsidRPr="0046236F">
        <w:rPr>
          <w:rFonts w:asciiTheme="minorHAnsi" w:hAnsiTheme="minorHAnsi" w:cstheme="minorHAnsi"/>
          <w:sz w:val="24"/>
          <w:szCs w:val="24"/>
        </w:rPr>
        <w:t>c) Balance transparency and confidentiality in country support</w:t>
      </w:r>
    </w:p>
    <w:p w14:paraId="028C8311"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interviewees observed that some country-level assistance products (e.g., studies, documents) can be confidential, limiting broader visibility. Where appropriate (e.g., with agreements), sharing more detail can enable better coordination between CITEL and ITU on complementary technical support.</w:t>
      </w:r>
    </w:p>
    <w:p w14:paraId="638CDF57" w14:textId="77777777" w:rsidR="00617FC9" w:rsidRPr="0046236F" w:rsidRDefault="00617FC9" w:rsidP="00617FC9">
      <w:pPr>
        <w:pStyle w:val="NoSpacing"/>
        <w:keepNext/>
        <w:spacing w:before="240" w:after="240"/>
        <w:jc w:val="both"/>
        <w:rPr>
          <w:rFonts w:cstheme="minorHAnsi"/>
        </w:rPr>
      </w:pPr>
      <w:bookmarkStart w:id="183" w:name="_Toc224213081"/>
      <w:bookmarkStart w:id="184" w:name="_Toc224236512"/>
      <w:r w:rsidRPr="0046236F">
        <w:rPr>
          <w:rStyle w:val="SubtitleitalicChar"/>
          <w:rFonts w:asciiTheme="minorHAnsi" w:hAnsiTheme="minorHAnsi" w:cstheme="minorHAnsi"/>
          <w:sz w:val="24"/>
          <w:szCs w:val="24"/>
        </w:rPr>
        <w:lastRenderedPageBreak/>
        <w:t>Asia Pacific (APT)</w:t>
      </w:r>
      <w:bookmarkEnd w:id="183"/>
      <w:bookmarkEnd w:id="184"/>
      <w:r w:rsidRPr="0046236F">
        <w:rPr>
          <w:rStyle w:val="SubtitleitalicChar"/>
          <w:rFonts w:asciiTheme="minorHAnsi" w:hAnsiTheme="minorHAnsi" w:cstheme="minorHAnsi"/>
          <w:sz w:val="24"/>
          <w:szCs w:val="24"/>
        </w:rPr>
        <w:br/>
      </w:r>
      <w:r w:rsidRPr="0046236F">
        <w:rPr>
          <w:rFonts w:cstheme="minorHAnsi"/>
        </w:rPr>
        <w:t>Dr Masanori Kondo, Secretary-General, Asia-Pacific Telecommunity (APT) (12-1-2025)</w:t>
      </w:r>
    </w:p>
    <w:p w14:paraId="2E610757" w14:textId="77777777" w:rsidR="00617FC9" w:rsidRPr="0046236F" w:rsidRDefault="00617FC9" w:rsidP="00617FC9">
      <w:pPr>
        <w:pStyle w:val="NoSpacing"/>
        <w:spacing w:before="240" w:after="240"/>
        <w:jc w:val="both"/>
        <w:rPr>
          <w:rFonts w:cstheme="minorHAnsi"/>
          <w:lang w:eastAsia="en-GB"/>
        </w:rPr>
      </w:pPr>
      <w:r w:rsidRPr="0046236F">
        <w:rPr>
          <w:rFonts w:cstheme="minorHAnsi"/>
          <w:lang w:eastAsia="en-GB"/>
        </w:rPr>
        <w:t>The interviewee emphasized that full satisfaction is rarely achievable by any survey, and that perceived ‘gaps’ should be assessed in terms of their practical significance. In his view, ITU performance in the Asia-Pacific region is generally strong, with satisfaction being relatively high in general terms, even if not complete, as an illustrative observation rather than a quantitative assessment. He noted, however, that some mismatch can still arise between what ITU delivers and what beneficiary countries expect, particularly in complex national initiatives.</w:t>
      </w:r>
    </w:p>
    <w:p w14:paraId="5B637350"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a) Recognize that ‘alignment gaps’ vary by country</w:t>
      </w:r>
    </w:p>
    <w:p w14:paraId="114BB4AF" w14:textId="77777777" w:rsidR="00617FC9" w:rsidRPr="0046236F" w:rsidRDefault="00617FC9" w:rsidP="00617FC9">
      <w:pPr>
        <w:pStyle w:val="NoSpacing"/>
        <w:spacing w:before="240" w:after="240"/>
        <w:jc w:val="both"/>
        <w:rPr>
          <w:rFonts w:cstheme="minorHAnsi"/>
          <w:lang w:eastAsia="en-GB"/>
        </w:rPr>
      </w:pPr>
      <w:r w:rsidRPr="0046236F">
        <w:rPr>
          <w:rFonts w:cstheme="minorHAnsi"/>
          <w:lang w:eastAsia="en-GB"/>
        </w:rPr>
        <w:t>The interviewee observed that any gap between ITU activity and national priorities is country dependent, with some administrations perceiving a larger mismatch than others. Importantly, he stressed that the existence of a gap does not necessarily mean ITU is underperforming.</w:t>
      </w:r>
    </w:p>
    <w:p w14:paraId="205F5147"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b) Strengthen multi-stakeholder coordination beyond bilateral engagement</w:t>
      </w:r>
    </w:p>
    <w:p w14:paraId="03BDD103" w14:textId="77777777" w:rsidR="00617FC9" w:rsidRPr="0046236F" w:rsidRDefault="00617FC9" w:rsidP="00617FC9">
      <w:pPr>
        <w:pStyle w:val="NoSpacing"/>
        <w:spacing w:before="240" w:after="240"/>
        <w:jc w:val="both"/>
        <w:rPr>
          <w:rFonts w:cstheme="minorHAnsi"/>
          <w:lang w:eastAsia="en-GB"/>
        </w:rPr>
      </w:pPr>
      <w:r w:rsidRPr="0046236F">
        <w:rPr>
          <w:rFonts w:cstheme="minorHAnsi"/>
          <w:lang w:eastAsia="en-GB"/>
        </w:rPr>
        <w:t>A core recommendation was to deepen coordination not only between ITU and a beneficiary country, but also with the broader ecosystem of stakeholders that may shape outcomes. This includes other actors that may be involved in the same national priorities (e.g., development partners and donor agencies,) where overlapping initiatives can affect coherence and results).</w:t>
      </w:r>
    </w:p>
    <w:p w14:paraId="240806C1"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c) Clarify mandates and roles among stakeholders to improve implementation</w:t>
      </w:r>
    </w:p>
    <w:p w14:paraId="62F7E976" w14:textId="77777777" w:rsidR="00617FC9" w:rsidRPr="0046236F" w:rsidRDefault="00617FC9" w:rsidP="00617FC9">
      <w:pPr>
        <w:pStyle w:val="NoSpacing"/>
        <w:spacing w:before="240" w:after="240"/>
        <w:jc w:val="both"/>
        <w:rPr>
          <w:rFonts w:cstheme="minorHAnsi"/>
          <w:lang w:eastAsia="en-GB"/>
        </w:rPr>
      </w:pPr>
      <w:r w:rsidRPr="0046236F">
        <w:rPr>
          <w:rFonts w:cstheme="minorHAnsi"/>
          <w:lang w:eastAsia="en-GB"/>
        </w:rPr>
        <w:t>The interviewee stressed the importance of making mandates clear for each stakeholder involved in implementation. In his view, clearer role definition paired with more detailed coordination helps reduce duplication, improves efficiency, and strengthens delivery of projects and activities aligned to national and regional priorities.</w:t>
      </w:r>
    </w:p>
    <w:p w14:paraId="5BC43B6B" w14:textId="77777777" w:rsidR="00617FC9" w:rsidRPr="0046236F" w:rsidRDefault="00617FC9" w:rsidP="00617FC9">
      <w:pPr>
        <w:jc w:val="both"/>
        <w:rPr>
          <w:rFonts w:asciiTheme="minorHAnsi" w:hAnsiTheme="minorHAnsi" w:cstheme="minorHAnsi"/>
          <w:szCs w:val="24"/>
          <w:lang w:val="it-IT"/>
        </w:rPr>
      </w:pPr>
      <w:bookmarkStart w:id="185" w:name="_Toc224213082"/>
      <w:bookmarkStart w:id="186" w:name="_Toc224236513"/>
      <w:r w:rsidRPr="0046236F">
        <w:rPr>
          <w:rStyle w:val="SubtitleitalicChar"/>
          <w:rFonts w:asciiTheme="minorHAnsi" w:hAnsiTheme="minorHAnsi" w:cstheme="minorHAnsi"/>
          <w:sz w:val="24"/>
          <w:szCs w:val="24"/>
        </w:rPr>
        <w:t>Africa (ATU)</w:t>
      </w:r>
      <w:bookmarkEnd w:id="185"/>
      <w:bookmarkEnd w:id="186"/>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val="it-IT"/>
        </w:rPr>
        <w:t>Ms Meriem Slimani (ATU) (13-1-2025)</w:t>
      </w:r>
    </w:p>
    <w:p w14:paraId="122852C3"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a) Increase visibility and monitoring of regional initiative implementation</w:t>
      </w:r>
    </w:p>
    <w:p w14:paraId="2FFBC2FB"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interviewee emphasized that Member States need clearer visibility on how regional initiatives translate into projects and activities, including progress tracking across the implementation period. She recommended a more transparent monitoring process with clear reporting on what is being implemented and where.</w:t>
      </w:r>
    </w:p>
    <w:p w14:paraId="6873DD3D"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b) Define measurable KPIs, targets and outcomes</w:t>
      </w:r>
    </w:p>
    <w:p w14:paraId="3FFB66FE"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To improve alignment and accountability, she proposed agreeing on tangible KPIs and targets for initiatives and ensuring that implementation can be mapped against these objectives. This should reflect Africa’s diversity of needs, including LDCs, SIDS and landlocked countries, and the region’s multilingual context.</w:t>
      </w:r>
    </w:p>
    <w:p w14:paraId="2AAB0574"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lastRenderedPageBreak/>
        <w:t xml:space="preserve">c) Clarify stakeholder roles and strengthen coordination to avoid duplication </w:t>
      </w:r>
    </w:p>
    <w:p w14:paraId="7DFCEB2F"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Given the number of active partners and organizations in Africa, the interviewee called for earlier identification of each stakeholder’s role and clearer mandate coordination. Improved coordination would help reduce duplication and ensure complementary efforts across initiatives.</w:t>
      </w:r>
    </w:p>
    <w:p w14:paraId="6AD7652E"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d) Strengthen project funding mechanisms</w:t>
      </w:r>
    </w:p>
    <w:p w14:paraId="64518055"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She highlighted the need for clearer mechanisms to finance and fund projects under regional initiatives, noting that funding and partner coordination is a recurring requirement for implementation.</w:t>
      </w:r>
    </w:p>
    <w:p w14:paraId="25B52901" w14:textId="77777777" w:rsidR="00617FC9" w:rsidRPr="0046236F" w:rsidRDefault="00617FC9" w:rsidP="00617FC9">
      <w:pPr>
        <w:pStyle w:val="AnnexHeading4"/>
        <w:ind w:left="357" w:hanging="357"/>
        <w:rPr>
          <w:rFonts w:asciiTheme="minorHAnsi" w:hAnsiTheme="minorHAnsi" w:cstheme="minorHAnsi"/>
          <w:b/>
          <w:color w:val="auto"/>
          <w:sz w:val="24"/>
          <w:szCs w:val="24"/>
        </w:rPr>
      </w:pPr>
      <w:r w:rsidRPr="0046236F">
        <w:rPr>
          <w:rFonts w:asciiTheme="minorHAnsi" w:hAnsiTheme="minorHAnsi" w:cstheme="minorHAnsi"/>
          <w:b/>
          <w:color w:val="auto"/>
          <w:sz w:val="24"/>
          <w:szCs w:val="24"/>
        </w:rPr>
        <w:t>How can ITU foster stronger partnerships between RTOs, governments, and the private sector in the region?</w:t>
      </w:r>
    </w:p>
    <w:p w14:paraId="31F2C2F6" w14:textId="77777777" w:rsidR="00617FC9" w:rsidRPr="0046236F" w:rsidRDefault="00617FC9" w:rsidP="00617FC9">
      <w:pPr>
        <w:jc w:val="both"/>
        <w:rPr>
          <w:rFonts w:asciiTheme="minorHAnsi" w:hAnsiTheme="minorHAnsi" w:cstheme="minorHAnsi"/>
          <w:szCs w:val="24"/>
          <w:lang w:eastAsia="en-GB"/>
        </w:rPr>
      </w:pPr>
      <w:bookmarkStart w:id="187" w:name="_Toc224213083"/>
      <w:bookmarkStart w:id="188" w:name="_Toc224236514"/>
      <w:r w:rsidRPr="0046236F">
        <w:rPr>
          <w:rStyle w:val="SubtitleitalicChar"/>
          <w:rFonts w:asciiTheme="minorHAnsi" w:hAnsiTheme="minorHAnsi" w:cstheme="minorHAnsi"/>
          <w:sz w:val="24"/>
          <w:szCs w:val="24"/>
        </w:rPr>
        <w:t>Arab States (LAS)</w:t>
      </w:r>
      <w:bookmarkEnd w:id="187"/>
      <w:bookmarkEnd w:id="188"/>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Belkassem Ali Belkassem Makhlouf, ICT Development Department, League of Arab States (24-12-2025).</w:t>
      </w:r>
    </w:p>
    <w:p w14:paraId="492E28AA"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interviewee acknowledged that ITU already plays a constructive role in partnership building within the Arab region, particularly through technical assistance and support to national digital strategies.</w:t>
      </w:r>
    </w:p>
    <w:p w14:paraId="0ADADEAC"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a) Leveraging Ministerial Councils as Entry Points for Cooperation</w:t>
      </w:r>
    </w:p>
    <w:p w14:paraId="099D28F5"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Arab Ministerial Council for ICT was identified as a key institutional platform. The interviewee suggested that ITU:</w:t>
      </w:r>
    </w:p>
    <w:p w14:paraId="6D38E284"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Engage before and after ministerial meetings, </w:t>
      </w:r>
    </w:p>
    <w:p w14:paraId="3A56E5E7"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Contribute to shaping resolutions that explicitly define a role for ITU regional offices,</w:t>
      </w:r>
    </w:p>
    <w:p w14:paraId="32BEA3D0"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Use adopted resolutions as a formal mandate for future cooperation and partnerships.</w:t>
      </w:r>
    </w:p>
    <w:p w14:paraId="569F34AF"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This approach would anchor partnerships in political legitimacy and shared priorities.</w:t>
      </w:r>
    </w:p>
    <w:p w14:paraId="34B4FA69"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b) Structured Dialogue Around Resolution Drafting and Implementation</w:t>
      </w:r>
    </w:p>
    <w:p w14:paraId="1DF76A02"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Rather than engaging only at the implementation stage, ITU could strengthen partnerships by participating earlier in the brainstorming and drafting of resolutions, ensuring that they are actionable, realistic, and aligned with ITU’s comparative strengths.</w:t>
      </w:r>
    </w:p>
    <w:p w14:paraId="37AA9CBA"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c) Private Sector Engagement Through Governments</w:t>
      </w:r>
    </w:p>
    <w:p w14:paraId="274B68C8"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interviewee clarified that the League of Arab States primarily engages with governments rather than directly with the private sector. In this context, ITU’s role in private-sector engagement should:</w:t>
      </w:r>
    </w:p>
    <w:p w14:paraId="12FF9900"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 xml:space="preserve">Continue to be channelled through national governments and regulatory </w:t>
      </w:r>
      <w:r w:rsidRPr="0046236F">
        <w:rPr>
          <w:rFonts w:asciiTheme="minorHAnsi" w:hAnsiTheme="minorHAnsi" w:cstheme="minorHAnsi"/>
          <w:sz w:val="24"/>
          <w:szCs w:val="24"/>
        </w:rPr>
        <w:br/>
        <w:t xml:space="preserve">authorities, </w:t>
      </w:r>
    </w:p>
    <w:p w14:paraId="729D4E64"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Avoid bypassing governmental structures,</w:t>
      </w:r>
    </w:p>
    <w:p w14:paraId="17D557C7"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Support governments in opening controlled and policy-aligned engagement with private actors</w:t>
      </w:r>
      <w:r w:rsidRPr="0046236F" w:rsidDel="001101A1">
        <w:rPr>
          <w:rFonts w:asciiTheme="minorHAnsi" w:hAnsiTheme="minorHAnsi" w:cstheme="minorHAnsi"/>
          <w:sz w:val="24"/>
          <w:szCs w:val="24"/>
        </w:rPr>
        <w:t>.</w:t>
      </w:r>
    </w:p>
    <w:p w14:paraId="6E953419"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This model is seen as essential for maintaining trust and institutional coherence in the region.</w:t>
      </w:r>
    </w:p>
    <w:p w14:paraId="6CFC95DF" w14:textId="77777777" w:rsidR="00617FC9" w:rsidRPr="0046236F" w:rsidRDefault="00617FC9" w:rsidP="00617FC9">
      <w:pPr>
        <w:jc w:val="both"/>
        <w:rPr>
          <w:rFonts w:asciiTheme="minorHAnsi" w:hAnsiTheme="minorHAnsi" w:cstheme="minorHAnsi"/>
          <w:szCs w:val="24"/>
          <w:lang w:eastAsia="en-GB"/>
        </w:rPr>
      </w:pPr>
      <w:bookmarkStart w:id="189" w:name="_Toc224213084"/>
      <w:bookmarkStart w:id="190" w:name="_Toc224236515"/>
      <w:r w:rsidRPr="0046236F">
        <w:rPr>
          <w:rStyle w:val="SubtitleitalicChar"/>
          <w:rFonts w:asciiTheme="minorHAnsi" w:hAnsiTheme="minorHAnsi" w:cstheme="minorHAnsi"/>
          <w:sz w:val="24"/>
          <w:szCs w:val="24"/>
        </w:rPr>
        <w:lastRenderedPageBreak/>
        <w:t>CIS (RCC)</w:t>
      </w:r>
      <w:bookmarkEnd w:id="189"/>
      <w:bookmarkEnd w:id="190"/>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Alexey Borodin (RCC DG), Ms Maria Bolshakova (RCC DDG) (24-12-2025)</w:t>
      </w:r>
    </w:p>
    <w:p w14:paraId="310E7058"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a) Build on existing joint working methods </w:t>
      </w:r>
    </w:p>
    <w:p w14:paraId="11F89BD7"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partnership between the ITU regional office and the RCC was cited as a good practice, particularly where meetings are held jointly for a shared audience and the two organizations support each other’s agendas and outreach.</w:t>
      </w:r>
    </w:p>
    <w:p w14:paraId="097F3F9B"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b) Convene ‘triple-helix’ regional dialogues (government–private sector–ITU) </w:t>
      </w:r>
    </w:p>
    <w:p w14:paraId="71B7CF22"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interviewees suggested that bringing governments, major operators/industry stakeholders, and ITU experts together in regional gatherings can produce solid, consensus-based outputs. These can be carried forward efficiently into global ITU discussions during assemblies and conferences.</w:t>
      </w:r>
    </w:p>
    <w:p w14:paraId="3392438A"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c) Use partnerships to mobilize resources with transparency and regional equity </w:t>
      </w:r>
    </w:p>
    <w:p w14:paraId="0D35C619"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Partnerships were recognized as an important source of financing. The interviewees emphasized transparency in partnership arrangements and noted that partners should be prepared to support the </w:t>
      </w:r>
      <w:proofErr w:type="gramStart"/>
      <w:r w:rsidRPr="0046236F">
        <w:rPr>
          <w:rFonts w:asciiTheme="minorHAnsi" w:hAnsiTheme="minorHAnsi" w:cstheme="minorHAnsi"/>
          <w:szCs w:val="24"/>
          <w:lang w:eastAsia="en-GB"/>
        </w:rPr>
        <w:t>region as a whole, avoiding</w:t>
      </w:r>
      <w:proofErr w:type="gramEnd"/>
      <w:r w:rsidRPr="0046236F">
        <w:rPr>
          <w:rFonts w:asciiTheme="minorHAnsi" w:hAnsiTheme="minorHAnsi" w:cstheme="minorHAnsi"/>
          <w:szCs w:val="24"/>
          <w:lang w:eastAsia="en-GB"/>
        </w:rPr>
        <w:t xml:space="preserve"> selective support that excludes specific countries or subregions.</w:t>
      </w:r>
    </w:p>
    <w:p w14:paraId="62FD7310"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d) Enable practical cooperation through proximity and stronger delegation </w:t>
      </w:r>
    </w:p>
    <w:p w14:paraId="30341FAE"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Co-location in the same city and time zone was described as beneficial for face-to-face coordination. The interviewees also proposed stronger delegation of authority to regional offices especially for procurement and operational decisions to improve speed and fit-for-purpose delivery.</w:t>
      </w:r>
    </w:p>
    <w:p w14:paraId="5AB01B25"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e) Improve regional operational agility (procurement and banking) </w:t>
      </w:r>
    </w:p>
    <w:p w14:paraId="310E387A"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A concrete recommendation was to enhance regional procurement capabilities and enable practical financial operations (e.g., the ability to maintain local banking arrangements where needed) to address changing logistics, supply chains, and transaction constraints.</w:t>
      </w:r>
    </w:p>
    <w:p w14:paraId="09997897" w14:textId="77777777" w:rsidR="00617FC9" w:rsidRPr="0046236F" w:rsidRDefault="00617FC9" w:rsidP="00617FC9">
      <w:pPr>
        <w:jc w:val="both"/>
        <w:rPr>
          <w:rFonts w:asciiTheme="minorHAnsi" w:hAnsiTheme="minorHAnsi" w:cstheme="minorHAnsi"/>
          <w:szCs w:val="24"/>
          <w:lang w:eastAsia="en-GB"/>
        </w:rPr>
      </w:pPr>
      <w:bookmarkStart w:id="191" w:name="_Toc224213085"/>
      <w:bookmarkStart w:id="192" w:name="_Toc224236516"/>
      <w:r w:rsidRPr="0046236F">
        <w:rPr>
          <w:rStyle w:val="SubtitleitalicChar"/>
          <w:rFonts w:asciiTheme="minorHAnsi" w:hAnsiTheme="minorHAnsi" w:cstheme="minorHAnsi"/>
          <w:sz w:val="24"/>
          <w:szCs w:val="24"/>
        </w:rPr>
        <w:t>Europe (CEPT)</w:t>
      </w:r>
      <w:bookmarkEnd w:id="191"/>
      <w:bookmarkEnd w:id="192"/>
      <w:r w:rsidRPr="0046236F">
        <w:rPr>
          <w:rStyle w:val="SubtitleitalicChar"/>
          <w:rFonts w:asciiTheme="minorHAnsi" w:hAnsiTheme="minorHAnsi" w:cstheme="minorHAnsi"/>
          <w:sz w:val="24"/>
          <w:szCs w:val="24"/>
        </w:rPr>
        <w:t xml:space="preserve"> </w:t>
      </w:r>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Oli Bird, Co-President and Chair of Com-ITU (6-1-2026)</w:t>
      </w:r>
    </w:p>
    <w:p w14:paraId="5FB3EB48"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a) Clarify the scope of regional presence (development-only vs. ‘One ITU’) </w:t>
      </w:r>
    </w:p>
    <w:p w14:paraId="14560C5D"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Partnership opportunities depend on whether regional presence remains primarily within the development sector or becomes more reflective of all ITU sectors (including standardization and radiocommunication) and the General Secretariat.</w:t>
      </w:r>
    </w:p>
    <w:p w14:paraId="44251225"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b) Build partnerships with established European standards and spectrum ecosystems </w:t>
      </w:r>
    </w:p>
    <w:p w14:paraId="5D35DE6C"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If the regional presence broadens, the interviewee pointed to potential partnerships with European standardization organizations (e.g., ETSI, CENELEC and other European standards bodies) and with CEPT structures that coordinate spectrum work in the region.</w:t>
      </w:r>
    </w:p>
    <w:p w14:paraId="76A2ABEC"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lastRenderedPageBreak/>
        <w:t>c) Use consultation to target partnership needs</w:t>
      </w:r>
    </w:p>
    <w:p w14:paraId="59AA8301"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He recommended consulting different stakeholder groups across Europe developing countries, EU institutions, and technical communities to identify where additional partnerships would be most useful beyond those already in place.</w:t>
      </w:r>
    </w:p>
    <w:p w14:paraId="7D70AA61" w14:textId="77777777" w:rsidR="00617FC9" w:rsidRPr="0046236F" w:rsidRDefault="00617FC9" w:rsidP="00617FC9">
      <w:pPr>
        <w:jc w:val="both"/>
        <w:rPr>
          <w:rFonts w:asciiTheme="minorHAnsi" w:hAnsiTheme="minorHAnsi" w:cstheme="minorHAnsi"/>
          <w:szCs w:val="24"/>
          <w:lang w:eastAsia="en-GB"/>
        </w:rPr>
      </w:pPr>
      <w:bookmarkStart w:id="193" w:name="_Toc224213086"/>
      <w:bookmarkStart w:id="194" w:name="_Toc224236517"/>
      <w:r w:rsidRPr="0046236F">
        <w:rPr>
          <w:rStyle w:val="SubtitleitalicChar"/>
          <w:rFonts w:asciiTheme="minorHAnsi" w:hAnsiTheme="minorHAnsi" w:cstheme="minorHAnsi"/>
          <w:sz w:val="24"/>
          <w:szCs w:val="24"/>
        </w:rPr>
        <w:t>Americas (CITEL)</w:t>
      </w:r>
      <w:bookmarkEnd w:id="193"/>
      <w:bookmarkEnd w:id="194"/>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Oscar Leon (Executive Secretary, CITEL) and Ms Maria C. Fuenmayor (CITEL) (6-1-2025)</w:t>
      </w:r>
    </w:p>
    <w:p w14:paraId="66455674"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a) Address the underlying constraint: resources </w:t>
      </w:r>
    </w:p>
    <w:p w14:paraId="0D128CDD"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speakers repeatedly stressed that the primary limitation is not a lack of mandates or initiatives, but insufficient resources (budget and other support) to implement and complete projects. They emphasized that more resources are needed to deliver on agreed priorities.</w:t>
      </w:r>
    </w:p>
    <w:p w14:paraId="1BB2C345"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b) Co-design initiatives with CITEL to maximize impact </w:t>
      </w:r>
    </w:p>
    <w:p w14:paraId="33F9DE65"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They recommended including CITEL earlier in the development of initiatives and projects so efforts can be coordinated and scaled. CITEL is already providing technical support to multiple countries using its own resources; aligning ITU partnerships and resources with CITEL’s work could extend reach and benefits.</w:t>
      </w:r>
    </w:p>
    <w:p w14:paraId="13D5A89A"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c) Build “alliances” that blend monetary and in-kind support </w:t>
      </w:r>
    </w:p>
    <w:p w14:paraId="06B1E29B"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Partnerships should include governments, private sector, and academia, combining financial and in-kind contributions (technical expertise, student support, capacity). A clearer roster/forward plan of upcoming ITU initiatives (e.g., 2026–2027) could help partners and regional actors identify gaps and contribute to completing projects.</w:t>
      </w:r>
    </w:p>
    <w:p w14:paraId="714F12CC"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d) Focus on a limited set of priority initiatives</w:t>
      </w:r>
    </w:p>
    <w:p w14:paraId="019108AF"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Given expanding mandates, the interviewees advised focusing on the most important initiatives rather than adding </w:t>
      </w:r>
      <w:r w:rsidRPr="0046236F" w:rsidDel="001101A1">
        <w:rPr>
          <w:rFonts w:asciiTheme="minorHAnsi" w:hAnsiTheme="minorHAnsi" w:cstheme="minorHAnsi"/>
          <w:szCs w:val="24"/>
          <w:lang w:eastAsia="en-GB"/>
        </w:rPr>
        <w:t>more</w:t>
      </w:r>
      <w:r w:rsidRPr="0046236F">
        <w:rPr>
          <w:rFonts w:asciiTheme="minorHAnsi" w:hAnsiTheme="minorHAnsi" w:cstheme="minorHAnsi"/>
          <w:szCs w:val="24"/>
          <w:lang w:eastAsia="en-GB"/>
        </w:rPr>
        <w:t xml:space="preserve"> and then mobilizing partnerships and resources around those priorities to ensure delivery.</w:t>
      </w:r>
    </w:p>
    <w:p w14:paraId="3406DCB2" w14:textId="77777777" w:rsidR="00617FC9" w:rsidRPr="0046236F" w:rsidRDefault="00617FC9" w:rsidP="00617FC9">
      <w:pPr>
        <w:jc w:val="both"/>
        <w:rPr>
          <w:rFonts w:asciiTheme="minorHAnsi" w:hAnsiTheme="minorHAnsi" w:cstheme="minorHAnsi"/>
          <w:szCs w:val="24"/>
          <w:lang w:eastAsia="en-GB"/>
        </w:rPr>
      </w:pPr>
      <w:bookmarkStart w:id="195" w:name="_Toc224213087"/>
      <w:bookmarkStart w:id="196" w:name="_Toc224236518"/>
      <w:r w:rsidRPr="0046236F">
        <w:rPr>
          <w:rStyle w:val="SubtitleitalicChar"/>
          <w:rFonts w:asciiTheme="minorHAnsi" w:hAnsiTheme="minorHAnsi" w:cstheme="minorHAnsi"/>
          <w:sz w:val="24"/>
          <w:szCs w:val="24"/>
        </w:rPr>
        <w:t>Asia Pacific (APT)</w:t>
      </w:r>
      <w:bookmarkEnd w:id="195"/>
      <w:bookmarkEnd w:id="196"/>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Dr Masanori Kondo, Secretary-General, Asia-Pacific Telecommunity (APT) (12-1-2025)</w:t>
      </w:r>
    </w:p>
    <w:p w14:paraId="064D5835"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interviewee described partnership-building as a long-standing and complex challenge, particularly because multiple international organizations and donor agencies may engage the same beneficiary country simultaneously. His main recommendation was that effective partnerships depend on strong country ownership and coordination capacity so that incoming support from multiple actors is managed coherently.</w:t>
      </w:r>
    </w:p>
    <w:p w14:paraId="603DA96E"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a) Reduce overlap among international actors by strengthening country ownership</w:t>
      </w:r>
    </w:p>
    <w:p w14:paraId="3899BDAF"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He noted that in the Asia-Pacific context, several organizations (including international financial institutions and donor agencies) may approach the same country with support offers, which can naturally overlap or duplicate. He suggested that the key to mitigating this is ensuring that the beneficiary country maintains a strong initiative and coordination role so external partners align to the country’s own priorities and structures.</w:t>
      </w:r>
    </w:p>
    <w:p w14:paraId="7D0EC720"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lastRenderedPageBreak/>
        <w:t>b) Strengthen the national ‘focal point’ function with sufficient information and coordination ability</w:t>
      </w:r>
    </w:p>
    <w:p w14:paraId="3AFA0DB0"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In alignment with the above points, a central point was that beneficiary countries should have a capable focal point able to track what different partners are offering and coordinate among them. He emphasized that donor agencies often do not have full visibility into each other’s activities, so the focal point becomes essential for avoiding fragmented or redundant interventions.</w:t>
      </w:r>
    </w:p>
    <w:p w14:paraId="25EBE48B"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c) Pair technical support with capacity building for focal points especially in small states</w:t>
      </w:r>
    </w:p>
    <w:p w14:paraId="65AB6689"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interviewee highlighted that some administrations particularly small Pacific countries may lack the manpower to serve as an effective coordination hub. He suggested that ITU could treat focal-point strengthening as a parallel action: while delivering support in a specific thematic area of ICT, ITU can also invest in capacity building so the focal point can manage and coordinate inputs from multiple partners.</w:t>
      </w:r>
    </w:p>
    <w:p w14:paraId="7B897EE4" w14:textId="77777777" w:rsidR="00617FC9" w:rsidRPr="0046236F" w:rsidRDefault="00617FC9" w:rsidP="00617FC9">
      <w:pPr>
        <w:jc w:val="both"/>
        <w:rPr>
          <w:rFonts w:asciiTheme="minorHAnsi" w:hAnsiTheme="minorHAnsi" w:cstheme="minorHAnsi"/>
          <w:szCs w:val="24"/>
          <w:lang w:val="it-IT" w:eastAsia="en-GB"/>
        </w:rPr>
      </w:pPr>
      <w:bookmarkStart w:id="197" w:name="_Toc224213088"/>
      <w:bookmarkStart w:id="198" w:name="_Toc224236519"/>
      <w:r w:rsidRPr="0046236F">
        <w:rPr>
          <w:rStyle w:val="SubtitleitalicChar"/>
          <w:rFonts w:asciiTheme="minorHAnsi" w:hAnsiTheme="minorHAnsi" w:cstheme="minorHAnsi"/>
          <w:sz w:val="24"/>
          <w:szCs w:val="24"/>
        </w:rPr>
        <w:t>Africa (ATU)</w:t>
      </w:r>
      <w:bookmarkEnd w:id="197"/>
      <w:bookmarkEnd w:id="198"/>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val="it-IT" w:eastAsia="en-GB"/>
        </w:rPr>
        <w:t>Ms Meriem Slimani (ATU) (13-1-2025)</w:t>
      </w:r>
    </w:p>
    <w:p w14:paraId="64D5EAF6"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a) Use coordination frameworks for continental projects </w:t>
      </w:r>
    </w:p>
    <w:p w14:paraId="7DA3BC33"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ATU relies heavily on partners due to budget and human resource constraints, and ITU is viewed as a key partner providing expertise and capacity. </w:t>
      </w:r>
    </w:p>
    <w:p w14:paraId="0D77F2C2"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interviewee suggested developing coordination frameworks for major/continental projects that bring partners and stakeholders together around defined roles and deliverables.</w:t>
      </w:r>
    </w:p>
    <w:p w14:paraId="4DA8A443"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b) Move from workshops to funded implementation with identified partners </w:t>
      </w:r>
    </w:p>
    <w:p w14:paraId="59B2897C"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Building on past joint activities (e.g., a workshop on Early Warning for All), she recommended going beyond events to identify concrete projects, potential funders, and complementary UN bodies/partners so initiatives can be implemented at scale and sustained.</w:t>
      </w:r>
    </w:p>
    <w:p w14:paraId="31515082"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c) Leverage ATU’s convening role to map needs and mobilize Member States </w:t>
      </w:r>
    </w:p>
    <w:p w14:paraId="178A6BBD"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She noted that ATU can help bring Member States on board and contribute to mapping needs. With ITU’s experience across regions, both organizations could jointly structure partnerships that combine expertise, financing and delivery capacity.</w:t>
      </w:r>
    </w:p>
    <w:p w14:paraId="3453E357" w14:textId="77777777" w:rsidR="00617FC9" w:rsidRPr="0046236F" w:rsidRDefault="00617FC9" w:rsidP="00617FC9">
      <w:pPr>
        <w:pStyle w:val="AnnexHeading4"/>
        <w:ind w:left="357" w:hanging="357"/>
        <w:rPr>
          <w:rFonts w:asciiTheme="minorHAnsi" w:hAnsiTheme="minorHAnsi" w:cstheme="minorHAnsi"/>
          <w:b/>
          <w:color w:val="auto"/>
          <w:sz w:val="24"/>
          <w:szCs w:val="24"/>
        </w:rPr>
      </w:pPr>
      <w:r w:rsidRPr="0046236F">
        <w:rPr>
          <w:rFonts w:asciiTheme="minorHAnsi" w:hAnsiTheme="minorHAnsi" w:cstheme="minorHAnsi"/>
          <w:b/>
          <w:color w:val="auto"/>
          <w:sz w:val="24"/>
          <w:szCs w:val="24"/>
        </w:rPr>
        <w:t>What approaches could be used by regional and area offices to strengthen coordination with countries not belonging to a specific RTO in the preparatory process for ITU assemblies and conferences?</w:t>
      </w:r>
    </w:p>
    <w:p w14:paraId="1145447E" w14:textId="77777777" w:rsidR="00617FC9" w:rsidRPr="0046236F" w:rsidRDefault="00617FC9" w:rsidP="00617FC9">
      <w:pPr>
        <w:jc w:val="both"/>
        <w:rPr>
          <w:rFonts w:asciiTheme="minorHAnsi" w:hAnsiTheme="minorHAnsi" w:cstheme="minorHAnsi"/>
          <w:szCs w:val="24"/>
          <w:lang w:eastAsia="en-GB"/>
        </w:rPr>
      </w:pPr>
      <w:bookmarkStart w:id="199" w:name="_Toc224213089"/>
      <w:bookmarkStart w:id="200" w:name="_Toc224236520"/>
      <w:r w:rsidRPr="0046236F">
        <w:rPr>
          <w:rStyle w:val="SubtitleitalicChar"/>
          <w:rFonts w:asciiTheme="minorHAnsi" w:hAnsiTheme="minorHAnsi" w:cstheme="minorHAnsi"/>
          <w:sz w:val="24"/>
          <w:szCs w:val="24"/>
        </w:rPr>
        <w:t>Arab States (LAS)</w:t>
      </w:r>
      <w:bookmarkEnd w:id="199"/>
      <w:bookmarkEnd w:id="200"/>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Belkassem Ali Belkassem Makhlouf, ICT Development Department, League of Arab States (24-12-2025)</w:t>
      </w:r>
    </w:p>
    <w:p w14:paraId="29615EFB"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While all Arab States formally belong to a regional framework, the interviewee highlighted that least developed countries (LDCs) in the region such as Djibouti, Mauritania, and Somalia often face practical barriers to effective participation.</w:t>
      </w:r>
    </w:p>
    <w:p w14:paraId="1785886C"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Key constraints identified include:</w:t>
      </w:r>
    </w:p>
    <w:p w14:paraId="78CF446A"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Limited financial resources,</w:t>
      </w:r>
    </w:p>
    <w:p w14:paraId="428084A7"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lastRenderedPageBreak/>
        <w:t>Shortage of national experts,</w:t>
      </w:r>
    </w:p>
    <w:p w14:paraId="576DD51B"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Capacity gaps in specialized technical domains.</w:t>
      </w:r>
    </w:p>
    <w:p w14:paraId="2B954FDE"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To address these challenges, the interviewee suggested:</w:t>
      </w:r>
    </w:p>
    <w:p w14:paraId="1A25B012" w14:textId="77777777" w:rsidR="00617FC9" w:rsidRPr="0046236F" w:rsidRDefault="00617FC9" w:rsidP="00BC7ABA">
      <w:pPr>
        <w:pStyle w:val="ListParagraph"/>
        <w:numPr>
          <w:ilvl w:val="0"/>
          <w:numId w:val="5"/>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Encouraging greater participation of these countries in global ITU bodies (e.g. TDAG, TSAG),</w:t>
      </w:r>
    </w:p>
    <w:p w14:paraId="32E073C3" w14:textId="77777777" w:rsidR="00617FC9" w:rsidRPr="0046236F" w:rsidRDefault="00617FC9" w:rsidP="00BC7ABA">
      <w:pPr>
        <w:pStyle w:val="ListParagraph"/>
        <w:numPr>
          <w:ilvl w:val="0"/>
          <w:numId w:val="5"/>
        </w:numPr>
        <w:spacing w:before="60" w:after="60"/>
        <w:contextualSpacing w:val="0"/>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 xml:space="preserve">Creating more opportunities for them to articulate their needs and priorities directly, </w:t>
      </w:r>
    </w:p>
    <w:p w14:paraId="67C5D5C8" w14:textId="77777777" w:rsidR="00617FC9" w:rsidRPr="0046236F" w:rsidRDefault="00617FC9" w:rsidP="00BC7ABA">
      <w:pPr>
        <w:pStyle w:val="ListParagraph"/>
        <w:numPr>
          <w:ilvl w:val="0"/>
          <w:numId w:val="5"/>
        </w:numPr>
        <w:jc w:val="both"/>
        <w:rPr>
          <w:rFonts w:asciiTheme="minorHAnsi" w:hAnsiTheme="minorHAnsi" w:cstheme="minorHAnsi"/>
          <w:sz w:val="24"/>
          <w:szCs w:val="24"/>
          <w:lang w:eastAsia="en-GB"/>
        </w:rPr>
      </w:pPr>
      <w:r w:rsidRPr="0046236F">
        <w:rPr>
          <w:rFonts w:asciiTheme="minorHAnsi" w:hAnsiTheme="minorHAnsi" w:cstheme="minorHAnsi"/>
          <w:sz w:val="24"/>
          <w:szCs w:val="24"/>
          <w:lang w:eastAsia="en-GB"/>
        </w:rPr>
        <w:t xml:space="preserve">Providing targeted technical assistance and capacity-building support tailored to </w:t>
      </w:r>
      <w:r w:rsidRPr="0046236F">
        <w:rPr>
          <w:rFonts w:asciiTheme="minorHAnsi" w:hAnsiTheme="minorHAnsi" w:cstheme="minorHAnsi"/>
          <w:sz w:val="24"/>
          <w:szCs w:val="24"/>
        </w:rPr>
        <w:br/>
      </w:r>
      <w:r w:rsidRPr="0046236F">
        <w:rPr>
          <w:rFonts w:asciiTheme="minorHAnsi" w:hAnsiTheme="minorHAnsi" w:cstheme="minorHAnsi"/>
          <w:sz w:val="24"/>
          <w:szCs w:val="24"/>
          <w:lang w:eastAsia="en-GB"/>
        </w:rPr>
        <w:t>their specific constraints.</w:t>
      </w:r>
    </w:p>
    <w:p w14:paraId="2BA7409C" w14:textId="77777777" w:rsidR="00617FC9" w:rsidRPr="0046236F" w:rsidRDefault="00617FC9" w:rsidP="0046236F">
      <w:pPr>
        <w:keepNext/>
        <w:jc w:val="both"/>
        <w:rPr>
          <w:rFonts w:asciiTheme="minorHAnsi" w:hAnsiTheme="minorHAnsi" w:cstheme="minorHAnsi"/>
          <w:szCs w:val="24"/>
          <w:lang w:eastAsia="en-GB"/>
        </w:rPr>
      </w:pPr>
      <w:bookmarkStart w:id="201" w:name="_Toc224213090"/>
      <w:bookmarkStart w:id="202" w:name="_Toc224236521"/>
      <w:r w:rsidRPr="0046236F">
        <w:rPr>
          <w:rStyle w:val="SubtitleitalicChar"/>
          <w:rFonts w:asciiTheme="minorHAnsi" w:hAnsiTheme="minorHAnsi" w:cstheme="minorHAnsi"/>
          <w:sz w:val="24"/>
          <w:szCs w:val="24"/>
        </w:rPr>
        <w:t>CIS (RCC)</w:t>
      </w:r>
      <w:bookmarkEnd w:id="201"/>
      <w:bookmarkEnd w:id="202"/>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Alexey Borodin (RCC DG), Ms Maria Bolshakova (RCC DDG) (24-12-2025)</w:t>
      </w:r>
    </w:p>
    <w:p w14:paraId="4A666A2D"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a) Structured outreach to non-RTO Member States </w:t>
      </w:r>
    </w:p>
    <w:p w14:paraId="56042174"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Although this is not a significant issue in the CIS region, the interviewees suggested that ITU could maintain an up-to-date list of Member States not affiliated with an RTO and distribute responsibility across RTOs to invite them as observers or guests to relevant preparatory meetings.</w:t>
      </w:r>
    </w:p>
    <w:p w14:paraId="77844890"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b) Targeted invitations and circular letters </w:t>
      </w:r>
    </w:p>
    <w:p w14:paraId="28E0ABF5"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They proposed that non-RTO countries could be formally invited (e.g., via circular letters) to attend specific sessions of RTO preparatory meetings that align with their interests, helping demonstrate the benefits of participation and encouraging sustained engagement.</w:t>
      </w:r>
    </w:p>
    <w:p w14:paraId="4E31A25B" w14:textId="77777777" w:rsidR="00617FC9" w:rsidRPr="0046236F" w:rsidRDefault="00617FC9" w:rsidP="00617FC9">
      <w:pPr>
        <w:jc w:val="both"/>
        <w:rPr>
          <w:rFonts w:asciiTheme="minorHAnsi" w:hAnsiTheme="minorHAnsi" w:cstheme="minorHAnsi"/>
          <w:szCs w:val="24"/>
          <w:lang w:eastAsia="en-GB"/>
        </w:rPr>
      </w:pPr>
      <w:bookmarkStart w:id="203" w:name="_Toc224213091"/>
      <w:bookmarkStart w:id="204" w:name="_Toc224236522"/>
      <w:r w:rsidRPr="0046236F">
        <w:rPr>
          <w:rStyle w:val="SubtitleitalicChar"/>
          <w:rFonts w:asciiTheme="minorHAnsi" w:hAnsiTheme="minorHAnsi" w:cstheme="minorHAnsi"/>
          <w:sz w:val="24"/>
          <w:szCs w:val="24"/>
        </w:rPr>
        <w:t>Europe (CEPT)</w:t>
      </w:r>
      <w:bookmarkEnd w:id="203"/>
      <w:bookmarkEnd w:id="204"/>
      <w:r w:rsidRPr="0046236F">
        <w:rPr>
          <w:rStyle w:val="SubtitleitalicChar"/>
          <w:rFonts w:asciiTheme="minorHAnsi" w:hAnsiTheme="minorHAnsi" w:cstheme="minorHAnsi"/>
          <w:sz w:val="24"/>
          <w:szCs w:val="24"/>
        </w:rPr>
        <w:t xml:space="preserve"> </w:t>
      </w:r>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Oli Bird, Co-President and Chair of Com-ITU (6-1-2026)</w:t>
      </w:r>
    </w:p>
    <w:p w14:paraId="612E5A6B"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a) Preserve flexible participation pathways for the non-RTO country</w:t>
      </w:r>
    </w:p>
    <w:p w14:paraId="4A4FA126"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discussion focused on Israel as the single country in the region not formally belonging to an RTO. Historically, Israel has observed CEPT COMITU meetings through an evolved practice; CEPT is now considering how to place this on a firmer procedural footing.</w:t>
      </w:r>
    </w:p>
    <w:p w14:paraId="6BE60652"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b) Practical collaboration can continue without heavy formalities</w:t>
      </w:r>
    </w:p>
    <w:p w14:paraId="728D579F"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interviewee indicated that closer collaboration in preparations for major ITU meetings is feasible and does not necessarily require complex structural solutions; it mainly requires will and practical arrangements on both sides.</w:t>
      </w:r>
    </w:p>
    <w:p w14:paraId="336754E4"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c) Recognize that ‘developing country’ support tools may not apply</w:t>
      </w:r>
    </w:p>
    <w:p w14:paraId="1E30787C"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He noted that, unlike other regions where non-RTO states may also be resource constrained, the fellowship/participation support dimension is less relevant in this specific case.</w:t>
      </w:r>
    </w:p>
    <w:p w14:paraId="448AF5BA" w14:textId="77777777" w:rsidR="00617FC9" w:rsidRPr="0046236F" w:rsidRDefault="00617FC9" w:rsidP="00617FC9">
      <w:pPr>
        <w:jc w:val="both"/>
        <w:rPr>
          <w:rFonts w:asciiTheme="minorHAnsi" w:hAnsiTheme="minorHAnsi" w:cstheme="minorHAnsi"/>
          <w:szCs w:val="24"/>
          <w:lang w:eastAsia="en-GB"/>
        </w:rPr>
      </w:pPr>
      <w:bookmarkStart w:id="205" w:name="_Toc224213092"/>
      <w:bookmarkStart w:id="206" w:name="_Toc224236523"/>
      <w:r w:rsidRPr="0046236F">
        <w:rPr>
          <w:rStyle w:val="SubtitleitalicChar"/>
          <w:rFonts w:asciiTheme="minorHAnsi" w:hAnsiTheme="minorHAnsi" w:cstheme="minorHAnsi"/>
          <w:sz w:val="24"/>
          <w:szCs w:val="24"/>
        </w:rPr>
        <w:t>Americas (CITEL)</w:t>
      </w:r>
      <w:bookmarkEnd w:id="205"/>
      <w:bookmarkEnd w:id="206"/>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Oscar Leon (Executive Secretary, CITEL) and Ms Maria C. Fuenmayor (CITEL) (6-1-2025)</w:t>
      </w:r>
    </w:p>
    <w:p w14:paraId="2201C1C1"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a) Use the regional office to convene inclusive preparatory meetings </w:t>
      </w:r>
    </w:p>
    <w:p w14:paraId="3872D325"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The discussion noted that two countries in the region (Cuba and Nicaragua) are not members of the RTO and cannot be included directly in certain CITEL meeting processes due to internal rules. In </w:t>
      </w:r>
      <w:r w:rsidRPr="0046236F">
        <w:rPr>
          <w:rFonts w:asciiTheme="minorHAnsi" w:hAnsiTheme="minorHAnsi" w:cstheme="minorHAnsi"/>
          <w:szCs w:val="24"/>
          <w:lang w:eastAsia="en-GB"/>
        </w:rPr>
        <w:lastRenderedPageBreak/>
        <w:t>practice, the ITU regional office already facilitates inclusion by issuing invitations and convening broader meetings that include all relevant countries.</w:t>
      </w:r>
    </w:p>
    <w:p w14:paraId="281AF79A"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b) Leverage sub-regional mechanisms to maintain dialogue </w:t>
      </w:r>
    </w:p>
    <w:p w14:paraId="2D999B86"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For Nicaragua, the interviewee noted engagement through a Central America sub-regional mechanism (COMTELCA), including meetings to explain common CITEL positions and explore where alignment is possible.</w:t>
      </w:r>
    </w:p>
    <w:p w14:paraId="78F02F94"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c) Keep the existing facilitation model because it works</w:t>
      </w:r>
    </w:p>
    <w:p w14:paraId="315E410B"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Both speakers indicated the current channel regional office facilitation and coordination with key Member States has worked for many years and does not require major change beyond continuing the practice.</w:t>
      </w:r>
    </w:p>
    <w:p w14:paraId="07F21BA4" w14:textId="77777777" w:rsidR="00617FC9" w:rsidRPr="0046236F" w:rsidRDefault="00617FC9" w:rsidP="00617FC9">
      <w:pPr>
        <w:jc w:val="both"/>
        <w:rPr>
          <w:rFonts w:asciiTheme="minorHAnsi" w:hAnsiTheme="minorHAnsi" w:cstheme="minorHAnsi"/>
          <w:szCs w:val="24"/>
          <w:lang w:eastAsia="en-GB"/>
        </w:rPr>
      </w:pPr>
      <w:bookmarkStart w:id="207" w:name="_Toc224213093"/>
      <w:bookmarkStart w:id="208" w:name="_Toc224236524"/>
      <w:r w:rsidRPr="0046236F">
        <w:rPr>
          <w:rStyle w:val="SubtitleitalicChar"/>
          <w:rFonts w:asciiTheme="minorHAnsi" w:hAnsiTheme="minorHAnsi" w:cstheme="minorHAnsi"/>
          <w:sz w:val="24"/>
          <w:szCs w:val="24"/>
        </w:rPr>
        <w:t>Asia Pacific (APT)</w:t>
      </w:r>
      <w:bookmarkEnd w:id="207"/>
      <w:bookmarkEnd w:id="208"/>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Dr Masanori Kondo, Secretary-General, Asia-Pacific Telecommunity (APT) (12-1-2025)</w:t>
      </w:r>
    </w:p>
    <w:p w14:paraId="6E1B117B"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The interviewee did not consider the point a major structural obstacle in practice, noting that ITU Member States retain the right to submit any contributions directly through ITU channels, and that regional coordination is not the only pathway for participation. He further noted that membership in any regional or international organization is subject to each organization’s own internal rules and procedures, including decisions on which countries may become members, and that he is therefore not </w:t>
      </w:r>
      <w:proofErr w:type="gramStart"/>
      <w:r w:rsidRPr="0046236F">
        <w:rPr>
          <w:rFonts w:asciiTheme="minorHAnsi" w:hAnsiTheme="minorHAnsi" w:cstheme="minorHAnsi"/>
          <w:szCs w:val="24"/>
          <w:lang w:eastAsia="en-GB"/>
        </w:rPr>
        <w:t>in a position</w:t>
      </w:r>
      <w:proofErr w:type="gramEnd"/>
      <w:r w:rsidRPr="0046236F">
        <w:rPr>
          <w:rFonts w:asciiTheme="minorHAnsi" w:hAnsiTheme="minorHAnsi" w:cstheme="minorHAnsi"/>
          <w:szCs w:val="24"/>
          <w:lang w:eastAsia="en-GB"/>
        </w:rPr>
        <w:t xml:space="preserve"> to comment on or assess such internal membership arrangements. He nonetheless acknowledged that regional discussion mechanisms can offer some advantages for members to discuss, coordinate, and develop positions at the regional level.</w:t>
      </w:r>
    </w:p>
    <w:p w14:paraId="1F7A90A6" w14:textId="77777777" w:rsidR="00617FC9" w:rsidRPr="0046236F" w:rsidRDefault="00617FC9" w:rsidP="00617FC9">
      <w:pPr>
        <w:jc w:val="both"/>
        <w:rPr>
          <w:rFonts w:asciiTheme="minorHAnsi" w:hAnsiTheme="minorHAnsi" w:cstheme="minorHAnsi"/>
          <w:szCs w:val="24"/>
          <w:lang w:val="it-IT" w:eastAsia="en-GB"/>
        </w:rPr>
      </w:pPr>
      <w:bookmarkStart w:id="209" w:name="_Toc224213094"/>
      <w:bookmarkStart w:id="210" w:name="_Toc224236525"/>
      <w:r w:rsidRPr="0046236F">
        <w:rPr>
          <w:rStyle w:val="SubtitleitalicChar"/>
          <w:rFonts w:asciiTheme="minorHAnsi" w:hAnsiTheme="minorHAnsi" w:cstheme="minorHAnsi"/>
          <w:sz w:val="24"/>
          <w:szCs w:val="24"/>
        </w:rPr>
        <w:t>Africa (ATU)</w:t>
      </w:r>
      <w:bookmarkEnd w:id="209"/>
      <w:bookmarkEnd w:id="210"/>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val="it-IT" w:eastAsia="en-GB"/>
        </w:rPr>
        <w:t>Ms Meriem Slimani (ATU) (13-1-2025)</w:t>
      </w:r>
    </w:p>
    <w:p w14:paraId="3C0BF89C"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a) Maintain open participation and equal facilitation </w:t>
      </w:r>
    </w:p>
    <w:p w14:paraId="324D5D60"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interviewee noted that only two countries are not members of ATU (Seychelles and Eritrea). ATU keeps doors open for all African countries in conference preparations and offers the same facilitation and opportunities to contribute.</w:t>
      </w:r>
    </w:p>
    <w:p w14:paraId="5D040A82"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b) Address practical participation constraints (e.g., budget)</w:t>
      </w:r>
    </w:p>
    <w:p w14:paraId="7F1406DF"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Where issues arise, they are primarily linked to practical constraints such as budget. The approach is to continue inviting and facilitating participation rather than introducing restrictive processes, consistent with ATU’s role as a specialized agency of the African Union.</w:t>
      </w:r>
    </w:p>
    <w:p w14:paraId="3E589D8F" w14:textId="77777777" w:rsidR="00617FC9" w:rsidRPr="0046236F" w:rsidRDefault="00617FC9" w:rsidP="00617FC9">
      <w:pPr>
        <w:pStyle w:val="AnnexHeading4"/>
        <w:ind w:left="357" w:hanging="357"/>
        <w:rPr>
          <w:rFonts w:asciiTheme="minorHAnsi" w:hAnsiTheme="minorHAnsi" w:cstheme="minorHAnsi"/>
          <w:b/>
          <w:color w:val="auto"/>
          <w:sz w:val="24"/>
          <w:szCs w:val="24"/>
        </w:rPr>
      </w:pPr>
      <w:r w:rsidRPr="0046236F">
        <w:rPr>
          <w:rFonts w:asciiTheme="minorHAnsi" w:hAnsiTheme="minorHAnsi" w:cstheme="minorHAnsi"/>
          <w:b/>
          <w:color w:val="auto"/>
          <w:sz w:val="24"/>
          <w:szCs w:val="24"/>
        </w:rPr>
        <w:t>What additional feedback can help ITU strengthen its regional presence overall?</w:t>
      </w:r>
    </w:p>
    <w:p w14:paraId="68A15D39" w14:textId="77777777" w:rsidR="00617FC9" w:rsidRPr="0046236F" w:rsidRDefault="00617FC9" w:rsidP="00617FC9">
      <w:pPr>
        <w:jc w:val="both"/>
        <w:rPr>
          <w:rFonts w:asciiTheme="minorHAnsi" w:hAnsiTheme="minorHAnsi" w:cstheme="minorHAnsi"/>
          <w:szCs w:val="24"/>
          <w:lang w:eastAsia="en-GB"/>
        </w:rPr>
      </w:pPr>
      <w:bookmarkStart w:id="211" w:name="_Toc224213095"/>
      <w:bookmarkStart w:id="212" w:name="_Toc224236526"/>
      <w:r w:rsidRPr="0046236F">
        <w:rPr>
          <w:rStyle w:val="SubtitleitalicChar"/>
          <w:rFonts w:asciiTheme="minorHAnsi" w:hAnsiTheme="minorHAnsi" w:cstheme="minorHAnsi"/>
          <w:sz w:val="24"/>
          <w:szCs w:val="24"/>
        </w:rPr>
        <w:t>Arab States (LAS)</w:t>
      </w:r>
      <w:bookmarkEnd w:id="211"/>
      <w:bookmarkEnd w:id="212"/>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Belkassem Ali Belkassem Makhlouf, ICT Development Department, League of Arab States (24-12-2025)</w:t>
      </w:r>
    </w:p>
    <w:p w14:paraId="11825197"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In response to this open-ended question, the interviewee outlined several strategic directions for enhancing ITU’s regional relevance and visibility.</w:t>
      </w:r>
    </w:p>
    <w:p w14:paraId="4F80C753"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lastRenderedPageBreak/>
        <w:t>a) Side-by-Side Implementation of Regional Initiatives</w:t>
      </w:r>
    </w:p>
    <w:p w14:paraId="1A6BA135"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interviewee emphasized the importance of ITU and the League of Arab States working in parallel and in close coordination to implement regional initiatives, whether originating from ITU conferences or Arab regional strategies.</w:t>
      </w:r>
    </w:p>
    <w:p w14:paraId="2E1430DE"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b) Continuous Feedback from Member States</w:t>
      </w:r>
    </w:p>
    <w:p w14:paraId="57A37A7B"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Regular and structured engagement with Member States was identified as essential. </w:t>
      </w:r>
    </w:p>
    <w:p w14:paraId="359EA59D"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This includes:</w:t>
      </w:r>
    </w:p>
    <w:p w14:paraId="22444537"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Periodic feedback on ongoing initiatives,</w:t>
      </w:r>
    </w:p>
    <w:p w14:paraId="302005E7"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Consultation on annual action plans,</w:t>
      </w:r>
    </w:p>
    <w:p w14:paraId="578F4E3A"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Adjustment of activities based on evolving national priorities.</w:t>
      </w:r>
    </w:p>
    <w:p w14:paraId="2FB8E2B5"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c) Focus on High-Priority and Emerging Topics</w:t>
      </w:r>
    </w:p>
    <w:p w14:paraId="62DE1936"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To maintain strong regional relevance, ITU should prioritize areas currently at the top of the regional agenda, notably:</w:t>
      </w:r>
    </w:p>
    <w:p w14:paraId="7D7A1630"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Artificial Intelligence,</w:t>
      </w:r>
    </w:p>
    <w:p w14:paraId="4FB22D04"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Cybersecurity,</w:t>
      </w:r>
    </w:p>
    <w:p w14:paraId="0175DCC8"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Digital government platforms and digital transformation.</w:t>
      </w:r>
    </w:p>
    <w:p w14:paraId="21A38E78"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Leadership in these domains would significantly enhance the perceived value of ITU’s regional presence.</w:t>
      </w:r>
    </w:p>
    <w:p w14:paraId="1A9D52B6"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d) Addressing Regional Capacity Gaps</w:t>
      </w:r>
    </w:p>
    <w:p w14:paraId="207AC92D"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Finally, the interviewee highlighted the uneven levels of digital maturity across Arab States. ITU’s regional presence can add the greatest value by: </w:t>
      </w:r>
    </w:p>
    <w:p w14:paraId="21849642"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Supporting least developed countries,</w:t>
      </w:r>
    </w:p>
    <w:p w14:paraId="76852812"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Providing targeted technical expertise,</w:t>
      </w:r>
    </w:p>
    <w:p w14:paraId="6D5F24AC"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Bridging gaps in infrastructure, skills, and institutional readiness.</w:t>
      </w:r>
    </w:p>
    <w:p w14:paraId="760ED2E4" w14:textId="77777777" w:rsidR="00617FC9" w:rsidRPr="0046236F" w:rsidRDefault="00617FC9" w:rsidP="00617FC9">
      <w:pPr>
        <w:jc w:val="both"/>
        <w:rPr>
          <w:rFonts w:asciiTheme="minorHAnsi" w:hAnsiTheme="minorHAnsi" w:cstheme="minorHAnsi"/>
          <w:szCs w:val="24"/>
          <w:lang w:eastAsia="en-GB"/>
        </w:rPr>
      </w:pPr>
      <w:bookmarkStart w:id="213" w:name="_Toc224213096"/>
      <w:bookmarkStart w:id="214" w:name="_Toc224236527"/>
      <w:r w:rsidRPr="0046236F">
        <w:rPr>
          <w:rStyle w:val="SubtitleitalicChar"/>
          <w:rFonts w:asciiTheme="minorHAnsi" w:hAnsiTheme="minorHAnsi" w:cstheme="minorHAnsi"/>
          <w:sz w:val="24"/>
          <w:szCs w:val="24"/>
        </w:rPr>
        <w:t>CIS (RCC)</w:t>
      </w:r>
      <w:bookmarkEnd w:id="213"/>
      <w:bookmarkEnd w:id="214"/>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Alexey Borodin (RCC DG), Ms Maria Bolshakova (RCC DDG) (24-12-2025)</w:t>
      </w:r>
    </w:p>
    <w:p w14:paraId="31BD7123"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a) Address persistent resource gaps for implementing regional initiatives </w:t>
      </w:r>
    </w:p>
    <w:p w14:paraId="4BAA0C61"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interviewees underscored a continuing lack of financial resources for implementing regional initiatives and projects, noting that project delivery is the ‘heart of the work’ especially for development focused activities and requires stronger budget allocation and staffing support.</w:t>
      </w:r>
    </w:p>
    <w:p w14:paraId="55A9B5B6"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b) Improve planning and resource allocation for events </w:t>
      </w:r>
    </w:p>
    <w:p w14:paraId="6AACE41A"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They cited cases where events held under the ITU label lacked adequate financial backing, calling for better calculations, planning, and allocation of available contributions to avoid shortfalls and ensure commitments are matched by resources.</w:t>
      </w:r>
    </w:p>
    <w:p w14:paraId="05B7A33F"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lastRenderedPageBreak/>
        <w:t xml:space="preserve">c) Strengthen bureau support beyond information sharing </w:t>
      </w:r>
    </w:p>
    <w:p w14:paraId="70FE6DA4"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Beyond information support, they encouraged more consistent operational backing from the bureaus when regional offices implement agreed operational plans and major regional events.</w:t>
      </w:r>
    </w:p>
    <w:p w14:paraId="6BC130E6"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d) Keep cooperation frank, frequent, and solutions-oriented</w:t>
      </w:r>
    </w:p>
    <w:p w14:paraId="6D7DDF5D"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Emphasized the value of open, constructive dialogue including informal calls when needed to resolve issues quickly, improve processes, and sustain effective collaboration.</w:t>
      </w:r>
    </w:p>
    <w:p w14:paraId="10EEDDB6" w14:textId="77777777" w:rsidR="00617FC9" w:rsidRPr="0046236F" w:rsidRDefault="00617FC9" w:rsidP="00617FC9">
      <w:pPr>
        <w:jc w:val="both"/>
        <w:rPr>
          <w:rFonts w:asciiTheme="minorHAnsi" w:hAnsiTheme="minorHAnsi" w:cstheme="minorHAnsi"/>
          <w:szCs w:val="24"/>
          <w:lang w:eastAsia="en-GB"/>
        </w:rPr>
      </w:pPr>
      <w:bookmarkStart w:id="215" w:name="_Toc224213097"/>
      <w:bookmarkStart w:id="216" w:name="_Toc224236528"/>
      <w:r w:rsidRPr="0046236F">
        <w:rPr>
          <w:rStyle w:val="SubtitleitalicChar"/>
          <w:rFonts w:asciiTheme="minorHAnsi" w:hAnsiTheme="minorHAnsi" w:cstheme="minorHAnsi"/>
          <w:sz w:val="24"/>
          <w:szCs w:val="24"/>
        </w:rPr>
        <w:t>Europe (CEPT)</w:t>
      </w:r>
      <w:bookmarkEnd w:id="215"/>
      <w:bookmarkEnd w:id="216"/>
      <w:r w:rsidRPr="0046236F">
        <w:rPr>
          <w:rStyle w:val="SubtitleitalicChar"/>
          <w:rFonts w:asciiTheme="minorHAnsi" w:hAnsiTheme="minorHAnsi" w:cstheme="minorHAnsi"/>
          <w:sz w:val="24"/>
          <w:szCs w:val="24"/>
        </w:rPr>
        <w:t xml:space="preserve"> </w:t>
      </w:r>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Oli Bird, Co-President and Chair of Com-ITU (6-1-2026)</w:t>
      </w:r>
    </w:p>
    <w:p w14:paraId="36BC4A63"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a) Gather broader CEPT input before final </w:t>
      </w:r>
      <w:r w:rsidRPr="0046236F" w:rsidDel="001F2A97">
        <w:rPr>
          <w:rFonts w:asciiTheme="minorHAnsi" w:hAnsiTheme="minorHAnsi" w:cstheme="minorHAnsi"/>
          <w:sz w:val="24"/>
          <w:szCs w:val="24"/>
        </w:rPr>
        <w:t>recommendations</w:t>
      </w:r>
      <w:r w:rsidRPr="0046236F">
        <w:rPr>
          <w:rFonts w:asciiTheme="minorHAnsi" w:hAnsiTheme="minorHAnsi" w:cstheme="minorHAnsi"/>
          <w:sz w:val="24"/>
          <w:szCs w:val="24"/>
        </w:rPr>
        <w:t xml:space="preserve"> </w:t>
      </w:r>
    </w:p>
    <w:p w14:paraId="707E8570"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The interviewee did not add substantive new </w:t>
      </w:r>
      <w:r w:rsidRPr="0046236F" w:rsidDel="001F2A97">
        <w:rPr>
          <w:rFonts w:asciiTheme="minorHAnsi" w:hAnsiTheme="minorHAnsi" w:cstheme="minorHAnsi"/>
          <w:szCs w:val="24"/>
          <w:lang w:eastAsia="en-GB"/>
        </w:rPr>
        <w:t>recommendations</w:t>
      </w:r>
      <w:r w:rsidRPr="0046236F">
        <w:rPr>
          <w:rFonts w:asciiTheme="minorHAnsi" w:hAnsiTheme="minorHAnsi" w:cstheme="minorHAnsi"/>
          <w:szCs w:val="24"/>
          <w:lang w:eastAsia="en-GB"/>
        </w:rPr>
        <w:t xml:space="preserve"> in the open-ended </w:t>
      </w:r>
      <w:proofErr w:type="gramStart"/>
      <w:r w:rsidRPr="0046236F">
        <w:rPr>
          <w:rFonts w:asciiTheme="minorHAnsi" w:hAnsiTheme="minorHAnsi" w:cstheme="minorHAnsi"/>
          <w:szCs w:val="24"/>
          <w:lang w:eastAsia="en-GB"/>
        </w:rPr>
        <w:t>segment, but</w:t>
      </w:r>
      <w:proofErr w:type="gramEnd"/>
      <w:r w:rsidRPr="0046236F">
        <w:rPr>
          <w:rFonts w:asciiTheme="minorHAnsi" w:hAnsiTheme="minorHAnsi" w:cstheme="minorHAnsi"/>
          <w:szCs w:val="24"/>
          <w:lang w:eastAsia="en-GB"/>
        </w:rPr>
        <w:t xml:space="preserve"> committed to consult internally (including at an upcoming CEPT meeting) and provide any additional feedback afterwards.</w:t>
      </w:r>
    </w:p>
    <w:p w14:paraId="40D212D9"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b) Acknowledge the value of regional office delivery </w:t>
      </w:r>
    </w:p>
    <w:p w14:paraId="5629DDBB"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He emphasized appreciation for the regional office’s practical capacity-building work, particularly in Eastern parts of the region, and closed by recognizing the regional director’s contributions.</w:t>
      </w:r>
    </w:p>
    <w:p w14:paraId="1F2C330A" w14:textId="77777777" w:rsidR="00617FC9" w:rsidRPr="0046236F" w:rsidRDefault="00617FC9" w:rsidP="00617FC9">
      <w:pPr>
        <w:jc w:val="both"/>
        <w:rPr>
          <w:rFonts w:asciiTheme="minorHAnsi" w:hAnsiTheme="minorHAnsi" w:cstheme="minorHAnsi"/>
          <w:szCs w:val="24"/>
          <w:lang w:eastAsia="en-GB"/>
        </w:rPr>
      </w:pPr>
      <w:bookmarkStart w:id="217" w:name="_Toc224213098"/>
      <w:bookmarkStart w:id="218" w:name="_Toc224236529"/>
      <w:r w:rsidRPr="0046236F">
        <w:rPr>
          <w:rStyle w:val="SubtitleitalicChar"/>
          <w:rFonts w:asciiTheme="minorHAnsi" w:hAnsiTheme="minorHAnsi" w:cstheme="minorHAnsi"/>
          <w:sz w:val="24"/>
          <w:szCs w:val="24"/>
        </w:rPr>
        <w:t>Americas (CITEL)</w:t>
      </w:r>
      <w:bookmarkEnd w:id="217"/>
      <w:bookmarkEnd w:id="218"/>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Oscar Leon (Executive Secretary, CITEL) and Ms Maria C. Fuenmayor (CITEL) (6-1-2025)</w:t>
      </w:r>
    </w:p>
    <w:p w14:paraId="7DAED3E1"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a) Maintain strong participation of the regional office in CITEL meetings </w:t>
      </w:r>
    </w:p>
    <w:p w14:paraId="3703695B"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Ms Fuenmayor highlighted that regional office participation in key CITEL meetings is essential for conference preparation, networking, and sharing visibility on ongoing regional projects (status, quality, successes) so that other countries can learn and replicate good practices.</w:t>
      </w:r>
    </w:p>
    <w:p w14:paraId="18EDA366"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b) Reinforce the ‘win-win’ value of close RTO–regional office coordination </w:t>
      </w:r>
    </w:p>
    <w:p w14:paraId="6FA243A3"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closing reflections emphasized that close coordination between CITEL, and the regional office is a core enabler of effective regional presence and supports better service delivery for Member States.</w:t>
      </w:r>
    </w:p>
    <w:p w14:paraId="3F09BE46" w14:textId="77777777" w:rsidR="00617FC9" w:rsidRPr="0046236F" w:rsidRDefault="00617FC9" w:rsidP="00617FC9">
      <w:pPr>
        <w:jc w:val="both"/>
        <w:rPr>
          <w:rFonts w:asciiTheme="minorHAnsi" w:hAnsiTheme="minorHAnsi" w:cstheme="minorHAnsi"/>
          <w:szCs w:val="24"/>
          <w:lang w:eastAsia="en-GB"/>
        </w:rPr>
      </w:pPr>
      <w:bookmarkStart w:id="219" w:name="_Toc224213099"/>
      <w:bookmarkStart w:id="220" w:name="_Toc224236530"/>
      <w:r w:rsidRPr="0046236F">
        <w:rPr>
          <w:rStyle w:val="SubtitleitalicChar"/>
          <w:rFonts w:asciiTheme="minorHAnsi" w:hAnsiTheme="minorHAnsi" w:cstheme="minorHAnsi"/>
          <w:sz w:val="24"/>
          <w:szCs w:val="24"/>
        </w:rPr>
        <w:t>Asia Pacific (APT)</w:t>
      </w:r>
      <w:bookmarkEnd w:id="219"/>
      <w:bookmarkEnd w:id="220"/>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Dr Masanori Kondo, Secretary-General, Asia-Pacific Telecommunity (APT) (12-1-2025)</w:t>
      </w:r>
    </w:p>
    <w:p w14:paraId="73D55938"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In his view, ITU’s regional presence in Asia-Pacific is already strong and well recognized across countries. The main area for improvement he identified relates to coordination with other UN entities active in ICT in the region, to ensure complementarity and avoid duplication of effort.</w:t>
      </w:r>
    </w:p>
    <w:p w14:paraId="5ACCB8B8"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a) Maintain strong presence while focusing on practical improvements, not structural overhaul</w:t>
      </w:r>
    </w:p>
    <w:p w14:paraId="7AD762F3"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interviewee stated that ITU already has ‘sufficient’ representation and visibility in the region, and that countries understand what ITU does.</w:t>
      </w:r>
    </w:p>
    <w:p w14:paraId="33FC0B00"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lastRenderedPageBreak/>
        <w:t>b) Improve coordination with other regional actors to avoid duplication (notably within the UN system)</w:t>
      </w:r>
    </w:p>
    <w:p w14:paraId="673EC940"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He highlighted that other organizations in the region also run ICT activities and projects and suggested that better coordination with such actors could avoid duplication and waste of resources. He framed this as an efficiency and coherence issue rather than a criticism of ITU performance.</w:t>
      </w:r>
    </w:p>
    <w:p w14:paraId="6EBB9CAD"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c) Continue effective coordination with APT while minimizing residual overlaps</w:t>
      </w:r>
    </w:p>
    <w:p w14:paraId="2E767F6D"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He noted that coordination between APT, as an independent regional partner organization, and ITU is already close and functioning smoothly, while acknowledging that duplication cannot always be reduced to zero. He suggested continued attention to coordination to keep overlap minimal and ensure resources are used effectively.</w:t>
      </w:r>
    </w:p>
    <w:p w14:paraId="130345B4" w14:textId="77777777" w:rsidR="00617FC9" w:rsidRPr="0046236F" w:rsidRDefault="00617FC9" w:rsidP="00617FC9">
      <w:pPr>
        <w:jc w:val="both"/>
        <w:rPr>
          <w:rFonts w:asciiTheme="minorHAnsi" w:hAnsiTheme="minorHAnsi" w:cstheme="minorHAnsi"/>
          <w:szCs w:val="24"/>
          <w:lang w:val="it-IT" w:eastAsia="en-GB"/>
        </w:rPr>
      </w:pPr>
      <w:bookmarkStart w:id="221" w:name="_Toc224213100"/>
      <w:bookmarkStart w:id="222" w:name="_Toc224236531"/>
      <w:r w:rsidRPr="0046236F">
        <w:rPr>
          <w:rStyle w:val="SubtitleitalicChar"/>
          <w:rFonts w:asciiTheme="minorHAnsi" w:hAnsiTheme="minorHAnsi" w:cstheme="minorHAnsi"/>
          <w:sz w:val="24"/>
          <w:szCs w:val="24"/>
        </w:rPr>
        <w:t>Africa (ATU)</w:t>
      </w:r>
      <w:bookmarkEnd w:id="221"/>
      <w:bookmarkEnd w:id="222"/>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val="it-IT" w:eastAsia="en-GB"/>
        </w:rPr>
        <w:t>Ms Meriem Slimani (ATU) (13-1-2025)</w:t>
      </w:r>
    </w:p>
    <w:p w14:paraId="7F95BA57"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a) Improve cross-sector coordination and access to expertise </w:t>
      </w:r>
    </w:p>
    <w:p w14:paraId="2E1AA566"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The interviewee stressed the need for stronger coordination between ITU’s three sectors at the regional level and better access to standardization and radiocommunication expertise (including on topics such as satellites) to respond to Africa’s priority discussions.</w:t>
      </w:r>
    </w:p>
    <w:p w14:paraId="4F481564"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b) Delegate greater authority to regional offices for faster decisions </w:t>
      </w:r>
    </w:p>
    <w:p w14:paraId="1B698747"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She recommended empowering regional offices with more delegated authority so they can act faster without needing extensive approvals from headquarters, improving responsiveness in coordination and delivery.</w:t>
      </w:r>
    </w:p>
    <w:p w14:paraId="3A77827D" w14:textId="77777777" w:rsidR="00617FC9" w:rsidRPr="0046236F" w:rsidRDefault="00617FC9" w:rsidP="00617FC9">
      <w:pPr>
        <w:pStyle w:val="Subtitleitalic"/>
        <w:jc w:val="both"/>
        <w:rPr>
          <w:rFonts w:asciiTheme="minorHAnsi" w:hAnsiTheme="minorHAnsi" w:cstheme="minorHAnsi"/>
          <w:sz w:val="24"/>
          <w:szCs w:val="24"/>
        </w:rPr>
      </w:pPr>
      <w:r w:rsidRPr="0046236F">
        <w:rPr>
          <w:rFonts w:asciiTheme="minorHAnsi" w:hAnsiTheme="minorHAnsi" w:cstheme="minorHAnsi"/>
          <w:sz w:val="24"/>
          <w:szCs w:val="24"/>
        </w:rPr>
        <w:t xml:space="preserve">c) Develop shared tools for information-sharing and visibility as a practical improvement </w:t>
      </w:r>
    </w:p>
    <w:p w14:paraId="15D5CB22"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She suggested developing tools and processes to share information, improve visibility of activities, and align ATU and ITU efforts supported by more resources and a strengthened coordination process.</w:t>
      </w:r>
    </w:p>
    <w:p w14:paraId="45DE8309" w14:textId="77777777" w:rsidR="00617FC9" w:rsidRPr="0046236F" w:rsidRDefault="00617FC9" w:rsidP="00617FC9">
      <w:pPr>
        <w:pStyle w:val="AnnexHeading4"/>
        <w:ind w:left="357" w:hanging="357"/>
        <w:rPr>
          <w:rFonts w:asciiTheme="minorHAnsi" w:hAnsiTheme="minorHAnsi" w:cstheme="minorHAnsi"/>
          <w:b/>
          <w:color w:val="auto"/>
          <w:sz w:val="24"/>
          <w:szCs w:val="24"/>
        </w:rPr>
      </w:pPr>
      <w:r w:rsidRPr="0046236F">
        <w:rPr>
          <w:rFonts w:asciiTheme="minorHAnsi" w:hAnsiTheme="minorHAnsi" w:cstheme="minorHAnsi"/>
          <w:b/>
          <w:color w:val="auto"/>
          <w:sz w:val="24"/>
          <w:szCs w:val="24"/>
        </w:rPr>
        <w:t>Concluding observations</w:t>
      </w:r>
    </w:p>
    <w:p w14:paraId="0455C624" w14:textId="78EDC81B" w:rsidR="00617FC9" w:rsidRPr="0046236F" w:rsidRDefault="00617FC9" w:rsidP="00617FC9">
      <w:pPr>
        <w:jc w:val="both"/>
        <w:rPr>
          <w:rFonts w:asciiTheme="minorHAnsi" w:hAnsiTheme="minorHAnsi" w:cstheme="minorHAnsi"/>
          <w:szCs w:val="24"/>
          <w:lang w:eastAsia="en-GB"/>
        </w:rPr>
      </w:pPr>
      <w:bookmarkStart w:id="223" w:name="_Toc224213101"/>
      <w:bookmarkStart w:id="224" w:name="_Toc224236532"/>
      <w:r w:rsidRPr="0046236F">
        <w:rPr>
          <w:rStyle w:val="SubtitleitalicChar"/>
          <w:rFonts w:asciiTheme="minorHAnsi" w:hAnsiTheme="minorHAnsi" w:cstheme="minorHAnsi"/>
          <w:sz w:val="24"/>
          <w:szCs w:val="24"/>
        </w:rPr>
        <w:t>Arab States (LAS)</w:t>
      </w:r>
      <w:bookmarkEnd w:id="223"/>
      <w:bookmarkEnd w:id="224"/>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 xml:space="preserve">Mr Belkassem Ali Belkassem Makhlouf, ICT Development Department, League of Arab States </w:t>
      </w:r>
      <w:r w:rsidR="000220F4">
        <w:rPr>
          <w:rFonts w:asciiTheme="minorHAnsi" w:hAnsiTheme="minorHAnsi" w:cstheme="minorHAnsi"/>
          <w:szCs w:val="24"/>
          <w:lang w:eastAsia="en-GB"/>
        </w:rPr>
        <w:br/>
      </w:r>
      <w:r w:rsidRPr="0046236F">
        <w:rPr>
          <w:rFonts w:asciiTheme="minorHAnsi" w:hAnsiTheme="minorHAnsi" w:cstheme="minorHAnsi"/>
          <w:szCs w:val="24"/>
          <w:lang w:eastAsia="en-GB"/>
        </w:rPr>
        <w:t>(24-12-2025)</w:t>
      </w:r>
    </w:p>
    <w:p w14:paraId="699F0CB2"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Overall, the interview reflects strong appreciation for ITU’s role in the Arab region, combined with clear expectations for improvement. The key message is that alignment, expertise, funding, and structured cooperation particularly with regional </w:t>
      </w:r>
      <w:r w:rsidRPr="0046236F">
        <w:rPr>
          <w:rFonts w:asciiTheme="minorHAnsi" w:hAnsiTheme="minorHAnsi" w:cstheme="minorHAnsi"/>
          <w:szCs w:val="24"/>
        </w:rPr>
        <w:br/>
      </w:r>
      <w:r w:rsidRPr="0046236F">
        <w:rPr>
          <w:rFonts w:asciiTheme="minorHAnsi" w:hAnsiTheme="minorHAnsi" w:cstheme="minorHAnsi"/>
          <w:szCs w:val="24"/>
          <w:lang w:eastAsia="en-GB"/>
        </w:rPr>
        <w:t>institutions are essential for strengthening ITU’s regional presence and ensuring that global resolutions translate into tangible regional and national impact.</w:t>
      </w:r>
    </w:p>
    <w:p w14:paraId="15B6FCA8" w14:textId="77777777" w:rsidR="00617FC9" w:rsidRPr="0046236F" w:rsidRDefault="00617FC9" w:rsidP="00617FC9">
      <w:pPr>
        <w:jc w:val="both"/>
        <w:rPr>
          <w:rFonts w:asciiTheme="minorHAnsi" w:hAnsiTheme="minorHAnsi" w:cstheme="minorHAnsi"/>
          <w:szCs w:val="24"/>
          <w:lang w:eastAsia="en-GB"/>
        </w:rPr>
      </w:pPr>
      <w:bookmarkStart w:id="225" w:name="_Toc224213102"/>
      <w:bookmarkStart w:id="226" w:name="_Toc224236533"/>
      <w:r w:rsidRPr="0046236F">
        <w:rPr>
          <w:rStyle w:val="SubtitleitalicChar"/>
          <w:rFonts w:asciiTheme="minorHAnsi" w:hAnsiTheme="minorHAnsi" w:cstheme="minorHAnsi"/>
          <w:sz w:val="24"/>
          <w:szCs w:val="24"/>
        </w:rPr>
        <w:t>CIS (RCC)</w:t>
      </w:r>
      <w:bookmarkEnd w:id="225"/>
      <w:bookmarkEnd w:id="226"/>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Alexey Borodin (RCC DG), Ms Maria Bolshakova (RCC DDG) (24-12-2025)</w:t>
      </w:r>
    </w:p>
    <w:p w14:paraId="28077367"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 xml:space="preserve">Overall, the interview reflects strong appreciation for the established RCC–ITU regional office cooperation, coupled with clear </w:t>
      </w:r>
      <w:r w:rsidRPr="0046236F" w:rsidDel="001F2A97">
        <w:rPr>
          <w:rFonts w:asciiTheme="minorHAnsi" w:hAnsiTheme="minorHAnsi" w:cstheme="minorHAnsi"/>
          <w:szCs w:val="24"/>
          <w:lang w:eastAsia="en-GB"/>
        </w:rPr>
        <w:t>recommendations</w:t>
      </w:r>
      <w:r w:rsidRPr="0046236F">
        <w:rPr>
          <w:rFonts w:asciiTheme="minorHAnsi" w:hAnsiTheme="minorHAnsi" w:cstheme="minorHAnsi"/>
          <w:szCs w:val="24"/>
          <w:lang w:eastAsia="en-GB"/>
        </w:rPr>
        <w:t xml:space="preserve"> to improve agility and impact. The recurring </w:t>
      </w:r>
      <w:r w:rsidRPr="0046236F">
        <w:rPr>
          <w:rFonts w:asciiTheme="minorHAnsi" w:hAnsiTheme="minorHAnsi" w:cstheme="minorHAnsi"/>
          <w:szCs w:val="24"/>
          <w:lang w:eastAsia="en-GB"/>
        </w:rPr>
        <w:lastRenderedPageBreak/>
        <w:t>priorities were: (i) predictable resources for implementing regional initiatives; (ii) stronger delegation of authority to regional offices to enable faster operational delivery; (iii) sustained, structured dialogue to keep initiatives aligned as priorities evolve; and (iv) inclusive partnership models that bring government, industry, and ITU expertise together and support the region equitably.</w:t>
      </w:r>
    </w:p>
    <w:p w14:paraId="40E2FD00" w14:textId="77777777" w:rsidR="00617FC9" w:rsidRPr="0046236F" w:rsidRDefault="00617FC9" w:rsidP="00617FC9">
      <w:pPr>
        <w:jc w:val="both"/>
        <w:rPr>
          <w:rFonts w:asciiTheme="minorHAnsi" w:hAnsiTheme="minorHAnsi" w:cstheme="minorHAnsi"/>
          <w:szCs w:val="24"/>
          <w:lang w:eastAsia="en-GB"/>
        </w:rPr>
      </w:pPr>
      <w:bookmarkStart w:id="227" w:name="_Toc224213103"/>
      <w:bookmarkStart w:id="228" w:name="_Toc224236534"/>
      <w:r w:rsidRPr="0046236F">
        <w:rPr>
          <w:rStyle w:val="SubtitleitalicChar"/>
          <w:rFonts w:asciiTheme="minorHAnsi" w:hAnsiTheme="minorHAnsi" w:cstheme="minorHAnsi"/>
          <w:sz w:val="24"/>
          <w:szCs w:val="24"/>
        </w:rPr>
        <w:t>Europe (CEPT)</w:t>
      </w:r>
      <w:bookmarkEnd w:id="227"/>
      <w:bookmarkEnd w:id="228"/>
      <w:r w:rsidRPr="0046236F">
        <w:rPr>
          <w:rStyle w:val="SubtitleitalicChar"/>
          <w:rFonts w:asciiTheme="minorHAnsi" w:hAnsiTheme="minorHAnsi" w:cstheme="minorHAnsi"/>
          <w:sz w:val="24"/>
          <w:szCs w:val="24"/>
        </w:rPr>
        <w:t xml:space="preserve"> </w:t>
      </w:r>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Oli Bird, Co-President and Chair of Com-ITU (6-1-2026)</w:t>
      </w:r>
    </w:p>
    <w:p w14:paraId="5F10C6E2"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Overall, the interview suggests that in Europe the core challenge is not a single alignment gap but a diverse regional landscape. ITU’s capacity-building support for developing countries in the region is viewed positively. To strengthen overall regional presence, the key opportunity is to better demonstrate ITU’s added value for EU-focused administrations and if ‘One ITU’ regional presence is pursued develop partnerships with Europe’s strong standardization and spectrum coordination ecosystems.</w:t>
      </w:r>
    </w:p>
    <w:p w14:paraId="21AABCCC" w14:textId="77777777" w:rsidR="00617FC9" w:rsidRPr="0046236F" w:rsidRDefault="00617FC9" w:rsidP="00617FC9">
      <w:pPr>
        <w:jc w:val="both"/>
        <w:rPr>
          <w:rFonts w:asciiTheme="minorHAnsi" w:hAnsiTheme="minorHAnsi" w:cstheme="minorHAnsi"/>
          <w:szCs w:val="24"/>
          <w:lang w:eastAsia="en-GB"/>
        </w:rPr>
      </w:pPr>
      <w:bookmarkStart w:id="229" w:name="_Toc224213104"/>
      <w:bookmarkStart w:id="230" w:name="_Toc224236535"/>
      <w:r w:rsidRPr="0046236F">
        <w:rPr>
          <w:rStyle w:val="SubtitleitalicChar"/>
          <w:rFonts w:asciiTheme="minorHAnsi" w:hAnsiTheme="minorHAnsi" w:cstheme="minorHAnsi"/>
          <w:sz w:val="24"/>
          <w:szCs w:val="24"/>
        </w:rPr>
        <w:t>Americas (CITEL)</w:t>
      </w:r>
      <w:bookmarkEnd w:id="229"/>
      <w:bookmarkEnd w:id="230"/>
      <w:r w:rsidRPr="0046236F">
        <w:rPr>
          <w:rStyle w:val="SubtitleitalicChar"/>
          <w:rFonts w:asciiTheme="minorHAnsi" w:hAnsiTheme="minorHAnsi" w:cstheme="minorHAnsi"/>
          <w:sz w:val="24"/>
          <w:szCs w:val="24"/>
        </w:rPr>
        <w:br/>
      </w:r>
      <w:r w:rsidRPr="0046236F">
        <w:rPr>
          <w:rFonts w:asciiTheme="minorHAnsi" w:hAnsiTheme="minorHAnsi" w:cstheme="minorHAnsi"/>
          <w:szCs w:val="24"/>
          <w:lang w:eastAsia="en-GB"/>
        </w:rPr>
        <w:t>Mr Oscar Leon (Executive Secretary, CITEL) and Ms Maria C. Fuenmayor (CITEL) (6-1-2025)</w:t>
      </w:r>
    </w:p>
    <w:p w14:paraId="2E1998C8"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Overall, the interview conveyed strong satisfaction with the CITEL–ITU regional office relationship and highlighted practical ways to strengthen impact: deepen direct needs identification with countries; mobilize partnerships to address resource constraints; co-design initiatives with CITEL to avoid duplication and complete projects; and continue using the regional office as the key facilitator for inclusive preparatory coordination (especially for countries outside the RTO).</w:t>
      </w:r>
    </w:p>
    <w:p w14:paraId="4FB54F26" w14:textId="639E885F" w:rsidR="00617FC9" w:rsidRPr="000220F4" w:rsidRDefault="00617FC9" w:rsidP="00496EC9">
      <w:pPr>
        <w:pStyle w:val="Subtitleitalic"/>
        <w:rPr>
          <w:rFonts w:asciiTheme="minorHAnsi" w:hAnsiTheme="minorHAnsi" w:cstheme="minorHAnsi"/>
          <w:b/>
          <w:i w:val="0"/>
          <w:iCs w:val="0"/>
          <w:sz w:val="24"/>
          <w:szCs w:val="24"/>
        </w:rPr>
      </w:pPr>
      <w:bookmarkStart w:id="231" w:name="_Toc224213105"/>
      <w:bookmarkStart w:id="232" w:name="_Toc224236536"/>
      <w:r w:rsidRPr="0046236F">
        <w:rPr>
          <w:rFonts w:asciiTheme="minorHAnsi" w:hAnsiTheme="minorHAnsi" w:cstheme="minorHAnsi"/>
          <w:sz w:val="24"/>
          <w:szCs w:val="24"/>
        </w:rPr>
        <w:t>Asia Pacific (APT)</w:t>
      </w:r>
      <w:bookmarkEnd w:id="231"/>
      <w:bookmarkEnd w:id="232"/>
      <w:r w:rsidR="00496EC9">
        <w:rPr>
          <w:rFonts w:asciiTheme="minorHAnsi" w:hAnsiTheme="minorHAnsi" w:cstheme="minorHAnsi"/>
          <w:sz w:val="24"/>
          <w:szCs w:val="24"/>
        </w:rPr>
        <w:br/>
      </w:r>
      <w:r w:rsidRPr="000220F4">
        <w:rPr>
          <w:rFonts w:asciiTheme="minorHAnsi" w:hAnsiTheme="minorHAnsi" w:cstheme="minorHAnsi"/>
          <w:i w:val="0"/>
          <w:iCs w:val="0"/>
          <w:sz w:val="24"/>
          <w:szCs w:val="24"/>
        </w:rPr>
        <w:t>Dr Masanori Kondo, Secretary-General, Asia-Pacific Telecommunity (APT) (12-1-2025)</w:t>
      </w:r>
    </w:p>
    <w:p w14:paraId="79AA56FE" w14:textId="77777777" w:rsidR="00617FC9" w:rsidRPr="0046236F" w:rsidRDefault="00617FC9" w:rsidP="00617FC9">
      <w:pPr>
        <w:jc w:val="both"/>
        <w:rPr>
          <w:rFonts w:asciiTheme="minorHAnsi" w:hAnsiTheme="minorHAnsi" w:cstheme="minorHAnsi"/>
          <w:szCs w:val="24"/>
          <w:lang w:eastAsia="en-GB"/>
        </w:rPr>
      </w:pPr>
      <w:r w:rsidRPr="0046236F">
        <w:rPr>
          <w:rFonts w:asciiTheme="minorHAnsi" w:hAnsiTheme="minorHAnsi" w:cstheme="minorHAnsi"/>
          <w:szCs w:val="24"/>
          <w:lang w:eastAsia="en-GB"/>
        </w:rPr>
        <w:t>Overall, the interview reflects a generally positive personal observation of ITU’s work and visibility in the Asia-Pacific region, with the interviewee indicating a generally high level of satisfaction in qualitative terms. The key message is that further gains in regional effectiveness are most likely to come from stronger multi-stakeholder coordination, clearer mandates and role definition, support for national focal-point capacity (especially in small states), and continued efforts to avoid duplication with other regional and UN-system actors.</w:t>
      </w:r>
    </w:p>
    <w:p w14:paraId="023EFBF8" w14:textId="7A96EE4E" w:rsidR="00617FC9" w:rsidRPr="000220F4" w:rsidRDefault="00617FC9" w:rsidP="00496EC9">
      <w:pPr>
        <w:pStyle w:val="Subtitleitalic"/>
        <w:rPr>
          <w:rFonts w:asciiTheme="minorHAnsi" w:hAnsiTheme="minorHAnsi" w:cstheme="minorHAnsi"/>
          <w:i w:val="0"/>
          <w:iCs w:val="0"/>
          <w:sz w:val="24"/>
          <w:szCs w:val="24"/>
          <w:lang w:val="it-IT"/>
        </w:rPr>
      </w:pPr>
      <w:bookmarkStart w:id="233" w:name="_Toc224213106"/>
      <w:bookmarkStart w:id="234" w:name="_Toc224236537"/>
      <w:r w:rsidRPr="000220F4">
        <w:rPr>
          <w:rFonts w:asciiTheme="minorHAnsi" w:hAnsiTheme="minorHAnsi" w:cstheme="minorHAnsi"/>
          <w:sz w:val="24"/>
          <w:szCs w:val="24"/>
        </w:rPr>
        <w:t>Africa (ATU)</w:t>
      </w:r>
      <w:bookmarkEnd w:id="233"/>
      <w:bookmarkEnd w:id="234"/>
      <w:r w:rsidR="00496EC9" w:rsidRPr="000220F4">
        <w:rPr>
          <w:rFonts w:asciiTheme="minorHAnsi" w:hAnsiTheme="minorHAnsi" w:cstheme="minorHAnsi"/>
          <w:sz w:val="24"/>
          <w:szCs w:val="24"/>
        </w:rPr>
        <w:br/>
      </w:r>
      <w:r w:rsidRPr="000220F4">
        <w:rPr>
          <w:rFonts w:asciiTheme="minorHAnsi" w:hAnsiTheme="minorHAnsi" w:cstheme="minorHAnsi"/>
          <w:i w:val="0"/>
          <w:iCs w:val="0"/>
          <w:sz w:val="24"/>
          <w:szCs w:val="24"/>
          <w:lang w:val="it-IT"/>
        </w:rPr>
        <w:t>Ms Meriem Slimani (ATU) (13-1-2025)</w:t>
      </w:r>
    </w:p>
    <w:p w14:paraId="45550E98" w14:textId="77777777" w:rsidR="00617FC9" w:rsidRPr="0046236F" w:rsidRDefault="00617FC9" w:rsidP="00617FC9">
      <w:pPr>
        <w:jc w:val="both"/>
        <w:rPr>
          <w:rFonts w:asciiTheme="minorHAnsi" w:hAnsiTheme="minorHAnsi" w:cstheme="minorHAnsi"/>
          <w:szCs w:val="24"/>
          <w:lang w:eastAsia="en-GB"/>
        </w:rPr>
      </w:pPr>
      <w:r w:rsidRPr="000220F4">
        <w:rPr>
          <w:rFonts w:asciiTheme="minorHAnsi" w:hAnsiTheme="minorHAnsi" w:cstheme="minorHAnsi"/>
          <w:szCs w:val="24"/>
          <w:lang w:eastAsia="en-GB"/>
        </w:rPr>
        <w:t>Overall, the interview underscores that Africa’s priorities require stronger transparency and monitoring of initiative implementation, measurable KPIs, and clearer stakeholder coordination</w:t>
      </w:r>
      <w:r w:rsidRPr="0046236F">
        <w:rPr>
          <w:rFonts w:asciiTheme="minorHAnsi" w:hAnsiTheme="minorHAnsi" w:cstheme="minorHAnsi"/>
          <w:szCs w:val="24"/>
          <w:lang w:eastAsia="en-GB"/>
        </w:rPr>
        <w:t xml:space="preserve"> including around funding mechanisms. For partnerships, the key recommendation is to use structured coordination frameworks that move from workshops to funded projects with clear roles. The interviewee also emphasized the need for a ‘One ITU’ regional approach, with better access to standardization and radiocommunication expertise and greater delegation of authority to regional offices to improve speed and effectiveness.</w:t>
      </w:r>
    </w:p>
    <w:p w14:paraId="6B1DAB38" w14:textId="77777777" w:rsidR="00617FC9" w:rsidRPr="0046236F" w:rsidRDefault="00617FC9" w:rsidP="00617FC9">
      <w:pPr>
        <w:pStyle w:val="Heading2"/>
        <w:rPr>
          <w:rFonts w:asciiTheme="minorHAnsi" w:hAnsiTheme="minorHAnsi" w:cstheme="minorHAnsi"/>
          <w:szCs w:val="24"/>
        </w:rPr>
      </w:pPr>
      <w:bookmarkStart w:id="235" w:name="_Toc224213107"/>
      <w:bookmarkStart w:id="236" w:name="_Toc225163581"/>
      <w:bookmarkStart w:id="237" w:name="_Toc226580583"/>
      <w:r w:rsidRPr="0046236F">
        <w:rPr>
          <w:rFonts w:asciiTheme="minorHAnsi" w:hAnsiTheme="minorHAnsi" w:cstheme="minorHAnsi"/>
          <w:szCs w:val="24"/>
        </w:rPr>
        <w:lastRenderedPageBreak/>
        <w:t>Annex D. Benchmarking</w:t>
      </w:r>
      <w:bookmarkEnd w:id="235"/>
      <w:bookmarkEnd w:id="236"/>
      <w:bookmarkEnd w:id="237"/>
    </w:p>
    <w:p w14:paraId="6C3E778E"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Benchmarking Analysis of the Regional Presence of the International Telecommunication Union (ITU) Compared with Selected UN Specialized Agencies</w:t>
      </w:r>
    </w:p>
    <w:p w14:paraId="337D784D" w14:textId="77777777" w:rsidR="00617FC9" w:rsidRPr="0046236F" w:rsidRDefault="00617FC9" w:rsidP="00617FC9">
      <w:pPr>
        <w:pStyle w:val="Subtitle0"/>
        <w:jc w:val="both"/>
        <w:rPr>
          <w:rFonts w:asciiTheme="minorHAnsi" w:hAnsiTheme="minorHAnsi" w:cstheme="minorHAnsi"/>
          <w:sz w:val="24"/>
          <w:szCs w:val="24"/>
        </w:rPr>
      </w:pPr>
      <w:r w:rsidRPr="0046236F">
        <w:rPr>
          <w:rFonts w:asciiTheme="minorHAnsi" w:hAnsiTheme="minorHAnsi" w:cstheme="minorHAnsi"/>
          <w:sz w:val="24"/>
          <w:szCs w:val="24"/>
        </w:rPr>
        <w:t>Introduction</w:t>
      </w:r>
    </w:p>
    <w:p w14:paraId="6F7CE33C"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 xml:space="preserve">The International Telecommunication Union (ITU) is mandated by the Council to undertake, as part of the ongoing review focused on strengthening ITU Regional Presence, a benchmarking study to learn from good practices related to structure and efficiency of regional presence of other UN Agencies, and to recommend areas for improvement. The report on this benchmark study is based on desk research. </w:t>
      </w:r>
    </w:p>
    <w:p w14:paraId="252656A8" w14:textId="77777777" w:rsidR="00617FC9" w:rsidRPr="0046236F" w:rsidRDefault="00617FC9" w:rsidP="00617FC9">
      <w:pPr>
        <w:jc w:val="both"/>
        <w:rPr>
          <w:rFonts w:asciiTheme="minorHAnsi" w:hAnsiTheme="minorHAnsi" w:cstheme="minorHAnsi"/>
          <w:szCs w:val="24"/>
        </w:rPr>
      </w:pPr>
      <w:r w:rsidRPr="0046236F">
        <w:rPr>
          <w:rFonts w:asciiTheme="minorHAnsi" w:eastAsia="Verdana" w:hAnsiTheme="minorHAnsi" w:cstheme="minorHAnsi"/>
          <w:szCs w:val="24"/>
          <w:lang w:eastAsia="zh-TW"/>
        </w:rPr>
        <w:t xml:space="preserve">To identify good practices and subsequently the determinants of successful regional presence of the UN Agencies, the report analyses a range of existing regional and area offices of other UN specialized Agencies. </w:t>
      </w:r>
      <w:r w:rsidRPr="0046236F">
        <w:rPr>
          <w:rFonts w:asciiTheme="minorHAnsi" w:hAnsiTheme="minorHAnsi" w:cstheme="minorHAnsi"/>
          <w:szCs w:val="24"/>
        </w:rPr>
        <w:t>There are currently 17 UN Specialized Agencies</w:t>
      </w:r>
      <w:r w:rsidRPr="0046236F">
        <w:rPr>
          <w:rStyle w:val="FootnoteReference"/>
          <w:rFonts w:asciiTheme="minorHAnsi" w:hAnsiTheme="minorHAnsi" w:cstheme="minorHAnsi"/>
          <w:color w:val="000000" w:themeColor="text1"/>
          <w:sz w:val="24"/>
          <w:szCs w:val="24"/>
        </w:rPr>
        <w:footnoteReference w:id="23"/>
      </w:r>
      <w:r w:rsidRPr="0046236F">
        <w:rPr>
          <w:rFonts w:asciiTheme="minorHAnsi" w:hAnsiTheme="minorHAnsi" w:cstheme="minorHAnsi"/>
          <w:szCs w:val="24"/>
        </w:rPr>
        <w:t xml:space="preserve"> covering a wide range of global issues, including: Agriculture and Food (FAO and IFAD); Civil Aviation (ICAO); Labor (ILO); Finance (IMF and the World Bank Group); Maritime (IMO); Telecommunication/ICTs (ITU); Education, Science, and Culture (UNESCO); Industrial Development (UNIDO); Tourism (UN Tourism) Postal Services (UPU); Health (WHO); Intellectual Property (WIPO); and Meteorology (WMO). </w:t>
      </w:r>
    </w:p>
    <w:p w14:paraId="4AD72733" w14:textId="77777777" w:rsidR="00617FC9" w:rsidRPr="0046236F" w:rsidRDefault="00617FC9" w:rsidP="00617FC9">
      <w:pPr>
        <w:jc w:val="both"/>
        <w:rPr>
          <w:rFonts w:asciiTheme="minorHAnsi" w:hAnsiTheme="minorHAnsi" w:cstheme="minorHAnsi"/>
          <w:szCs w:val="24"/>
        </w:rPr>
      </w:pPr>
      <w:r w:rsidRPr="0046236F">
        <w:rPr>
          <w:rFonts w:asciiTheme="minorHAnsi" w:hAnsiTheme="minorHAnsi" w:cstheme="minorHAnsi"/>
          <w:szCs w:val="24"/>
        </w:rPr>
        <w:t>Based on the mandates, the World Meteorological Organisation (WMO) and the International Civil Aviation Organisation (ICAO) are the closest comparable organisations to ITU in terms of technical specialisation, number of staff and expenditures</w:t>
      </w:r>
      <w:r w:rsidRPr="0046236F">
        <w:rPr>
          <w:rStyle w:val="FootnoteReference"/>
          <w:rFonts w:asciiTheme="minorHAnsi" w:hAnsiTheme="minorHAnsi" w:cstheme="minorHAnsi"/>
          <w:color w:val="000000" w:themeColor="text1"/>
          <w:sz w:val="24"/>
          <w:szCs w:val="24"/>
        </w:rPr>
        <w:footnoteReference w:id="24"/>
      </w:r>
      <w:r w:rsidRPr="0046236F">
        <w:rPr>
          <w:rFonts w:asciiTheme="minorHAnsi" w:hAnsiTheme="minorHAnsi" w:cstheme="minorHAnsi"/>
          <w:szCs w:val="24"/>
        </w:rPr>
        <w:t xml:space="preserve">. In addition to WMO and ICAO, this benchmarking exercise has widened the scope by including International Maritime Organization (IMO), United Nations Industrial Development Organization (UNIDO), and World Intellectual Property Organization (WIPO), as they have similarities and key characteristics to that of the ITU. It is in this context that a comparative analysis of ITU regional presence is made against these five UN specialized agencies. </w:t>
      </w:r>
    </w:p>
    <w:p w14:paraId="3B07A3E6" w14:textId="77777777" w:rsidR="00617FC9" w:rsidRPr="0046236F" w:rsidRDefault="00617FC9" w:rsidP="00617FC9">
      <w:pPr>
        <w:pStyle w:val="WMOBodyText"/>
        <w:spacing w:after="24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 xml:space="preserve">The </w:t>
      </w:r>
      <w:r w:rsidRPr="0046236F">
        <w:rPr>
          <w:rFonts w:asciiTheme="minorHAnsi" w:hAnsiTheme="minorHAnsi" w:cstheme="minorHAnsi"/>
          <w:b/>
          <w:color w:val="000000" w:themeColor="text1"/>
          <w:sz w:val="24"/>
          <w:szCs w:val="24"/>
        </w:rPr>
        <w:t>common benchmarking indicators</w:t>
      </w:r>
      <w:r w:rsidRPr="0046236F">
        <w:rPr>
          <w:rFonts w:asciiTheme="minorHAnsi" w:hAnsiTheme="minorHAnsi" w:cstheme="minorHAnsi"/>
          <w:color w:val="000000" w:themeColor="text1"/>
          <w:sz w:val="24"/>
          <w:szCs w:val="24"/>
        </w:rPr>
        <w:t xml:space="preserve"> include</w:t>
      </w:r>
      <w:r w:rsidRPr="0046236F" w:rsidDel="00E90655">
        <w:rPr>
          <w:rFonts w:asciiTheme="minorHAnsi" w:hAnsiTheme="minorHAnsi" w:cstheme="minorHAnsi"/>
          <w:color w:val="000000" w:themeColor="text1"/>
          <w:sz w:val="24"/>
          <w:szCs w:val="24"/>
        </w:rPr>
        <w:t xml:space="preserve"> </w:t>
      </w:r>
      <w:r w:rsidRPr="0046236F">
        <w:rPr>
          <w:rFonts w:asciiTheme="minorHAnsi" w:hAnsiTheme="minorHAnsi" w:cstheme="minorHAnsi"/>
          <w:color w:val="000000" w:themeColor="text1"/>
          <w:sz w:val="24"/>
          <w:szCs w:val="24"/>
        </w:rPr>
        <w:t>number and distribution of regional or external offices; staff footprint between headquarters and field locations; functions and activities undertaken by regional structures; institutional mandates; and overall budget levels and allocation to field operations.</w:t>
      </w:r>
    </w:p>
    <w:p w14:paraId="2F277643" w14:textId="77777777" w:rsidR="00617FC9" w:rsidRPr="0046236F" w:rsidRDefault="00617FC9" w:rsidP="00617FC9">
      <w:pPr>
        <w:pStyle w:val="WMOBodyText"/>
        <w:spacing w:after="24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There is no uniform, one-size-fits-all approach to the structure across the UN system; structure conform to specific organizational needs. ICAO, IMO, ITU, UNIDO, WIPO and WMO are specialized UN agencies that maintain regional and area/field offices to provide support, technical assistance, and implementation of their global mandates. While they share a common goal of working through regional structures to enhance member services, their specific regional architectures differ in scope and maturity. </w:t>
      </w:r>
    </w:p>
    <w:p w14:paraId="17F0BBAA" w14:textId="77777777" w:rsidR="00617FC9" w:rsidRPr="0046236F" w:rsidRDefault="00617FC9" w:rsidP="00617FC9">
      <w:pPr>
        <w:pStyle w:val="WMOBodyText"/>
        <w:spacing w:after="240"/>
        <w:jc w:val="both"/>
        <w:rPr>
          <w:rFonts w:asciiTheme="minorHAnsi" w:hAnsiTheme="minorHAnsi" w:cstheme="minorHAnsi"/>
          <w:b/>
          <w:color w:val="000000" w:themeColor="text1"/>
          <w:sz w:val="24"/>
          <w:szCs w:val="24"/>
        </w:rPr>
      </w:pPr>
      <w:r w:rsidRPr="0046236F">
        <w:rPr>
          <w:rFonts w:asciiTheme="minorHAnsi" w:hAnsiTheme="minorHAnsi" w:cstheme="minorHAnsi"/>
          <w:b/>
          <w:color w:val="000000" w:themeColor="text1"/>
          <w:sz w:val="24"/>
          <w:szCs w:val="24"/>
        </w:rPr>
        <w:t>Comparative Analysis of Regional/Area Office Structures</w:t>
      </w:r>
    </w:p>
    <w:p w14:paraId="095C1BA3" w14:textId="77777777" w:rsidR="00617FC9" w:rsidRPr="0046236F" w:rsidRDefault="00617FC9" w:rsidP="00BC7ABA">
      <w:pPr>
        <w:pStyle w:val="WMOBodyText"/>
        <w:numPr>
          <w:ilvl w:val="0"/>
          <w:numId w:val="74"/>
        </w:numPr>
        <w:spacing w:after="240"/>
        <w:jc w:val="both"/>
        <w:rPr>
          <w:rFonts w:asciiTheme="minorHAnsi" w:hAnsiTheme="minorHAnsi" w:cstheme="minorHAnsi"/>
          <w:b/>
          <w:color w:val="000000" w:themeColor="text1"/>
          <w:sz w:val="24"/>
          <w:szCs w:val="24"/>
        </w:rPr>
      </w:pPr>
      <w:r w:rsidRPr="0046236F">
        <w:rPr>
          <w:rFonts w:asciiTheme="minorHAnsi" w:eastAsia="Bookman Old Style" w:hAnsiTheme="minorHAnsi" w:cstheme="minorHAnsi"/>
          <w:b/>
          <w:i/>
          <w:color w:val="000000" w:themeColor="text1"/>
          <w:sz w:val="24"/>
          <w:szCs w:val="24"/>
        </w:rPr>
        <w:t>International Civil Aviation Organization</w:t>
      </w:r>
      <w:r w:rsidRPr="0046236F">
        <w:rPr>
          <w:rFonts w:asciiTheme="minorHAnsi" w:eastAsia="Bookman Old Style" w:hAnsiTheme="minorHAnsi" w:cstheme="minorHAnsi"/>
          <w:b/>
          <w:bCs/>
          <w:i/>
          <w:iCs/>
          <w:color w:val="000000" w:themeColor="text1"/>
          <w:sz w:val="24"/>
          <w:szCs w:val="24"/>
        </w:rPr>
        <w:t xml:space="preserve"> (ICAO)</w:t>
      </w:r>
    </w:p>
    <w:p w14:paraId="2D9CFC81" w14:textId="77777777" w:rsidR="00617FC9" w:rsidRPr="0046236F" w:rsidRDefault="00617FC9" w:rsidP="00617FC9">
      <w:pPr>
        <w:jc w:val="both"/>
        <w:rPr>
          <w:rFonts w:asciiTheme="minorHAnsi" w:eastAsia="Bookman Old Style" w:hAnsiTheme="minorHAnsi" w:cstheme="minorHAnsi"/>
          <w:color w:val="000000" w:themeColor="text1"/>
          <w:szCs w:val="24"/>
        </w:rPr>
      </w:pPr>
      <w:r w:rsidRPr="0046236F">
        <w:rPr>
          <w:rFonts w:asciiTheme="minorHAnsi" w:eastAsia="Bookman Old Style" w:hAnsiTheme="minorHAnsi" w:cstheme="minorHAnsi"/>
          <w:color w:val="000000" w:themeColor="text1"/>
          <w:szCs w:val="24"/>
        </w:rPr>
        <w:lastRenderedPageBreak/>
        <w:t>ICAO maintains seven Regional Offices (Bangkok, Cairo, Dakar, Lima, Mexico, Nairobi, Paris) and one sub-regional office to provide specialized, localized support. Regional Offices focus on the implementation of Standards and Recommended Practices (SARPs), air navigation, and the coordination of regional safety and efficiency. These offices strengthen regional safety, security, and efficiency under the No Country Left Behind (NCLB) initiative. Each regional office is responsible for serving the Contracting States to which it is accredited and maintaining liaison with non-Contracting States and other territories in the areas of general responsibility</w:t>
      </w:r>
      <w:r w:rsidRPr="00762977">
        <w:rPr>
          <w:rStyle w:val="FootnoteReference"/>
          <w:rFonts w:asciiTheme="minorHAnsi" w:eastAsia="Bookman Old Style" w:hAnsiTheme="minorHAnsi" w:cstheme="minorHAnsi"/>
          <w:color w:val="000000" w:themeColor="text1"/>
          <w:sz w:val="18"/>
          <w:szCs w:val="18"/>
        </w:rPr>
        <w:footnoteReference w:id="25"/>
      </w:r>
      <w:r w:rsidRPr="0046236F">
        <w:rPr>
          <w:rFonts w:asciiTheme="minorHAnsi" w:eastAsia="Bookman Old Style" w:hAnsiTheme="minorHAnsi" w:cstheme="minorHAnsi"/>
          <w:color w:val="000000" w:themeColor="text1"/>
          <w:szCs w:val="24"/>
        </w:rPr>
        <w:t>.</w:t>
      </w:r>
    </w:p>
    <w:p w14:paraId="7A8FB4DB" w14:textId="77777777" w:rsidR="00617FC9" w:rsidRPr="0046236F" w:rsidRDefault="00617FC9" w:rsidP="00BC7ABA">
      <w:pPr>
        <w:pStyle w:val="WMOBodyText"/>
        <w:numPr>
          <w:ilvl w:val="0"/>
          <w:numId w:val="74"/>
        </w:numPr>
        <w:spacing w:after="240"/>
        <w:jc w:val="both"/>
        <w:rPr>
          <w:rFonts w:asciiTheme="minorHAnsi" w:eastAsia="Bookman Old Style" w:hAnsiTheme="minorHAnsi" w:cstheme="minorHAnsi"/>
          <w:b/>
          <w:i/>
          <w:color w:val="000000" w:themeColor="text1"/>
          <w:sz w:val="24"/>
          <w:szCs w:val="24"/>
        </w:rPr>
      </w:pPr>
      <w:r w:rsidRPr="0046236F">
        <w:rPr>
          <w:rFonts w:asciiTheme="minorHAnsi" w:hAnsiTheme="minorHAnsi" w:cstheme="minorHAnsi"/>
          <w:b/>
          <w:i/>
          <w:color w:val="000000" w:themeColor="text1"/>
          <w:sz w:val="24"/>
          <w:szCs w:val="24"/>
        </w:rPr>
        <w:t>The International Maritime Organization (IMO)</w:t>
      </w:r>
      <w:r w:rsidRPr="0046236F">
        <w:rPr>
          <w:rFonts w:asciiTheme="minorHAnsi" w:eastAsia="Bookman Old Style" w:hAnsiTheme="minorHAnsi" w:cstheme="minorHAnsi"/>
          <w:b/>
          <w:i/>
          <w:color w:val="000000" w:themeColor="text1"/>
          <w:sz w:val="24"/>
          <w:szCs w:val="24"/>
        </w:rPr>
        <w:t xml:space="preserve"> </w:t>
      </w:r>
    </w:p>
    <w:p w14:paraId="761A2726" w14:textId="77777777" w:rsidR="00617FC9" w:rsidRPr="0046236F" w:rsidRDefault="00617FC9" w:rsidP="00617FC9">
      <w:pPr>
        <w:pStyle w:val="WMOBodyText"/>
        <w:spacing w:after="24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IMO operates a network of Regional Presence Offices (RPOs) to deliver technical assistance and support maritime activities directly in specific regions. As of early 2026, IMO has six Regional Coordinators located in Abidjan, Côte d'Ivoire for West and Central Africa (Francophone); Accra, Ghana for West and Central Africa (Anglophone); Alexandria, Egypt for Middle East and North Africa (MENA)</w:t>
      </w:r>
      <w:r w:rsidRPr="00762977">
        <w:rPr>
          <w:rStyle w:val="FootnoteReference"/>
          <w:rFonts w:asciiTheme="minorHAnsi" w:hAnsiTheme="minorHAnsi" w:cstheme="minorHAnsi"/>
          <w:color w:val="000000" w:themeColor="text1"/>
          <w:sz w:val="18"/>
          <w:szCs w:val="18"/>
        </w:rPr>
        <w:footnoteReference w:id="26"/>
      </w:r>
      <w:r w:rsidRPr="0046236F">
        <w:rPr>
          <w:rFonts w:asciiTheme="minorHAnsi" w:hAnsiTheme="minorHAnsi" w:cstheme="minorHAnsi"/>
          <w:color w:val="000000" w:themeColor="text1"/>
          <w:sz w:val="24"/>
          <w:szCs w:val="24"/>
        </w:rPr>
        <w:t>; Manila, Philippines for East Asia; Nairobi, Kenya for Eastern and Southern Africa; and Port of Spain, Trinidad and Tobago for Caribbean. IMO also funds one Technical Cooperation Officer within the Pacific Community (SPC), based in and Suva, Fiji</w:t>
      </w:r>
      <w:r w:rsidRPr="00762977">
        <w:rPr>
          <w:rStyle w:val="FootnoteReference"/>
          <w:rFonts w:asciiTheme="minorHAnsi" w:hAnsiTheme="minorHAnsi" w:cstheme="minorHAnsi"/>
          <w:color w:val="000000" w:themeColor="text1"/>
          <w:sz w:val="18"/>
          <w:szCs w:val="18"/>
        </w:rPr>
        <w:footnoteReference w:id="27"/>
      </w:r>
      <w:r w:rsidRPr="0046236F">
        <w:rPr>
          <w:rFonts w:asciiTheme="minorHAnsi" w:hAnsiTheme="minorHAnsi" w:cstheme="minorHAnsi"/>
          <w:color w:val="000000" w:themeColor="text1"/>
          <w:sz w:val="24"/>
          <w:szCs w:val="24"/>
        </w:rPr>
        <w:t>.</w:t>
      </w:r>
    </w:p>
    <w:p w14:paraId="645CC4BA" w14:textId="77777777" w:rsidR="00617FC9" w:rsidRPr="0046236F" w:rsidRDefault="00617FC9" w:rsidP="00BC7ABA">
      <w:pPr>
        <w:pStyle w:val="WMOBodyText"/>
        <w:numPr>
          <w:ilvl w:val="0"/>
          <w:numId w:val="74"/>
        </w:numPr>
        <w:spacing w:after="240"/>
        <w:rPr>
          <w:rFonts w:asciiTheme="minorHAnsi" w:hAnsiTheme="minorHAnsi" w:cstheme="minorHAnsi"/>
          <w:b/>
          <w:i/>
          <w:color w:val="000000" w:themeColor="text1"/>
          <w:sz w:val="24"/>
          <w:szCs w:val="24"/>
        </w:rPr>
      </w:pPr>
      <w:r w:rsidRPr="0046236F">
        <w:rPr>
          <w:rFonts w:asciiTheme="minorHAnsi" w:hAnsiTheme="minorHAnsi" w:cstheme="minorHAnsi"/>
          <w:b/>
          <w:i/>
          <w:color w:val="000000" w:themeColor="text1"/>
          <w:sz w:val="24"/>
          <w:szCs w:val="24"/>
        </w:rPr>
        <w:t>International Telecommunication Union (ITU)</w:t>
      </w:r>
    </w:p>
    <w:p w14:paraId="55F41160" w14:textId="77777777" w:rsidR="00617FC9" w:rsidRPr="0046236F" w:rsidRDefault="00617FC9" w:rsidP="00617FC9">
      <w:pPr>
        <w:pStyle w:val="WMOBodyText"/>
        <w:spacing w:after="24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ITU regional and area offices are structured to facilitate and enhance telecommunication/ICTs development by offering, organizing, and coordinating technical cooperation and assistance activities to its membership. ITU has a structured field presence tailored to its three sectors (Radiocommunication, Standardization, and Development). ITU is divided into six administrative regions: Africa (Ethiopia), Americas (Brazil), Arab States (Egypt), Asia and the Pacific (Thailand), CIS (Russia), and Europe (Geneva). Some Regional Offices (ROs) are supported by Area Offices</w:t>
      </w:r>
      <w:r w:rsidRPr="0013359E">
        <w:rPr>
          <w:rStyle w:val="FootnoteReference"/>
          <w:rFonts w:asciiTheme="minorHAnsi" w:hAnsiTheme="minorHAnsi" w:cstheme="minorHAnsi"/>
          <w:color w:val="000000" w:themeColor="text1"/>
          <w:sz w:val="18"/>
          <w:szCs w:val="18"/>
        </w:rPr>
        <w:footnoteReference w:id="28"/>
      </w:r>
      <w:r w:rsidRPr="0046236F">
        <w:rPr>
          <w:rFonts w:asciiTheme="minorHAnsi" w:hAnsiTheme="minorHAnsi" w:cstheme="minorHAnsi"/>
          <w:color w:val="000000" w:themeColor="text1"/>
          <w:sz w:val="24"/>
          <w:szCs w:val="24"/>
        </w:rPr>
        <w:t xml:space="preserve"> (e.g., Africa Regional Office in Addis Ababa and Area offices in Dakar, Harare, and Yaoundé). The Regional and Area offices work with the HQ to provide specialized technical assistance focused on closing the digital divide, spanning both regulatory and developmental aspects.</w:t>
      </w:r>
    </w:p>
    <w:p w14:paraId="0F4B68BE" w14:textId="77777777" w:rsidR="00617FC9" w:rsidRPr="0046236F" w:rsidRDefault="00617FC9" w:rsidP="00BC7ABA">
      <w:pPr>
        <w:pStyle w:val="WMOBodyText"/>
        <w:numPr>
          <w:ilvl w:val="0"/>
          <w:numId w:val="74"/>
        </w:numPr>
        <w:spacing w:after="240"/>
        <w:jc w:val="both"/>
        <w:rPr>
          <w:rFonts w:asciiTheme="minorHAnsi" w:hAnsiTheme="minorHAnsi" w:cstheme="minorHAnsi"/>
          <w:b/>
          <w:i/>
          <w:color w:val="000000" w:themeColor="text1"/>
          <w:sz w:val="24"/>
          <w:szCs w:val="24"/>
        </w:rPr>
      </w:pPr>
      <w:r w:rsidRPr="0046236F">
        <w:rPr>
          <w:rFonts w:asciiTheme="minorHAnsi" w:hAnsiTheme="minorHAnsi" w:cstheme="minorHAnsi"/>
          <w:b/>
          <w:i/>
          <w:color w:val="000000" w:themeColor="text1"/>
          <w:sz w:val="24"/>
          <w:szCs w:val="24"/>
        </w:rPr>
        <w:t>United Nations Industrial Development Organisation (UNIDO)</w:t>
      </w:r>
    </w:p>
    <w:p w14:paraId="5AFE04D5" w14:textId="77777777" w:rsidR="00617FC9" w:rsidRPr="0046236F" w:rsidRDefault="00617FC9" w:rsidP="00617FC9">
      <w:pPr>
        <w:pStyle w:val="WMOBodyText"/>
        <w:spacing w:after="24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 xml:space="preserve">UNIDO is the specialized agency of the United Nations that promotes industrial development for poverty reduction, inclusive globalization and environmental sustainability. The mandate of UNIDO is to promote and accelerate sustainable industrial development in developing countries and economies in transition. The organization draws on four mutually reinforcing categories of services: technical cooperation, analytical and policy advisory services, standard setting and compliance, and a convening function for knowledge transfer and networking. </w:t>
      </w:r>
    </w:p>
    <w:p w14:paraId="5E0C47FA" w14:textId="77777777" w:rsidR="00617FC9" w:rsidRPr="0046236F" w:rsidRDefault="00617FC9" w:rsidP="00617FC9">
      <w:pPr>
        <w:pStyle w:val="WMOBodyText"/>
        <w:spacing w:after="24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 xml:space="preserve">UNIDO’s network includes 49 subregional and country offices covering 158 countries, providing technical support, policy advice and partnership building where it is needed most. This field </w:t>
      </w:r>
      <w:r w:rsidRPr="0046236F">
        <w:rPr>
          <w:rFonts w:asciiTheme="minorHAnsi" w:hAnsiTheme="minorHAnsi" w:cstheme="minorHAnsi"/>
          <w:color w:val="000000" w:themeColor="text1"/>
          <w:sz w:val="24"/>
          <w:szCs w:val="24"/>
        </w:rPr>
        <w:lastRenderedPageBreak/>
        <w:t>presence is complemented by 10 Investment and Technology Promotion Offices that connect business, finance and technology partners to advance sustainable industrial development.</w:t>
      </w:r>
    </w:p>
    <w:p w14:paraId="1832318B" w14:textId="77777777" w:rsidR="00617FC9" w:rsidRPr="0046236F" w:rsidRDefault="00617FC9" w:rsidP="00BC7ABA">
      <w:pPr>
        <w:pStyle w:val="WMOBodyText"/>
        <w:numPr>
          <w:ilvl w:val="0"/>
          <w:numId w:val="74"/>
        </w:numPr>
        <w:spacing w:after="240"/>
        <w:jc w:val="both"/>
        <w:rPr>
          <w:rFonts w:asciiTheme="minorHAnsi" w:hAnsiTheme="minorHAnsi" w:cstheme="minorHAnsi"/>
          <w:b/>
          <w:i/>
          <w:color w:val="000000" w:themeColor="text1"/>
          <w:sz w:val="24"/>
          <w:szCs w:val="24"/>
        </w:rPr>
      </w:pPr>
      <w:r w:rsidRPr="0046236F">
        <w:rPr>
          <w:rFonts w:asciiTheme="minorHAnsi" w:hAnsiTheme="minorHAnsi" w:cstheme="minorHAnsi"/>
          <w:b/>
          <w:i/>
          <w:color w:val="000000" w:themeColor="text1"/>
          <w:sz w:val="24"/>
          <w:szCs w:val="24"/>
        </w:rPr>
        <w:t>World Intellectual Property Organization (WIPO)</w:t>
      </w:r>
    </w:p>
    <w:p w14:paraId="58A34E4D" w14:textId="77777777" w:rsidR="00617FC9" w:rsidRPr="0046236F" w:rsidRDefault="00617FC9" w:rsidP="00617FC9">
      <w:pPr>
        <w:pStyle w:val="WMOBodyText"/>
        <w:spacing w:after="24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WIPO's presence is increasingly focused on external offices that support IP ecosystem development and WIPO service promotion. WIPO's regional presence is focusing on "External Offices" rather than a broad, formal, regional/area office hierarchy in every region. Heavily guided by headquarters in Geneva, WIPO is supported by a specialized network of external offices. Headquartered in Geneva, External Offices (EOs)are in Algeria, Brazil, China, Japan, Nigeria, Russia, and Singapore to facilitate localized support. These offices promote WIPO’s global services and provide localized arbitration, mediation, and capacity-building services. The 2025 WIPO Pulse survey highlights a significant increase in global IP awareness, with WIPO expanding its regional footprint to support SME innovation and IP-driven growth. WIPO operates external offices in strategic locations (e.g., Singapore Office for ASEAN, Beijing, Rio de Janeiro) that focus on specific regional needs, such as IP commercialisation for SMEs.</w:t>
      </w:r>
    </w:p>
    <w:p w14:paraId="0BFFD1A4" w14:textId="77777777" w:rsidR="00617FC9" w:rsidRPr="0046236F" w:rsidRDefault="00617FC9" w:rsidP="00BC7ABA">
      <w:pPr>
        <w:pStyle w:val="WMOBodyText"/>
        <w:numPr>
          <w:ilvl w:val="0"/>
          <w:numId w:val="74"/>
        </w:numPr>
        <w:spacing w:after="240"/>
        <w:jc w:val="both"/>
        <w:rPr>
          <w:rFonts w:asciiTheme="minorHAnsi" w:hAnsiTheme="minorHAnsi" w:cstheme="minorHAnsi"/>
          <w:b/>
          <w:i/>
          <w:color w:val="000000" w:themeColor="text1"/>
          <w:sz w:val="24"/>
          <w:szCs w:val="24"/>
        </w:rPr>
      </w:pPr>
      <w:r w:rsidRPr="0046236F">
        <w:rPr>
          <w:rFonts w:asciiTheme="minorHAnsi" w:hAnsiTheme="minorHAnsi" w:cstheme="minorHAnsi"/>
          <w:b/>
          <w:i/>
          <w:color w:val="000000" w:themeColor="text1"/>
          <w:sz w:val="24"/>
          <w:szCs w:val="24"/>
        </w:rPr>
        <w:t>World Meteorological Organization (WMO)</w:t>
      </w:r>
    </w:p>
    <w:p w14:paraId="701A491B" w14:textId="6EF0C26C" w:rsidR="00617FC9" w:rsidRPr="0046236F" w:rsidRDefault="00617FC9" w:rsidP="00617FC9">
      <w:pPr>
        <w:pStyle w:val="WMOBodyText"/>
        <w:spacing w:after="24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WMO regional presence focuses on bridging the technical gap between developed and developing nations in data-sharing and forecasting technology; specifically in monitoring and mitigating climate-related disasters. The regional structure is designed to facilitate technical cooperation and meteorology/hydrology standards for six Regional Associations. These Regional Offices act as focal points for National Meteorological and Hydrological Services (NMHSs) through regional cooperation and capacity building, often working closely with regional climate centres. Regional Offices exist for Africa (Ethiopia), Asia and the South-West Pacific (Singapore/Geneva), and the Americas (Paraguay). WMO maintains specialized offices, such as in Abuja (Nigeria) and Nairobi (Kenya) for Africa, and Apia (Samoa) for the South-West Pacific</w:t>
      </w:r>
      <w:r w:rsidRPr="0013359E">
        <w:rPr>
          <w:rStyle w:val="FootnoteReference"/>
          <w:rFonts w:asciiTheme="minorHAnsi" w:hAnsiTheme="minorHAnsi" w:cstheme="minorHAnsi"/>
          <w:color w:val="000000" w:themeColor="text1"/>
          <w:sz w:val="18"/>
          <w:szCs w:val="18"/>
        </w:rPr>
        <w:footnoteReference w:id="29"/>
      </w:r>
      <w:r w:rsidRPr="0046236F">
        <w:rPr>
          <w:rFonts w:asciiTheme="minorHAnsi" w:hAnsiTheme="minorHAnsi" w:cstheme="minorHAnsi"/>
          <w:color w:val="000000" w:themeColor="text1"/>
          <w:sz w:val="24"/>
          <w:szCs w:val="24"/>
        </w:rPr>
        <w:t>. The Regional Programme supports National Meteorological and Hydrological Services (NMHSs) for disaster risk reduction and early warning systems.</w:t>
      </w:r>
    </w:p>
    <w:p w14:paraId="3B738A6B" w14:textId="77777777" w:rsidR="00617FC9" w:rsidRPr="0046236F" w:rsidRDefault="00617FC9" w:rsidP="00617FC9">
      <w:pPr>
        <w:pStyle w:val="WMOBodyText"/>
        <w:spacing w:after="240"/>
        <w:jc w:val="both"/>
        <w:rPr>
          <w:rFonts w:asciiTheme="minorHAnsi" w:hAnsiTheme="minorHAnsi" w:cstheme="minorHAnsi"/>
          <w:b/>
          <w:iCs/>
          <w:color w:val="000000" w:themeColor="text1"/>
          <w:sz w:val="24"/>
          <w:szCs w:val="24"/>
        </w:rPr>
      </w:pPr>
      <w:r w:rsidRPr="0046236F">
        <w:rPr>
          <w:rFonts w:asciiTheme="minorHAnsi" w:hAnsiTheme="minorHAnsi" w:cstheme="minorHAnsi"/>
          <w:b/>
          <w:iCs/>
          <w:color w:val="000000" w:themeColor="text1"/>
          <w:sz w:val="24"/>
          <w:szCs w:val="24"/>
        </w:rPr>
        <w:t>Key similarities in structure</w:t>
      </w:r>
    </w:p>
    <w:p w14:paraId="5A91FD37"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All six organizations (ICAO, IMO, ITU, UNIDO, WIPO, WMO) use regional offices to bridge the gap between their headquarters and member states.</w:t>
      </w:r>
    </w:p>
    <w:p w14:paraId="2DAC18B9"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Regional offices are primarily tasked with supporting memberships, strengthening national capacities, and facilitating technical cooperation.</w:t>
      </w:r>
    </w:p>
    <w:p w14:paraId="3E3D40B5"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Regional offices serve as "front-line" units, communicating regional priorities back to the Secretariat while disseminating international standards to local authorities.</w:t>
      </w:r>
    </w:p>
    <w:p w14:paraId="4EE82EE1"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Regional Groupings: All three align their work with global geographical regions (e.g., Africa, Americas, Asia-Pacific, Arab States, CIS and Europe). </w:t>
      </w:r>
    </w:p>
    <w:p w14:paraId="3C5B4062"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Technical vs. Development: ICAO and WMO are primarily focused on implementing global, technical standards across regions, while ITU and WIPO are more focused on development, capacity building, and specific service delivery.</w:t>
      </w:r>
    </w:p>
    <w:p w14:paraId="13C1D6DB"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lastRenderedPageBreak/>
        <w:t>ITU, IMO, and ICAO have worked together to address the jamming and spoofing of satellite navigation systems.</w:t>
      </w:r>
    </w:p>
    <w:p w14:paraId="0E5C4E94"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ITU and IMO collaborate on maritime radiocommunication matters, such as the modernization of the Global Maritime Distress and Safety System (GMDSS).</w:t>
      </w:r>
    </w:p>
    <w:p w14:paraId="063F2E07"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ITU and UNIDO work together to bridge the digital and technological divide, supporting Small and Medium-sized Enterprises (SMEs) and encouraging green, sustainable economic growth.</w:t>
      </w:r>
    </w:p>
    <w:p w14:paraId="40D5871A"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Resource allocation within ICAO, IMO, ITU, UNIDO, WMO, and WIPO -- is fundamentally driven by Results-Based Budgeting (RBB), focusing on aligning financial resources with strategic goals, technical cooperation, and member state priorities.</w:t>
      </w:r>
    </w:p>
    <w:p w14:paraId="5AACD200" w14:textId="77777777" w:rsidR="00617FC9" w:rsidRPr="0046236F" w:rsidRDefault="00617FC9" w:rsidP="00617FC9">
      <w:pPr>
        <w:pStyle w:val="WMOBodyText"/>
        <w:spacing w:after="240"/>
        <w:jc w:val="both"/>
        <w:rPr>
          <w:rFonts w:asciiTheme="minorHAnsi" w:hAnsiTheme="minorHAnsi" w:cstheme="minorHAnsi"/>
          <w:color w:val="000000" w:themeColor="text1"/>
          <w:sz w:val="24"/>
          <w:szCs w:val="24"/>
        </w:rPr>
      </w:pPr>
      <w:r w:rsidRPr="0046236F">
        <w:rPr>
          <w:rFonts w:asciiTheme="minorHAnsi" w:hAnsiTheme="minorHAnsi" w:cstheme="minorHAnsi"/>
          <w:b/>
          <w:color w:val="000000" w:themeColor="text1"/>
          <w:sz w:val="24"/>
          <w:szCs w:val="24"/>
        </w:rPr>
        <w:t>Key differences</w:t>
      </w:r>
    </w:p>
    <w:p w14:paraId="330136DF"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Field Network Density: ITU and WMO have a more entrenched network of "area" or "sub-regional" offices designed for field-level technical assistance in developing countries. WIPO's network of External Offices is more selective and focuses on major IP hubs and, more recently, developing nations.</w:t>
      </w:r>
    </w:p>
    <w:p w14:paraId="50A2DFEE"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Operational Focus: ITU focuses on universal meaningful connectivity and sustainable digital transformation; WMO focuses on weather, water, and climate services; WIPO focuses on legal and technical IP systems; and ICAO focuses on providing direct support to Member States in resolving safety deficiencies and managing regional air traffic planning.</w:t>
      </w:r>
    </w:p>
    <w:p w14:paraId="13757BEA" w14:textId="77777777" w:rsidR="00617FC9" w:rsidRPr="0046236F" w:rsidRDefault="00617FC9" w:rsidP="00617FC9">
      <w:pPr>
        <w:pStyle w:val="Bulletlist"/>
        <w:jc w:val="both"/>
        <w:rPr>
          <w:rFonts w:asciiTheme="minorHAnsi" w:hAnsiTheme="minorHAnsi" w:cstheme="minorHAnsi"/>
          <w:sz w:val="24"/>
          <w:szCs w:val="24"/>
        </w:rPr>
      </w:pPr>
      <w:r w:rsidRPr="0046236F">
        <w:rPr>
          <w:rFonts w:asciiTheme="minorHAnsi" w:hAnsiTheme="minorHAnsi" w:cstheme="minorHAnsi"/>
          <w:sz w:val="24"/>
          <w:szCs w:val="24"/>
        </w:rPr>
        <w:t>Regional Offices Location: WMO and WIPO keeps some regional offices in Geneva for coordination, whereas ICAO and ITU have strong regional offices located directly in the respective regions. </w:t>
      </w:r>
    </w:p>
    <w:p w14:paraId="1D1F7A4E" w14:textId="77777777" w:rsidR="00617FC9" w:rsidRPr="0046236F" w:rsidRDefault="00617FC9" w:rsidP="00617FC9">
      <w:pPr>
        <w:pStyle w:val="WMOBodyText"/>
        <w:spacing w:after="24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The delegation of authority across the regions for ICAO, IMO, ITU, UNIDO, WMO, and WIPO reflects their unique mandates—ranging from strict technical standardization (ICAO) to development-focused regional projects (ITU) and scientific coordination (WMO). While all are UN specialized agencies, ICAO holds the highest level of centralized technical control, while ITU and WMO operate through more decentralized regional structures focused on technical assistance. On the other hand, WIPO has a more centralized mechanism than ITU or WMO, with the Secretariat retaining strong control over core activities. For all six Agencies, major policy and financial decisions remain centralized at their HQ.</w:t>
      </w:r>
    </w:p>
    <w:p w14:paraId="5BA3C1F3" w14:textId="77777777" w:rsidR="00617FC9" w:rsidRPr="0046236F" w:rsidRDefault="00617FC9" w:rsidP="00617FC9">
      <w:pPr>
        <w:pStyle w:val="WMOBodyText"/>
        <w:spacing w:after="240"/>
        <w:jc w:val="both"/>
        <w:rPr>
          <w:rFonts w:asciiTheme="minorHAnsi" w:hAnsiTheme="minorHAnsi" w:cstheme="minorHAnsi"/>
          <w:b/>
          <w:color w:val="000000" w:themeColor="text1"/>
          <w:sz w:val="24"/>
          <w:szCs w:val="24"/>
        </w:rPr>
      </w:pPr>
      <w:r w:rsidRPr="0046236F">
        <w:rPr>
          <w:rFonts w:asciiTheme="minorHAnsi" w:hAnsiTheme="minorHAnsi" w:cstheme="minorHAnsi"/>
          <w:b/>
          <w:color w:val="000000" w:themeColor="text1"/>
          <w:sz w:val="24"/>
          <w:szCs w:val="24"/>
        </w:rPr>
        <w:t>Budget allocation and financial resources</w:t>
      </w:r>
    </w:p>
    <w:p w14:paraId="34546949" w14:textId="77777777" w:rsidR="00617FC9" w:rsidRPr="0046236F" w:rsidRDefault="00617FC9" w:rsidP="00617FC9">
      <w:pPr>
        <w:pStyle w:val="WMOBodyText"/>
        <w:spacing w:after="24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 xml:space="preserve">Financial resources also shape the scale and impact of regional operations. </w:t>
      </w:r>
    </w:p>
    <w:p w14:paraId="2557DF7A" w14:textId="77777777" w:rsidR="00617FC9" w:rsidRPr="0046236F" w:rsidRDefault="00617FC9" w:rsidP="00BC7ABA">
      <w:pPr>
        <w:pStyle w:val="WMOBodyText"/>
        <w:numPr>
          <w:ilvl w:val="0"/>
          <w:numId w:val="75"/>
        </w:numPr>
        <w:spacing w:before="60" w:after="60"/>
        <w:ind w:left="714" w:hanging="357"/>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ITU’s overall budget is approximately CHF 160.19 million, with 5% allocated to regional and area offices.</w:t>
      </w:r>
    </w:p>
    <w:p w14:paraId="37250983" w14:textId="77777777" w:rsidR="00617FC9" w:rsidRPr="0046236F" w:rsidRDefault="00617FC9" w:rsidP="00BC7ABA">
      <w:pPr>
        <w:pStyle w:val="WMOBodyText"/>
        <w:numPr>
          <w:ilvl w:val="0"/>
          <w:numId w:val="75"/>
        </w:numPr>
        <w:spacing w:before="60" w:after="60"/>
        <w:ind w:left="714" w:hanging="357"/>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ICAO’s budget of CAD 120 million (approximately CHF 68.68 million) allocates around 21% to offices outside headquarters, suggesting a comparatively strong investment in regional operations.</w:t>
      </w:r>
    </w:p>
    <w:p w14:paraId="22EAB74A" w14:textId="77777777" w:rsidR="00617FC9" w:rsidRPr="0046236F" w:rsidRDefault="00617FC9" w:rsidP="00BC7ABA">
      <w:pPr>
        <w:pStyle w:val="WMOBodyText"/>
        <w:numPr>
          <w:ilvl w:val="0"/>
          <w:numId w:val="75"/>
        </w:numPr>
        <w:spacing w:before="60" w:after="60"/>
        <w:ind w:left="714" w:hanging="357"/>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IMO operates with a smaller overall budget of about £38 million (approximately CHF 39.66 million), of which around 3.24% is allocated to offices outside headquarters.</w:t>
      </w:r>
    </w:p>
    <w:p w14:paraId="21865D6A" w14:textId="77777777" w:rsidR="00617FC9" w:rsidRPr="0046236F" w:rsidRDefault="00617FC9" w:rsidP="00BC7ABA">
      <w:pPr>
        <w:pStyle w:val="WMOBodyText"/>
        <w:numPr>
          <w:ilvl w:val="0"/>
          <w:numId w:val="75"/>
        </w:numPr>
        <w:spacing w:before="60" w:after="60"/>
        <w:ind w:left="714" w:hanging="357"/>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UNIDO’s budget structure indicates significant support for field activities, with €62.8 million (approximately CHF 56.69 million) allocated to field operations, partnerships, fundraising, and UN coordination, representing about 27% of its total regular and operational budget.</w:t>
      </w:r>
    </w:p>
    <w:p w14:paraId="3ABA6295" w14:textId="77777777" w:rsidR="00617FC9" w:rsidRPr="0046236F" w:rsidRDefault="00617FC9" w:rsidP="00BC7ABA">
      <w:pPr>
        <w:pStyle w:val="WMOBodyText"/>
        <w:numPr>
          <w:ilvl w:val="0"/>
          <w:numId w:val="75"/>
        </w:numPr>
        <w:spacing w:before="60" w:after="60"/>
        <w:ind w:left="714" w:hanging="357"/>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lastRenderedPageBreak/>
        <w:t>WIPO’s budget is CHF 885 million with 1% allocated to offices outside headquarters. WIPO operates with a much larger budget reflecting its revenue-generating IP services</w:t>
      </w:r>
    </w:p>
    <w:p w14:paraId="1B64B503" w14:textId="77777777" w:rsidR="00617FC9" w:rsidRPr="0046236F" w:rsidRDefault="00617FC9" w:rsidP="00BC7ABA">
      <w:pPr>
        <w:pStyle w:val="WMOBodyText"/>
        <w:numPr>
          <w:ilvl w:val="0"/>
          <w:numId w:val="75"/>
        </w:numPr>
        <w:spacing w:before="60" w:after="60"/>
        <w:ind w:left="714" w:hanging="357"/>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 xml:space="preserve">WMO’s budget of approximately CHF 69.96 million allocates 7.3% to offices outside headquarters. </w:t>
      </w:r>
    </w:p>
    <w:p w14:paraId="0181077D" w14:textId="77777777" w:rsidR="00617FC9" w:rsidRPr="0046236F" w:rsidRDefault="00617FC9" w:rsidP="00617FC9">
      <w:pPr>
        <w:pStyle w:val="WMOBodyText"/>
        <w:spacing w:after="24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Compared with these organizations, ITU’s allocation to regional operations falls within a low to moderate range, suggesting some commitment to field presence but potentially limited capacity to expand regional impact.</w:t>
      </w:r>
    </w:p>
    <w:p w14:paraId="4E090041" w14:textId="77777777" w:rsidR="00617FC9" w:rsidRPr="0046236F" w:rsidRDefault="00617FC9" w:rsidP="00617FC9">
      <w:pPr>
        <w:pStyle w:val="WMOBodyText"/>
        <w:spacing w:after="240"/>
        <w:jc w:val="both"/>
        <w:rPr>
          <w:rFonts w:asciiTheme="minorHAnsi" w:hAnsiTheme="minorHAnsi" w:cstheme="minorHAnsi"/>
          <w:b/>
          <w:color w:val="000000" w:themeColor="text1"/>
          <w:sz w:val="24"/>
          <w:szCs w:val="24"/>
        </w:rPr>
      </w:pPr>
      <w:r w:rsidRPr="0046236F">
        <w:rPr>
          <w:rFonts w:asciiTheme="minorHAnsi" w:hAnsiTheme="minorHAnsi" w:cstheme="minorHAnsi"/>
          <w:b/>
          <w:color w:val="000000" w:themeColor="text1"/>
          <w:sz w:val="24"/>
          <w:szCs w:val="24"/>
        </w:rPr>
        <w:t>Staff Footprint and Organizational Presence</w:t>
      </w:r>
    </w:p>
    <w:p w14:paraId="4A5BA025" w14:textId="77777777" w:rsidR="00617FC9" w:rsidRPr="0046236F" w:rsidRDefault="00617FC9" w:rsidP="00617FC9">
      <w:pPr>
        <w:pStyle w:val="WMOBodyText"/>
        <w:spacing w:after="240"/>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 xml:space="preserve">The distribution of staff between headquarters and field locations further highlights differences in organizational approaches to decentralization. </w:t>
      </w:r>
    </w:p>
    <w:p w14:paraId="381B8B47" w14:textId="77777777" w:rsidR="00617FC9" w:rsidRPr="0046236F" w:rsidRDefault="00617FC9" w:rsidP="00BC7ABA">
      <w:pPr>
        <w:pStyle w:val="WMOBodyText"/>
        <w:numPr>
          <w:ilvl w:val="0"/>
          <w:numId w:val="77"/>
        </w:numPr>
        <w:spacing w:before="60" w:after="60"/>
        <w:ind w:left="714" w:hanging="357"/>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ITU maintains approximately 629 staff at headquarters in Geneva and 62 staff across regional and area offices, indicating a relatively modest field footprint compared with its headquarters staffing.</w:t>
      </w:r>
    </w:p>
    <w:p w14:paraId="13BAE27C" w14:textId="77777777" w:rsidR="00617FC9" w:rsidRPr="0046236F" w:rsidRDefault="00617FC9" w:rsidP="00BC7ABA">
      <w:pPr>
        <w:pStyle w:val="WMOBodyText"/>
        <w:numPr>
          <w:ilvl w:val="0"/>
          <w:numId w:val="77"/>
        </w:numPr>
        <w:spacing w:before="60" w:after="60"/>
        <w:ind w:left="714" w:hanging="357"/>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ICAO demonstrates a somewhat higher degree of decentralization, with 24% of its 671 staff located outside headquarters in regional or sub-regional offices. These staff support regulatory oversight, technical cooperation, and implementation assistance to member states.</w:t>
      </w:r>
    </w:p>
    <w:p w14:paraId="038F71AA" w14:textId="08AE35E3" w:rsidR="00617FC9" w:rsidRPr="0046236F" w:rsidRDefault="00617FC9" w:rsidP="00BC7ABA">
      <w:pPr>
        <w:pStyle w:val="WMOBodyText"/>
        <w:numPr>
          <w:ilvl w:val="0"/>
          <w:numId w:val="77"/>
        </w:numPr>
        <w:spacing w:before="60" w:after="60"/>
        <w:ind w:left="714" w:hanging="357"/>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IMO’s regional footprint is significantly smaller. Of its 270 staff members, only eight staff members (approximately 2.96%) are based outside headquarters.</w:t>
      </w:r>
      <w:r w:rsidR="007C2E6D">
        <w:rPr>
          <w:rFonts w:asciiTheme="minorHAnsi" w:hAnsiTheme="minorHAnsi" w:cstheme="minorHAnsi"/>
          <w:color w:val="000000" w:themeColor="text1"/>
          <w:sz w:val="24"/>
          <w:szCs w:val="24"/>
        </w:rPr>
        <w:t xml:space="preserve"> </w:t>
      </w:r>
      <w:r w:rsidRPr="0046236F">
        <w:rPr>
          <w:rFonts w:asciiTheme="minorHAnsi" w:hAnsiTheme="minorHAnsi" w:cstheme="minorHAnsi"/>
          <w:color w:val="000000" w:themeColor="text1"/>
          <w:sz w:val="24"/>
          <w:szCs w:val="24"/>
        </w:rPr>
        <w:t>This reflects the organization’s regulatory and standard-setting role in maritime governance, where implementation is largely conducted by member states themselves.</w:t>
      </w:r>
    </w:p>
    <w:p w14:paraId="3108263B" w14:textId="77777777" w:rsidR="00617FC9" w:rsidRPr="0046236F" w:rsidRDefault="00617FC9" w:rsidP="00BC7ABA">
      <w:pPr>
        <w:pStyle w:val="WMOBodyText"/>
        <w:numPr>
          <w:ilvl w:val="0"/>
          <w:numId w:val="77"/>
        </w:numPr>
        <w:spacing w:before="60" w:after="60"/>
        <w:ind w:left="714" w:hanging="357"/>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UNIDO’s staffing structure reflects its operational development role. Approximately 21.3% of its 775 staff are based outside headquarters, working through regional and country offices that support program implementation, donor coordination, and partnership development.</w:t>
      </w:r>
    </w:p>
    <w:p w14:paraId="20AF6400" w14:textId="77777777" w:rsidR="00617FC9" w:rsidRPr="0046236F" w:rsidRDefault="00617FC9" w:rsidP="00BC7ABA">
      <w:pPr>
        <w:pStyle w:val="WMOBodyText"/>
        <w:numPr>
          <w:ilvl w:val="0"/>
          <w:numId w:val="77"/>
        </w:numPr>
        <w:spacing w:before="60" w:after="60"/>
        <w:ind w:left="714" w:hanging="357"/>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WIPO maintain predominantly headquarters-based staffing models. WIPO’s 1,232 staff are largely headquarters-based, reflecting its emphasis on global intellectual property governance and technical assistance. 1.8% of staff is based outside headquarters.</w:t>
      </w:r>
    </w:p>
    <w:p w14:paraId="039C212E" w14:textId="77777777" w:rsidR="00617FC9" w:rsidRPr="0046236F" w:rsidRDefault="00617FC9" w:rsidP="00BC7ABA">
      <w:pPr>
        <w:pStyle w:val="WMOBodyText"/>
        <w:numPr>
          <w:ilvl w:val="0"/>
          <w:numId w:val="77"/>
        </w:numPr>
        <w:spacing w:before="60" w:after="60"/>
        <w:ind w:left="714" w:hanging="357"/>
        <w:jc w:val="both"/>
        <w:rPr>
          <w:rFonts w:asciiTheme="minorHAnsi" w:hAnsiTheme="minorHAnsi" w:cstheme="minorHAnsi"/>
          <w:color w:val="000000" w:themeColor="text1"/>
          <w:sz w:val="24"/>
          <w:szCs w:val="24"/>
        </w:rPr>
      </w:pPr>
      <w:r w:rsidRPr="0046236F">
        <w:rPr>
          <w:rFonts w:asciiTheme="minorHAnsi" w:hAnsiTheme="minorHAnsi" w:cstheme="minorHAnsi"/>
          <w:color w:val="000000" w:themeColor="text1"/>
          <w:sz w:val="24"/>
          <w:szCs w:val="24"/>
        </w:rPr>
        <w:t>WMO has 295 staff members with about 18% outside Geneva, supporting regional meteorological cooperation. In comparison, ITU’s field staffing level appears relatively limited when considered against the scope of its global ICT development mandate.</w:t>
      </w:r>
    </w:p>
    <w:p w14:paraId="17B198A3" w14:textId="77777777" w:rsidR="00617FC9" w:rsidRPr="0046236F" w:rsidRDefault="00617FC9" w:rsidP="00617FC9">
      <w:pPr>
        <w:pStyle w:val="WMOBodyText"/>
        <w:rPr>
          <w:rFonts w:asciiTheme="minorHAnsi" w:hAnsiTheme="minorHAnsi" w:cstheme="minorHAnsi"/>
          <w:sz w:val="24"/>
          <w:szCs w:val="24"/>
          <w:lang w:eastAsia="en-US"/>
        </w:rPr>
        <w:sectPr w:rsidR="00617FC9" w:rsidRPr="0046236F" w:rsidSect="00B02F45">
          <w:headerReference w:type="default" r:id="rId138"/>
          <w:footerReference w:type="default" r:id="rId139"/>
          <w:footerReference w:type="first" r:id="rId140"/>
          <w:pgSz w:w="11907" w:h="16834"/>
          <w:pgMar w:top="1418" w:right="1134" w:bottom="1134" w:left="1134" w:header="720" w:footer="720" w:gutter="0"/>
          <w:paperSrc w:first="7" w:other="7"/>
          <w:cols w:space="720"/>
          <w:titlePg/>
          <w:docGrid w:linePitch="326"/>
        </w:sectPr>
      </w:pPr>
    </w:p>
    <w:p w14:paraId="13395E2A" w14:textId="77777777" w:rsidR="00617FC9" w:rsidRPr="0046236F" w:rsidRDefault="00617FC9" w:rsidP="00617FC9">
      <w:pPr>
        <w:pStyle w:val="WMOBodyText"/>
        <w:spacing w:line="276" w:lineRule="auto"/>
        <w:rPr>
          <w:rFonts w:asciiTheme="minorHAnsi" w:hAnsiTheme="minorHAnsi" w:cstheme="minorHAnsi"/>
          <w:b/>
          <w:i/>
          <w:color w:val="000000" w:themeColor="text1"/>
          <w:sz w:val="24"/>
          <w:szCs w:val="24"/>
        </w:rPr>
      </w:pPr>
      <w:r w:rsidRPr="0046236F">
        <w:rPr>
          <w:rFonts w:asciiTheme="minorHAnsi" w:hAnsiTheme="minorHAnsi" w:cstheme="minorHAnsi"/>
          <w:b/>
          <w:i/>
          <w:color w:val="000000" w:themeColor="text1"/>
          <w:sz w:val="24"/>
          <w:szCs w:val="24"/>
        </w:rPr>
        <w:lastRenderedPageBreak/>
        <w:t>Summary: Regional Presence Benchmarking (Number of Offices, Staff, regional activities, mandate and annual budget)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5"/>
        <w:gridCol w:w="1559"/>
        <w:gridCol w:w="2551"/>
        <w:gridCol w:w="2552"/>
        <w:gridCol w:w="2268"/>
        <w:gridCol w:w="3402"/>
      </w:tblGrid>
      <w:tr w:rsidR="00617FC9" w:rsidRPr="00496EC9" w14:paraId="38FB6250" w14:textId="77777777" w:rsidTr="00496EC9">
        <w:trPr>
          <w:trHeight w:val="525"/>
          <w:tblHeader/>
        </w:trPr>
        <w:tc>
          <w:tcPr>
            <w:tcW w:w="1545" w:type="dxa"/>
          </w:tcPr>
          <w:p w14:paraId="1ADE2689"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eastAsia="Bookman Old Style" w:hAnsiTheme="minorHAnsi" w:cstheme="minorHAnsi"/>
                <w:b/>
                <w:bCs/>
                <w:sz w:val="18"/>
                <w:szCs w:val="18"/>
              </w:rPr>
              <w:t>Organization</w:t>
            </w:r>
          </w:p>
        </w:tc>
        <w:tc>
          <w:tcPr>
            <w:tcW w:w="1559" w:type="dxa"/>
          </w:tcPr>
          <w:p w14:paraId="57790EDD"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eastAsia="Bookman Old Style" w:hAnsiTheme="minorHAnsi" w:cstheme="minorHAnsi"/>
                <w:b/>
                <w:bCs/>
                <w:sz w:val="18"/>
                <w:szCs w:val="18"/>
              </w:rPr>
              <w:t>Number of Offices</w:t>
            </w:r>
          </w:p>
        </w:tc>
        <w:tc>
          <w:tcPr>
            <w:tcW w:w="2551" w:type="dxa"/>
          </w:tcPr>
          <w:p w14:paraId="5A3C1DDC"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eastAsia="Bookman Old Style" w:hAnsiTheme="minorHAnsi" w:cstheme="minorHAnsi"/>
                <w:b/>
                <w:bCs/>
                <w:sz w:val="18"/>
                <w:szCs w:val="18"/>
              </w:rPr>
              <w:t xml:space="preserve">Staff Footprint </w:t>
            </w:r>
          </w:p>
        </w:tc>
        <w:tc>
          <w:tcPr>
            <w:tcW w:w="2552" w:type="dxa"/>
          </w:tcPr>
          <w:p w14:paraId="4F525823"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eastAsia="Bookman Old Style" w:hAnsiTheme="minorHAnsi" w:cstheme="minorHAnsi"/>
                <w:b/>
                <w:bCs/>
                <w:sz w:val="18"/>
                <w:szCs w:val="18"/>
              </w:rPr>
              <w:t>Activities of Regional Presence</w:t>
            </w:r>
          </w:p>
        </w:tc>
        <w:tc>
          <w:tcPr>
            <w:tcW w:w="2268" w:type="dxa"/>
          </w:tcPr>
          <w:p w14:paraId="250C210A"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eastAsia="Bookman Old Style" w:hAnsiTheme="minorHAnsi" w:cstheme="minorHAnsi"/>
                <w:b/>
                <w:bCs/>
                <w:sz w:val="18"/>
                <w:szCs w:val="18"/>
              </w:rPr>
              <w:t>Mandate / Mission</w:t>
            </w:r>
          </w:p>
        </w:tc>
        <w:tc>
          <w:tcPr>
            <w:tcW w:w="3402" w:type="dxa"/>
          </w:tcPr>
          <w:p w14:paraId="5D5C4CCE"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eastAsia="Bookman Old Style" w:hAnsiTheme="minorHAnsi" w:cstheme="minorHAnsi"/>
                <w:b/>
                <w:bCs/>
                <w:sz w:val="18"/>
                <w:szCs w:val="18"/>
              </w:rPr>
              <w:t>Yearly Budget (2026)</w:t>
            </w:r>
          </w:p>
        </w:tc>
      </w:tr>
      <w:tr w:rsidR="00617FC9" w:rsidRPr="00496EC9" w14:paraId="7E547299" w14:textId="77777777" w:rsidTr="00496EC9">
        <w:trPr>
          <w:trHeight w:val="960"/>
        </w:trPr>
        <w:tc>
          <w:tcPr>
            <w:tcW w:w="1545" w:type="dxa"/>
          </w:tcPr>
          <w:p w14:paraId="1EF76AFC"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eastAsia="Bookman Old Style" w:hAnsiTheme="minorHAnsi" w:cstheme="minorHAnsi"/>
                <w:b/>
                <w:bCs/>
                <w:sz w:val="18"/>
                <w:szCs w:val="18"/>
              </w:rPr>
              <w:t>ITU</w:t>
            </w:r>
          </w:p>
        </w:tc>
        <w:tc>
          <w:tcPr>
            <w:tcW w:w="1559" w:type="dxa"/>
          </w:tcPr>
          <w:p w14:paraId="14D009CF" w14:textId="77777777" w:rsidR="00617FC9" w:rsidRPr="00496EC9" w:rsidRDefault="00617FC9" w:rsidP="00696175">
            <w:pPr>
              <w:spacing w:before="40" w:after="40"/>
              <w:rPr>
                <w:rFonts w:asciiTheme="minorHAnsi" w:eastAsia="Bookman Old Style" w:hAnsiTheme="minorHAnsi" w:cstheme="minorHAnsi"/>
                <w:sz w:val="18"/>
                <w:szCs w:val="18"/>
                <w:vertAlign w:val="superscript"/>
              </w:rPr>
            </w:pPr>
            <w:r w:rsidRPr="00496EC9">
              <w:rPr>
                <w:rFonts w:asciiTheme="minorHAnsi" w:eastAsia="Bookman Old Style" w:hAnsiTheme="minorHAnsi" w:cstheme="minorHAnsi"/>
                <w:sz w:val="18"/>
                <w:szCs w:val="18"/>
              </w:rPr>
              <w:t>6 Regional Offices; 8 Area Offices; 1 liaison office (New York) no country offices.</w:t>
            </w:r>
            <w:r w:rsidRPr="00496EC9">
              <w:rPr>
                <w:rStyle w:val="FootnoteReference"/>
                <w:rFonts w:asciiTheme="minorHAnsi" w:eastAsia="Bookman Old Style" w:hAnsiTheme="minorHAnsi" w:cstheme="minorHAnsi"/>
                <w:szCs w:val="18"/>
              </w:rPr>
              <w:footnoteReference w:id="30"/>
            </w:r>
          </w:p>
        </w:tc>
        <w:tc>
          <w:tcPr>
            <w:tcW w:w="2551" w:type="dxa"/>
          </w:tcPr>
          <w:p w14:paraId="0C150FE3" w14:textId="77777777" w:rsidR="00617FC9" w:rsidRPr="00986D12" w:rsidRDefault="00617FC9" w:rsidP="00696175">
            <w:pPr>
              <w:spacing w:before="40" w:after="40"/>
              <w:rPr>
                <w:rFonts w:asciiTheme="minorHAnsi" w:eastAsia="Bookman Old Style" w:hAnsiTheme="minorHAnsi" w:cstheme="minorBidi"/>
                <w:sz w:val="18"/>
                <w:szCs w:val="18"/>
                <w:vertAlign w:val="superscript"/>
              </w:rPr>
            </w:pPr>
            <w:r w:rsidRPr="5C69BC08">
              <w:rPr>
                <w:rFonts w:asciiTheme="minorHAnsi" w:eastAsia="Bookman Old Style" w:hAnsiTheme="minorHAnsi" w:cstheme="minorBidi"/>
                <w:sz w:val="18"/>
                <w:szCs w:val="18"/>
              </w:rPr>
              <w:t>Headquarters (HQ): 629 (Geneva); Field: 62 (regional and area offices)</w:t>
            </w:r>
            <w:r>
              <w:rPr>
                <w:rFonts w:asciiTheme="minorHAnsi" w:eastAsia="Bookman Old Style" w:hAnsiTheme="minorHAnsi" w:cstheme="minorBidi"/>
                <w:sz w:val="18"/>
                <w:szCs w:val="18"/>
              </w:rPr>
              <w:t>.</w:t>
            </w:r>
            <w:r w:rsidRPr="5C69BC08">
              <w:rPr>
                <w:rFonts w:asciiTheme="minorHAnsi" w:eastAsia="Bookman Old Style" w:hAnsiTheme="minorHAnsi" w:cstheme="minorBidi"/>
                <w:sz w:val="18"/>
                <w:szCs w:val="18"/>
              </w:rPr>
              <w:t xml:space="preserve"> </w:t>
            </w:r>
            <w:r w:rsidRPr="5C69BC08">
              <w:rPr>
                <w:rStyle w:val="FootnoteReference"/>
                <w:rFonts w:asciiTheme="minorHAnsi" w:eastAsia="Bookman Old Style" w:hAnsiTheme="minorHAnsi" w:cstheme="minorBidi"/>
              </w:rPr>
              <w:footnoteReference w:id="31"/>
            </w:r>
          </w:p>
        </w:tc>
        <w:tc>
          <w:tcPr>
            <w:tcW w:w="2552" w:type="dxa"/>
          </w:tcPr>
          <w:p w14:paraId="1F0F2818" w14:textId="77777777" w:rsidR="00617FC9" w:rsidRPr="00496EC9" w:rsidRDefault="00617FC9" w:rsidP="00696175">
            <w:pPr>
              <w:spacing w:before="40" w:after="40"/>
              <w:rPr>
                <w:rFonts w:asciiTheme="minorHAnsi" w:eastAsia="Bookman Old Style" w:hAnsiTheme="minorHAnsi" w:cstheme="minorHAnsi"/>
                <w:sz w:val="18"/>
                <w:szCs w:val="18"/>
                <w:vertAlign w:val="superscript"/>
              </w:rPr>
            </w:pPr>
            <w:r w:rsidRPr="00496EC9">
              <w:rPr>
                <w:rFonts w:asciiTheme="minorHAnsi" w:eastAsia="Bookman Old Style" w:hAnsiTheme="minorHAnsi" w:cstheme="minorHAnsi"/>
                <w:sz w:val="18"/>
                <w:szCs w:val="18"/>
              </w:rPr>
              <w:t xml:space="preserve">Promote ITU global services; capacity building (policy, regulatory, technical); regional cooperation. </w:t>
            </w:r>
            <w:r w:rsidRPr="00496EC9">
              <w:rPr>
                <w:rStyle w:val="FootnoteReference"/>
                <w:rFonts w:asciiTheme="minorHAnsi" w:eastAsia="Bookman Old Style" w:hAnsiTheme="minorHAnsi" w:cstheme="minorHAnsi"/>
                <w:szCs w:val="18"/>
              </w:rPr>
              <w:footnoteReference w:id="32"/>
            </w:r>
          </w:p>
        </w:tc>
        <w:tc>
          <w:tcPr>
            <w:tcW w:w="2268" w:type="dxa"/>
          </w:tcPr>
          <w:p w14:paraId="2381F624" w14:textId="77777777" w:rsidR="00617FC9" w:rsidRPr="00986D12" w:rsidRDefault="00617FC9" w:rsidP="00696175">
            <w:pPr>
              <w:spacing w:before="40" w:after="40"/>
              <w:rPr>
                <w:rFonts w:asciiTheme="minorHAnsi" w:eastAsia="Bookman Old Style" w:hAnsiTheme="minorHAnsi" w:cstheme="minorBidi"/>
                <w:sz w:val="18"/>
                <w:szCs w:val="18"/>
                <w:vertAlign w:val="superscript"/>
              </w:rPr>
            </w:pPr>
            <w:r w:rsidRPr="5C69BC08">
              <w:rPr>
                <w:rFonts w:asciiTheme="minorHAnsi" w:eastAsia="Bookman Old Style" w:hAnsiTheme="minorHAnsi" w:cstheme="minorBidi"/>
                <w:sz w:val="18"/>
                <w:szCs w:val="18"/>
              </w:rPr>
              <w:t>Promote, facilitate and foster affordable and universal access to telecommunication/ICT networks</w:t>
            </w:r>
            <w:r>
              <w:rPr>
                <w:rFonts w:asciiTheme="minorHAnsi" w:eastAsia="Bookman Old Style" w:hAnsiTheme="minorHAnsi" w:cstheme="minorBidi"/>
                <w:sz w:val="18"/>
                <w:szCs w:val="18"/>
              </w:rPr>
              <w:t>.</w:t>
            </w:r>
            <w:r w:rsidRPr="5C69BC08">
              <w:rPr>
                <w:rStyle w:val="FootnoteReference"/>
                <w:rFonts w:asciiTheme="minorHAnsi" w:eastAsia="Bookman Old Style" w:hAnsiTheme="minorHAnsi" w:cstheme="minorBidi"/>
              </w:rPr>
              <w:footnoteReference w:id="33"/>
            </w:r>
          </w:p>
        </w:tc>
        <w:tc>
          <w:tcPr>
            <w:tcW w:w="3402" w:type="dxa"/>
          </w:tcPr>
          <w:p w14:paraId="4BCC7940" w14:textId="77777777" w:rsidR="00617FC9" w:rsidRPr="00496EC9" w:rsidRDefault="00617FC9" w:rsidP="00696175">
            <w:pPr>
              <w:spacing w:before="40" w:after="40"/>
              <w:rPr>
                <w:rFonts w:asciiTheme="minorHAnsi" w:eastAsia="Bookman Old Style" w:hAnsiTheme="minorHAnsi" w:cstheme="minorHAnsi"/>
                <w:sz w:val="18"/>
                <w:szCs w:val="18"/>
                <w:vertAlign w:val="superscript"/>
              </w:rPr>
            </w:pPr>
            <w:r w:rsidRPr="00496EC9">
              <w:rPr>
                <w:rFonts w:asciiTheme="minorHAnsi" w:eastAsia="Bookman Old Style" w:hAnsiTheme="minorHAnsi" w:cstheme="minorHAnsi"/>
                <w:sz w:val="18"/>
                <w:szCs w:val="18"/>
              </w:rPr>
              <w:t xml:space="preserve">CHF 160.19 million with 5% (CHF 7.84 million) for regional/area offices. </w:t>
            </w:r>
          </w:p>
        </w:tc>
      </w:tr>
      <w:tr w:rsidR="00617FC9" w:rsidRPr="00496EC9" w14:paraId="1A7CDD11" w14:textId="77777777" w:rsidTr="00496EC9">
        <w:trPr>
          <w:trHeight w:val="742"/>
        </w:trPr>
        <w:tc>
          <w:tcPr>
            <w:tcW w:w="1545" w:type="dxa"/>
          </w:tcPr>
          <w:p w14:paraId="08BD5C6F" w14:textId="77777777" w:rsidR="00617FC9" w:rsidRPr="00496EC9" w:rsidRDefault="00617FC9" w:rsidP="00696175">
            <w:pPr>
              <w:spacing w:before="40" w:after="40"/>
              <w:rPr>
                <w:rFonts w:asciiTheme="minorHAnsi" w:eastAsia="Bookman Old Style" w:hAnsiTheme="minorHAnsi" w:cstheme="minorHAnsi"/>
                <w:b/>
                <w:bCs/>
                <w:sz w:val="18"/>
                <w:szCs w:val="18"/>
              </w:rPr>
            </w:pPr>
            <w:r w:rsidRPr="00496EC9">
              <w:rPr>
                <w:rFonts w:asciiTheme="minorHAnsi" w:eastAsia="Bookman Old Style" w:hAnsiTheme="minorHAnsi" w:cstheme="minorHAnsi"/>
                <w:b/>
                <w:bCs/>
                <w:sz w:val="18"/>
                <w:szCs w:val="18"/>
              </w:rPr>
              <w:t xml:space="preserve">ICAO </w:t>
            </w:r>
          </w:p>
        </w:tc>
        <w:tc>
          <w:tcPr>
            <w:tcW w:w="1559" w:type="dxa"/>
          </w:tcPr>
          <w:p w14:paraId="638FC3BF"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eastAsia="Bookman Old Style" w:hAnsiTheme="minorHAnsi" w:cstheme="minorHAnsi"/>
                <w:sz w:val="18"/>
                <w:szCs w:val="18"/>
              </w:rPr>
              <w:t xml:space="preserve">7 Regional Offices. </w:t>
            </w:r>
            <w:r w:rsidRPr="00496EC9">
              <w:rPr>
                <w:rStyle w:val="FootnoteReference"/>
                <w:rFonts w:asciiTheme="minorHAnsi" w:eastAsia="Bookman Old Style" w:hAnsiTheme="minorHAnsi" w:cstheme="minorHAnsi"/>
                <w:szCs w:val="18"/>
              </w:rPr>
              <w:footnoteReference w:id="34"/>
            </w:r>
          </w:p>
        </w:tc>
        <w:tc>
          <w:tcPr>
            <w:tcW w:w="2551" w:type="dxa"/>
          </w:tcPr>
          <w:p w14:paraId="1D5563C9" w14:textId="77777777" w:rsidR="00617FC9" w:rsidRPr="00496EC9" w:rsidRDefault="00617FC9" w:rsidP="00696175">
            <w:pPr>
              <w:spacing w:before="40" w:after="40"/>
              <w:rPr>
                <w:rFonts w:asciiTheme="minorHAnsi" w:hAnsiTheme="minorHAnsi" w:cstheme="minorHAnsi"/>
                <w:sz w:val="18"/>
                <w:szCs w:val="18"/>
              </w:rPr>
            </w:pPr>
            <w:r w:rsidRPr="00496EC9">
              <w:rPr>
                <w:rFonts w:asciiTheme="minorHAnsi" w:hAnsiTheme="minorHAnsi" w:cstheme="minorHAnsi"/>
                <w:sz w:val="18"/>
                <w:szCs w:val="18"/>
                <w:lang w:val="en-CA"/>
              </w:rPr>
              <w:t xml:space="preserve">The total number of staff 671, and the percentage of staff based outside HQ 24% (i.e., those in the regional and/or sub-regional offices) We do not have country offices. We do have project field offices in countries, but they are resourced with consultants as field personnel, not staff. </w:t>
            </w:r>
          </w:p>
        </w:tc>
        <w:tc>
          <w:tcPr>
            <w:tcW w:w="2552" w:type="dxa"/>
          </w:tcPr>
          <w:p w14:paraId="6FE1D0FC"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eastAsia="Bookman Old Style" w:hAnsiTheme="minorHAnsi" w:cstheme="minorHAnsi"/>
                <w:sz w:val="18"/>
                <w:szCs w:val="18"/>
              </w:rPr>
              <w:t xml:space="preserve">Aviation safety oversight; regional air navigation planning; implementation support. </w:t>
            </w:r>
            <w:r w:rsidRPr="00496EC9">
              <w:rPr>
                <w:rStyle w:val="FootnoteReference"/>
                <w:rFonts w:asciiTheme="minorHAnsi" w:eastAsia="Bookman Old Style" w:hAnsiTheme="minorHAnsi" w:cstheme="minorHAnsi"/>
                <w:szCs w:val="18"/>
              </w:rPr>
              <w:footnoteReference w:id="35"/>
            </w:r>
          </w:p>
        </w:tc>
        <w:tc>
          <w:tcPr>
            <w:tcW w:w="2268" w:type="dxa"/>
          </w:tcPr>
          <w:p w14:paraId="451B51E0"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eastAsia="Bookman Old Style" w:hAnsiTheme="minorHAnsi" w:cstheme="minorHAnsi"/>
                <w:sz w:val="18"/>
                <w:szCs w:val="18"/>
              </w:rPr>
              <w:t xml:space="preserve">Develop principles and techniques of international air navigation. </w:t>
            </w:r>
          </w:p>
        </w:tc>
        <w:tc>
          <w:tcPr>
            <w:tcW w:w="3402" w:type="dxa"/>
          </w:tcPr>
          <w:p w14:paraId="3C837719" w14:textId="4A4BD360" w:rsidR="00617FC9" w:rsidRPr="003713C3" w:rsidRDefault="00617FC9" w:rsidP="003713C3">
            <w:pPr>
              <w:spacing w:before="40" w:after="40"/>
              <w:rPr>
                <w:rFonts w:asciiTheme="minorHAnsi" w:hAnsiTheme="minorHAnsi" w:cstheme="minorHAnsi"/>
                <w:sz w:val="18"/>
                <w:szCs w:val="18"/>
                <w:lang w:val="en-CA"/>
              </w:rPr>
            </w:pPr>
            <w:r w:rsidRPr="00496EC9">
              <w:rPr>
                <w:rFonts w:asciiTheme="minorHAnsi" w:hAnsiTheme="minorHAnsi" w:cstheme="minorHAnsi"/>
                <w:sz w:val="18"/>
                <w:szCs w:val="18"/>
                <w:lang w:val="en-CA"/>
              </w:rPr>
              <w:t>The total budget of the organisation 2026: CAD 120 million (CHF 68.68 million), and the percentage allocated to offices outside HQ: 21%.</w:t>
            </w:r>
          </w:p>
        </w:tc>
      </w:tr>
      <w:tr w:rsidR="00617FC9" w:rsidRPr="00496EC9" w14:paraId="46ACAF55" w14:textId="77777777" w:rsidTr="00496EC9">
        <w:trPr>
          <w:trHeight w:val="3785"/>
        </w:trPr>
        <w:tc>
          <w:tcPr>
            <w:tcW w:w="1545" w:type="dxa"/>
          </w:tcPr>
          <w:p w14:paraId="433986A1" w14:textId="77777777" w:rsidR="00617FC9" w:rsidRPr="00496EC9" w:rsidRDefault="00617FC9" w:rsidP="00696175">
            <w:pPr>
              <w:spacing w:before="40" w:after="40"/>
              <w:rPr>
                <w:rFonts w:asciiTheme="minorHAnsi" w:eastAsia="Bookman Old Style" w:hAnsiTheme="minorHAnsi" w:cstheme="minorHAnsi"/>
                <w:b/>
                <w:bCs/>
                <w:sz w:val="18"/>
                <w:szCs w:val="18"/>
              </w:rPr>
            </w:pPr>
            <w:r w:rsidRPr="00496EC9">
              <w:rPr>
                <w:rFonts w:asciiTheme="minorHAnsi" w:eastAsia="Bookman Old Style" w:hAnsiTheme="minorHAnsi" w:cstheme="minorHAnsi"/>
                <w:b/>
                <w:bCs/>
                <w:sz w:val="18"/>
                <w:szCs w:val="18"/>
              </w:rPr>
              <w:lastRenderedPageBreak/>
              <w:t xml:space="preserve">IMO </w:t>
            </w:r>
          </w:p>
        </w:tc>
        <w:tc>
          <w:tcPr>
            <w:tcW w:w="1559" w:type="dxa"/>
          </w:tcPr>
          <w:p w14:paraId="2E0FF7F3" w14:textId="567BB6BE" w:rsidR="00617FC9" w:rsidRPr="00496EC9" w:rsidRDefault="00617FC9" w:rsidP="00137F28">
            <w:pPr>
              <w:spacing w:before="40" w:after="40"/>
              <w:rPr>
                <w:rFonts w:asciiTheme="minorHAnsi" w:eastAsia="Bookman Old Style" w:hAnsiTheme="minorHAnsi" w:cstheme="minorHAnsi"/>
                <w:sz w:val="18"/>
                <w:szCs w:val="18"/>
              </w:rPr>
            </w:pPr>
            <w:r w:rsidRPr="00496EC9">
              <w:rPr>
                <w:rFonts w:asciiTheme="minorHAnsi" w:eastAsia="Bookman Old Style" w:hAnsiTheme="minorHAnsi" w:cstheme="minorHAnsi"/>
                <w:sz w:val="18"/>
                <w:szCs w:val="18"/>
              </w:rPr>
              <w:t>6 Regional Coordinators based in Abidjan, Accra, Nairobi, Alexandria, Manila, and Port of Spain and a Technical Cooperation Officer in Suva (Fiji).</w:t>
            </w:r>
          </w:p>
        </w:tc>
        <w:tc>
          <w:tcPr>
            <w:tcW w:w="2551" w:type="dxa"/>
          </w:tcPr>
          <w:p w14:paraId="35A7E963"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hAnsiTheme="minorHAnsi" w:cstheme="minorHAnsi"/>
                <w:sz w:val="18"/>
                <w:szCs w:val="18"/>
              </w:rPr>
              <w:t>Total number of staff (general budget not counting any project staff): 270 staff members / staff based outside of IMO HQ: 8 staff members: 2.96%.</w:t>
            </w:r>
          </w:p>
        </w:tc>
        <w:tc>
          <w:tcPr>
            <w:tcW w:w="2552" w:type="dxa"/>
          </w:tcPr>
          <w:p w14:paraId="05B15914" w14:textId="77777777" w:rsidR="00617FC9" w:rsidRPr="00496EC9" w:rsidRDefault="00617FC9" w:rsidP="00696175">
            <w:pPr>
              <w:spacing w:before="40" w:after="40"/>
              <w:rPr>
                <w:rFonts w:asciiTheme="minorHAnsi" w:hAnsiTheme="minorHAnsi" w:cstheme="minorHAnsi"/>
                <w:sz w:val="18"/>
                <w:szCs w:val="18"/>
              </w:rPr>
            </w:pPr>
            <w:r w:rsidRPr="00496EC9">
              <w:rPr>
                <w:rFonts w:asciiTheme="minorHAnsi" w:hAnsiTheme="minorHAnsi" w:cstheme="minorHAnsi"/>
                <w:sz w:val="18"/>
                <w:szCs w:val="18"/>
              </w:rPr>
              <w:t>Technical cooperation &amp; capacity building; assist countries in adopting and enforcing IMO conventions and regulations; identify, establish, and maintain partnerships with regional governmental and non-governmental institutions; help Member States develop national maritime policies and update Country Maritime Profiles (CMPs); represent the IMO at regional and national meetings, often in collaboration with UN country teams.</w:t>
            </w:r>
          </w:p>
        </w:tc>
        <w:tc>
          <w:tcPr>
            <w:tcW w:w="2268" w:type="dxa"/>
          </w:tcPr>
          <w:p w14:paraId="7FB30D22"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eastAsia="Bookman Old Style" w:hAnsiTheme="minorHAnsi" w:cstheme="minorHAnsi"/>
                <w:sz w:val="18"/>
                <w:szCs w:val="18"/>
              </w:rPr>
              <w:t>To provide localized, on-the-ground support to Member States in implementing IMO’s global maritime standards, with a specific focus on safety, security, and environmental protection.</w:t>
            </w:r>
          </w:p>
        </w:tc>
        <w:tc>
          <w:tcPr>
            <w:tcW w:w="3402" w:type="dxa"/>
          </w:tcPr>
          <w:p w14:paraId="130BCC63" w14:textId="77777777" w:rsidR="00617FC9" w:rsidRPr="00496EC9" w:rsidRDefault="00617FC9" w:rsidP="00696175">
            <w:pPr>
              <w:spacing w:before="40" w:after="40"/>
              <w:rPr>
                <w:rFonts w:asciiTheme="minorHAnsi" w:hAnsiTheme="minorHAnsi" w:cstheme="minorHAnsi"/>
                <w:sz w:val="18"/>
                <w:szCs w:val="18"/>
              </w:rPr>
            </w:pPr>
            <w:r w:rsidRPr="00496EC9">
              <w:rPr>
                <w:rFonts w:asciiTheme="minorHAnsi" w:hAnsiTheme="minorHAnsi" w:cstheme="minorHAnsi"/>
                <w:sz w:val="18"/>
                <w:szCs w:val="18"/>
              </w:rPr>
              <w:t>Overall annual IMO budget (general budget only): £ 38 million (CHF 39.66 million); budget allocated to offices outside of IMO HQ: £ 1.23 million (CHF 1.28 million): 3.24%.</w:t>
            </w:r>
          </w:p>
        </w:tc>
      </w:tr>
      <w:tr w:rsidR="00617FC9" w:rsidRPr="00496EC9" w14:paraId="52B1F602" w14:textId="77777777" w:rsidTr="00496EC9">
        <w:trPr>
          <w:trHeight w:val="600"/>
        </w:trPr>
        <w:tc>
          <w:tcPr>
            <w:tcW w:w="1545" w:type="dxa"/>
          </w:tcPr>
          <w:p w14:paraId="69CF20A6" w14:textId="77777777" w:rsidR="00617FC9" w:rsidRPr="00496EC9" w:rsidRDefault="00617FC9" w:rsidP="00696175">
            <w:pPr>
              <w:spacing w:before="40" w:after="40"/>
              <w:rPr>
                <w:rFonts w:asciiTheme="minorHAnsi" w:eastAsia="Bookman Old Style" w:hAnsiTheme="minorHAnsi" w:cstheme="minorHAnsi"/>
                <w:b/>
                <w:bCs/>
                <w:sz w:val="18"/>
                <w:szCs w:val="18"/>
              </w:rPr>
            </w:pPr>
            <w:r w:rsidRPr="00496EC9">
              <w:rPr>
                <w:rFonts w:asciiTheme="minorHAnsi" w:hAnsiTheme="minorHAnsi" w:cstheme="minorHAnsi"/>
                <w:b/>
                <w:bCs/>
                <w:sz w:val="18"/>
                <w:szCs w:val="18"/>
              </w:rPr>
              <w:t>UNIDO</w:t>
            </w:r>
            <w:r w:rsidRPr="00496EC9">
              <w:rPr>
                <w:rFonts w:asciiTheme="minorHAnsi" w:hAnsiTheme="minorHAnsi" w:cstheme="minorHAnsi"/>
                <w:sz w:val="18"/>
                <w:szCs w:val="18"/>
              </w:rPr>
              <w:t> </w:t>
            </w:r>
          </w:p>
        </w:tc>
        <w:tc>
          <w:tcPr>
            <w:tcW w:w="1559" w:type="dxa"/>
          </w:tcPr>
          <w:p w14:paraId="4A24792A"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hAnsiTheme="minorHAnsi" w:cstheme="minorHAnsi"/>
                <w:sz w:val="18"/>
                <w:szCs w:val="18"/>
              </w:rPr>
              <w:t>49 regional/country offices; 3 liaison offices (Geneva, New York, Brussels); 9 ITPO (investment &amp; technology promotion offices).</w:t>
            </w:r>
            <w:r w:rsidRPr="00496EC9">
              <w:rPr>
                <w:rFonts w:asciiTheme="minorHAnsi" w:hAnsiTheme="minorHAnsi" w:cstheme="minorHAnsi"/>
                <w:sz w:val="18"/>
                <w:szCs w:val="18"/>
                <w:vertAlign w:val="superscript"/>
              </w:rPr>
              <w:t>11</w:t>
            </w:r>
            <w:r w:rsidRPr="00496EC9">
              <w:rPr>
                <w:rFonts w:asciiTheme="minorHAnsi" w:hAnsiTheme="minorHAnsi" w:cstheme="minorHAnsi"/>
                <w:sz w:val="18"/>
                <w:szCs w:val="18"/>
              </w:rPr>
              <w:t> </w:t>
            </w:r>
          </w:p>
        </w:tc>
        <w:tc>
          <w:tcPr>
            <w:tcW w:w="2551" w:type="dxa"/>
          </w:tcPr>
          <w:p w14:paraId="74491992"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hAnsiTheme="minorHAnsi" w:cstheme="minorHAnsi"/>
                <w:sz w:val="18"/>
                <w:szCs w:val="18"/>
                <w:lang w:val="en-US"/>
              </w:rPr>
              <w:t>UNIDO’s total number of staff is 775 and 21.3% of staff are based outside HQ (those in the regional and/or sub-regional offices).</w:t>
            </w:r>
            <w:r w:rsidRPr="00496EC9">
              <w:rPr>
                <w:rFonts w:asciiTheme="minorHAnsi" w:hAnsiTheme="minorHAnsi" w:cstheme="minorHAnsi"/>
                <w:sz w:val="18"/>
                <w:szCs w:val="18"/>
              </w:rPr>
              <w:t> </w:t>
            </w:r>
          </w:p>
        </w:tc>
        <w:tc>
          <w:tcPr>
            <w:tcW w:w="2552" w:type="dxa"/>
          </w:tcPr>
          <w:p w14:paraId="3366E3A9" w14:textId="7597133A"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hAnsiTheme="minorHAnsi" w:cstheme="minorHAnsi"/>
                <w:sz w:val="18"/>
                <w:szCs w:val="18"/>
              </w:rPr>
              <w:t>Representing UNIDO in their host countries and promoting the UNIDO as an effective partner for development; identifying national development and donor funding priorities in the countries and regions of coverage; coordinating and reporting on UNIDO activities in their countries of coverage and providing inputs into the development of regional strategies and policies.</w:t>
            </w:r>
            <w:r w:rsidRPr="00496EC9">
              <w:rPr>
                <w:rFonts w:asciiTheme="minorHAnsi" w:hAnsiTheme="minorHAnsi" w:cstheme="minorHAnsi"/>
                <w:sz w:val="18"/>
                <w:szCs w:val="18"/>
                <w:vertAlign w:val="superscript"/>
              </w:rPr>
              <w:t>12</w:t>
            </w:r>
          </w:p>
        </w:tc>
        <w:tc>
          <w:tcPr>
            <w:tcW w:w="2268" w:type="dxa"/>
          </w:tcPr>
          <w:p w14:paraId="0D389A59" w14:textId="0E0C2193"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hAnsiTheme="minorHAnsi" w:cstheme="minorHAnsi"/>
                <w:sz w:val="18"/>
                <w:szCs w:val="18"/>
              </w:rPr>
              <w:t>To promote and accelerate Inclusive and Sustainable Industrial Development (ISID) in developing countries and economies in transition.</w:t>
            </w:r>
          </w:p>
        </w:tc>
        <w:tc>
          <w:tcPr>
            <w:tcW w:w="3402" w:type="dxa"/>
          </w:tcPr>
          <w:p w14:paraId="6103326A" w14:textId="3944E999" w:rsidR="00617FC9" w:rsidRPr="00986D12" w:rsidRDefault="00617FC9" w:rsidP="00496EC9">
            <w:pPr>
              <w:rPr>
                <w:rFonts w:asciiTheme="minorHAnsi" w:eastAsia="Bookman Old Style" w:hAnsiTheme="minorHAnsi" w:cstheme="minorHAnsi"/>
                <w:sz w:val="18"/>
                <w:szCs w:val="18"/>
              </w:rPr>
            </w:pPr>
            <w:r w:rsidRPr="00496EC9">
              <w:rPr>
                <w:rFonts w:asciiTheme="minorHAnsi" w:hAnsiTheme="minorHAnsi" w:cstheme="minorHAnsi"/>
                <w:sz w:val="18"/>
                <w:szCs w:val="18"/>
                <w:lang w:val="en-US"/>
              </w:rPr>
              <w:t>With regards to the budget, while we don’t have the specific breakdown of the percent allocated to offices outside HQ, under our 2026-2027 regular and operational budget (excluding TC delivery) “Outcome 1.C – Field operations, partnership, fundraising and United Nations coordination”,  UNIDO allocated a total of €62.8 million </w:t>
            </w:r>
            <w:r w:rsidRPr="00496EC9">
              <w:rPr>
                <w:rFonts w:asciiTheme="minorHAnsi" w:hAnsiTheme="minorHAnsi" w:cstheme="minorHAnsi"/>
                <w:sz w:val="18"/>
                <w:szCs w:val="18"/>
              </w:rPr>
              <w:t>(CHF 56.69 million), </w:t>
            </w:r>
            <w:r w:rsidRPr="00496EC9">
              <w:rPr>
                <w:rFonts w:asciiTheme="minorHAnsi" w:hAnsiTheme="minorHAnsi" w:cstheme="minorHAnsi"/>
                <w:sz w:val="18"/>
                <w:szCs w:val="18"/>
                <w:lang w:val="en-US"/>
              </w:rPr>
              <w:t>representing approximately 27% of the overall level of the gross regular and operational budget of €233.9 million </w:t>
            </w:r>
            <w:r w:rsidRPr="00496EC9">
              <w:rPr>
                <w:rFonts w:asciiTheme="minorHAnsi" w:hAnsiTheme="minorHAnsi" w:cstheme="minorHAnsi"/>
                <w:sz w:val="18"/>
                <w:szCs w:val="18"/>
              </w:rPr>
              <w:t>(CHF 211.18 million). </w:t>
            </w:r>
          </w:p>
        </w:tc>
      </w:tr>
      <w:tr w:rsidR="00617FC9" w:rsidRPr="00496EC9" w14:paraId="7311E5B2" w14:textId="77777777" w:rsidTr="00496EC9">
        <w:trPr>
          <w:trHeight w:val="600"/>
        </w:trPr>
        <w:tc>
          <w:tcPr>
            <w:tcW w:w="1545" w:type="dxa"/>
          </w:tcPr>
          <w:p w14:paraId="10377AFA"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eastAsia="Bookman Old Style" w:hAnsiTheme="minorHAnsi" w:cstheme="minorHAnsi"/>
                <w:b/>
                <w:bCs/>
                <w:sz w:val="18"/>
                <w:szCs w:val="18"/>
              </w:rPr>
              <w:lastRenderedPageBreak/>
              <w:t>WIPO</w:t>
            </w:r>
          </w:p>
        </w:tc>
        <w:tc>
          <w:tcPr>
            <w:tcW w:w="1559" w:type="dxa"/>
          </w:tcPr>
          <w:p w14:paraId="3B7590E7" w14:textId="77777777" w:rsidR="00617FC9" w:rsidRPr="00496EC9" w:rsidRDefault="00617FC9" w:rsidP="00696175">
            <w:pPr>
              <w:spacing w:before="40" w:after="40"/>
              <w:rPr>
                <w:rFonts w:asciiTheme="minorHAnsi" w:eastAsia="Bookman Old Style" w:hAnsiTheme="minorHAnsi" w:cstheme="minorHAnsi"/>
                <w:sz w:val="18"/>
                <w:szCs w:val="18"/>
                <w:vertAlign w:val="superscript"/>
              </w:rPr>
            </w:pPr>
            <w:r w:rsidRPr="00496EC9">
              <w:rPr>
                <w:rFonts w:asciiTheme="minorHAnsi" w:eastAsia="Bookman Old Style" w:hAnsiTheme="minorHAnsi" w:cstheme="minorHAnsi"/>
                <w:sz w:val="18"/>
                <w:szCs w:val="18"/>
              </w:rPr>
              <w:t xml:space="preserve">7 External Offices; no country offices. </w:t>
            </w:r>
            <w:r w:rsidRPr="00496EC9">
              <w:rPr>
                <w:rStyle w:val="FootnoteReference"/>
                <w:rFonts w:asciiTheme="minorHAnsi" w:eastAsia="Bookman Old Style" w:hAnsiTheme="minorHAnsi" w:cstheme="minorHAnsi"/>
                <w:szCs w:val="18"/>
              </w:rPr>
              <w:footnoteReference w:id="36"/>
            </w:r>
          </w:p>
        </w:tc>
        <w:tc>
          <w:tcPr>
            <w:tcW w:w="2551" w:type="dxa"/>
          </w:tcPr>
          <w:p w14:paraId="2844BDB8" w14:textId="61EF49F7" w:rsidR="00617FC9" w:rsidRPr="00496EC9" w:rsidRDefault="00617FC9" w:rsidP="00696175">
            <w:pPr>
              <w:spacing w:before="40" w:after="40"/>
              <w:rPr>
                <w:rFonts w:asciiTheme="minorHAnsi" w:eastAsia="Bookman Old Style" w:hAnsiTheme="minorHAnsi" w:cstheme="minorHAnsi"/>
                <w:sz w:val="18"/>
                <w:szCs w:val="18"/>
                <w:vertAlign w:val="superscript"/>
              </w:rPr>
            </w:pPr>
            <w:r w:rsidRPr="00496EC9">
              <w:rPr>
                <w:rFonts w:asciiTheme="minorHAnsi" w:eastAsia="Bookman Old Style" w:hAnsiTheme="minorHAnsi" w:cstheme="minorHAnsi"/>
                <w:sz w:val="18"/>
                <w:szCs w:val="18"/>
              </w:rPr>
              <w:t>Total of 1,232staff with 1.8% based outside HQ.</w:t>
            </w:r>
          </w:p>
        </w:tc>
        <w:tc>
          <w:tcPr>
            <w:tcW w:w="2552" w:type="dxa"/>
          </w:tcPr>
          <w:p w14:paraId="702F007A"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eastAsia="Bookman Old Style" w:hAnsiTheme="minorHAnsi" w:cstheme="minorHAnsi"/>
                <w:sz w:val="18"/>
                <w:szCs w:val="18"/>
              </w:rPr>
              <w:t xml:space="preserve">IP technical </w:t>
            </w:r>
          </w:p>
          <w:p w14:paraId="563230D8"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eastAsia="Bookman Old Style" w:hAnsiTheme="minorHAnsi" w:cstheme="minorHAnsi"/>
                <w:sz w:val="18"/>
                <w:szCs w:val="18"/>
              </w:rPr>
              <w:t>assistance and capacity-building support.</w:t>
            </w:r>
            <w:r w:rsidRPr="00496EC9">
              <w:rPr>
                <w:rStyle w:val="FootnoteReference"/>
                <w:rFonts w:asciiTheme="minorHAnsi" w:eastAsia="Bookman Old Style" w:hAnsiTheme="minorHAnsi" w:cstheme="minorHAnsi"/>
                <w:szCs w:val="18"/>
              </w:rPr>
              <w:footnoteReference w:id="37"/>
            </w:r>
          </w:p>
        </w:tc>
        <w:tc>
          <w:tcPr>
            <w:tcW w:w="2268" w:type="dxa"/>
          </w:tcPr>
          <w:p w14:paraId="5E88B74B" w14:textId="77777777" w:rsidR="00617FC9" w:rsidRPr="00496EC9" w:rsidRDefault="00617FC9" w:rsidP="00696175">
            <w:pPr>
              <w:spacing w:before="40" w:after="40"/>
              <w:rPr>
                <w:rFonts w:asciiTheme="minorHAnsi" w:eastAsia="Bookman Old Style" w:hAnsiTheme="minorHAnsi" w:cstheme="minorHAnsi"/>
                <w:sz w:val="18"/>
                <w:szCs w:val="18"/>
                <w:vertAlign w:val="superscript"/>
              </w:rPr>
            </w:pPr>
            <w:r w:rsidRPr="00496EC9">
              <w:rPr>
                <w:rFonts w:asciiTheme="minorHAnsi" w:eastAsia="Bookman Old Style" w:hAnsiTheme="minorHAnsi" w:cstheme="minorHAnsi"/>
                <w:sz w:val="18"/>
                <w:szCs w:val="18"/>
              </w:rPr>
              <w:t>WIPO Convention (Art. 3): promote IP protection worldwide.</w:t>
            </w:r>
            <w:r w:rsidRPr="00496EC9">
              <w:rPr>
                <w:rStyle w:val="FootnoteReference"/>
                <w:rFonts w:asciiTheme="minorHAnsi" w:eastAsia="Bookman Old Style" w:hAnsiTheme="minorHAnsi" w:cstheme="minorHAnsi"/>
                <w:szCs w:val="18"/>
              </w:rPr>
              <w:footnoteReference w:id="38"/>
            </w:r>
          </w:p>
        </w:tc>
        <w:tc>
          <w:tcPr>
            <w:tcW w:w="3402" w:type="dxa"/>
          </w:tcPr>
          <w:p w14:paraId="3DEC9682" w14:textId="77777777" w:rsidR="00617FC9" w:rsidRPr="00496EC9" w:rsidRDefault="00617FC9" w:rsidP="00696175">
            <w:pPr>
              <w:spacing w:before="40" w:after="40"/>
              <w:rPr>
                <w:rFonts w:asciiTheme="minorHAnsi" w:eastAsia="Bookman Old Style" w:hAnsiTheme="minorHAnsi" w:cstheme="minorHAnsi"/>
                <w:sz w:val="18"/>
                <w:szCs w:val="18"/>
                <w:vertAlign w:val="superscript"/>
              </w:rPr>
            </w:pPr>
            <w:r w:rsidRPr="00496EC9">
              <w:rPr>
                <w:rFonts w:asciiTheme="minorHAnsi" w:eastAsia="Bookman Old Style" w:hAnsiTheme="minorHAnsi" w:cstheme="minorHAnsi"/>
                <w:sz w:val="18"/>
                <w:szCs w:val="18"/>
              </w:rPr>
              <w:t xml:space="preserve">Total budget is CHF </w:t>
            </w:r>
          </w:p>
          <w:p w14:paraId="3856C009" w14:textId="77777777" w:rsidR="00617FC9" w:rsidRPr="00496EC9" w:rsidRDefault="00617FC9" w:rsidP="00696175">
            <w:pPr>
              <w:spacing w:before="40" w:after="40"/>
              <w:rPr>
                <w:rFonts w:asciiTheme="minorHAnsi" w:eastAsia="Bookman Old Style" w:hAnsiTheme="minorHAnsi" w:cstheme="minorHAnsi"/>
                <w:sz w:val="18"/>
                <w:szCs w:val="18"/>
                <w:vertAlign w:val="superscript"/>
              </w:rPr>
            </w:pPr>
            <w:r w:rsidRPr="00496EC9">
              <w:rPr>
                <w:rFonts w:asciiTheme="minorHAnsi" w:eastAsia="Bookman Old Style" w:hAnsiTheme="minorHAnsi" w:cstheme="minorHAnsi"/>
                <w:sz w:val="18"/>
                <w:szCs w:val="18"/>
              </w:rPr>
              <w:t>885 million with 1% allocated to offices outside HQ.</w:t>
            </w:r>
          </w:p>
        </w:tc>
      </w:tr>
      <w:tr w:rsidR="00617FC9" w:rsidRPr="00496EC9" w14:paraId="38683B3D" w14:textId="77777777" w:rsidTr="00496EC9">
        <w:trPr>
          <w:trHeight w:val="1245"/>
        </w:trPr>
        <w:tc>
          <w:tcPr>
            <w:tcW w:w="1545" w:type="dxa"/>
          </w:tcPr>
          <w:p w14:paraId="10A5C1FF"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eastAsia="Bookman Old Style" w:hAnsiTheme="minorHAnsi" w:cstheme="minorHAnsi"/>
                <w:b/>
                <w:bCs/>
                <w:sz w:val="18"/>
                <w:szCs w:val="18"/>
              </w:rPr>
              <w:t>WMO</w:t>
            </w:r>
          </w:p>
        </w:tc>
        <w:tc>
          <w:tcPr>
            <w:tcW w:w="1559" w:type="dxa"/>
          </w:tcPr>
          <w:p w14:paraId="42100F81" w14:textId="77777777" w:rsidR="00617FC9" w:rsidRPr="00496EC9" w:rsidRDefault="00617FC9" w:rsidP="00696175">
            <w:pPr>
              <w:spacing w:before="40" w:after="40"/>
              <w:rPr>
                <w:rFonts w:asciiTheme="minorHAnsi" w:eastAsia="Bookman Old Style" w:hAnsiTheme="minorHAnsi" w:cstheme="minorHAnsi"/>
                <w:sz w:val="18"/>
                <w:szCs w:val="18"/>
                <w:vertAlign w:val="superscript"/>
              </w:rPr>
            </w:pPr>
            <w:r w:rsidRPr="00496EC9">
              <w:rPr>
                <w:rFonts w:asciiTheme="minorHAnsi" w:eastAsia="Bookman Old Style" w:hAnsiTheme="minorHAnsi" w:cstheme="minorHAnsi"/>
                <w:sz w:val="18"/>
                <w:szCs w:val="18"/>
              </w:rPr>
              <w:t>6 Regional Associations</w:t>
            </w:r>
            <w:r w:rsidRPr="00496EC9">
              <w:rPr>
                <w:rStyle w:val="FootnoteReference"/>
                <w:rFonts w:asciiTheme="minorHAnsi" w:eastAsia="Bookman Old Style" w:hAnsiTheme="minorHAnsi" w:cstheme="minorHAnsi"/>
                <w:szCs w:val="18"/>
              </w:rPr>
              <w:footnoteReference w:id="39"/>
            </w:r>
            <w:r w:rsidRPr="00496EC9">
              <w:rPr>
                <w:rFonts w:asciiTheme="minorHAnsi" w:eastAsia="Bookman Old Style" w:hAnsiTheme="minorHAnsi" w:cstheme="minorHAnsi"/>
                <w:sz w:val="18"/>
                <w:szCs w:val="18"/>
              </w:rPr>
              <w:t xml:space="preserve">; and Representative Offices. </w:t>
            </w:r>
          </w:p>
        </w:tc>
        <w:tc>
          <w:tcPr>
            <w:tcW w:w="2551" w:type="dxa"/>
          </w:tcPr>
          <w:p w14:paraId="281BDF66" w14:textId="4901271F" w:rsidR="00617FC9" w:rsidRPr="00496EC9" w:rsidRDefault="00617FC9" w:rsidP="00137F28">
            <w:pPr>
              <w:spacing w:before="40" w:after="40"/>
              <w:rPr>
                <w:rFonts w:asciiTheme="minorHAnsi" w:hAnsiTheme="minorHAnsi" w:cstheme="minorHAnsi"/>
                <w:sz w:val="18"/>
                <w:szCs w:val="18"/>
              </w:rPr>
            </w:pPr>
            <w:r w:rsidRPr="00496EC9">
              <w:rPr>
                <w:rFonts w:asciiTheme="minorHAnsi" w:hAnsiTheme="minorHAnsi" w:cstheme="minorHAnsi"/>
                <w:sz w:val="18"/>
                <w:szCs w:val="18"/>
              </w:rPr>
              <w:t>The total staff number of staff is 295, of which 18% are outside of Geneva.</w:t>
            </w:r>
          </w:p>
        </w:tc>
        <w:tc>
          <w:tcPr>
            <w:tcW w:w="2552" w:type="dxa"/>
          </w:tcPr>
          <w:p w14:paraId="50561DF3" w14:textId="77777777" w:rsidR="00617FC9" w:rsidRPr="00496EC9" w:rsidRDefault="00617FC9" w:rsidP="00696175">
            <w:pPr>
              <w:spacing w:before="40" w:after="40"/>
              <w:rPr>
                <w:rFonts w:asciiTheme="minorHAnsi" w:eastAsia="Bookman Old Style" w:hAnsiTheme="minorHAnsi" w:cstheme="minorHAnsi"/>
                <w:sz w:val="18"/>
                <w:szCs w:val="18"/>
                <w:vertAlign w:val="superscript"/>
              </w:rPr>
            </w:pPr>
            <w:r w:rsidRPr="00496EC9">
              <w:rPr>
                <w:rFonts w:asciiTheme="minorHAnsi" w:eastAsia="Bookman Old Style" w:hAnsiTheme="minorHAnsi" w:cstheme="minorHAnsi"/>
                <w:sz w:val="18"/>
                <w:szCs w:val="18"/>
              </w:rPr>
              <w:t>Regional meteorological coordination; climate &amp; early warning systems.</w:t>
            </w:r>
            <w:r w:rsidRPr="00496EC9">
              <w:rPr>
                <w:rStyle w:val="FootnoteReference"/>
                <w:rFonts w:asciiTheme="minorHAnsi" w:eastAsia="Bookman Old Style" w:hAnsiTheme="minorHAnsi" w:cstheme="minorHAnsi"/>
                <w:szCs w:val="18"/>
              </w:rPr>
              <w:footnoteReference w:id="40"/>
            </w:r>
          </w:p>
        </w:tc>
        <w:tc>
          <w:tcPr>
            <w:tcW w:w="2268" w:type="dxa"/>
          </w:tcPr>
          <w:p w14:paraId="12C7E193" w14:textId="77777777" w:rsidR="00617FC9" w:rsidRPr="00496EC9" w:rsidRDefault="00617FC9" w:rsidP="00696175">
            <w:pPr>
              <w:spacing w:before="40" w:after="40"/>
              <w:rPr>
                <w:rStyle w:val="EndnoteReference"/>
                <w:rFonts w:asciiTheme="minorHAnsi" w:eastAsia="Bookman Old Style" w:hAnsiTheme="minorHAnsi" w:cstheme="minorHAnsi"/>
                <w:sz w:val="18"/>
                <w:szCs w:val="18"/>
              </w:rPr>
            </w:pPr>
            <w:r w:rsidRPr="00496EC9">
              <w:rPr>
                <w:rFonts w:asciiTheme="minorHAnsi" w:eastAsia="Bookman Old Style" w:hAnsiTheme="minorHAnsi" w:cstheme="minorHAnsi"/>
                <w:sz w:val="18"/>
                <w:szCs w:val="18"/>
              </w:rPr>
              <w:t>Facilitate worldwide cooperation in meteorology, climatology &amp; hydrology.</w:t>
            </w:r>
            <w:r w:rsidRPr="00496EC9">
              <w:rPr>
                <w:rStyle w:val="FootnoteReference"/>
                <w:rFonts w:asciiTheme="minorHAnsi" w:eastAsia="Bookman Old Style" w:hAnsiTheme="minorHAnsi" w:cstheme="minorHAnsi"/>
                <w:szCs w:val="18"/>
              </w:rPr>
              <w:footnoteReference w:id="41"/>
            </w:r>
          </w:p>
        </w:tc>
        <w:tc>
          <w:tcPr>
            <w:tcW w:w="3402" w:type="dxa"/>
          </w:tcPr>
          <w:p w14:paraId="19258644" w14:textId="77777777" w:rsidR="00617FC9" w:rsidRPr="00496EC9" w:rsidRDefault="00617FC9" w:rsidP="00696175">
            <w:pPr>
              <w:spacing w:before="40" w:after="40"/>
              <w:rPr>
                <w:rFonts w:asciiTheme="minorHAnsi" w:eastAsia="Bookman Old Style" w:hAnsiTheme="minorHAnsi" w:cstheme="minorHAnsi"/>
                <w:sz w:val="18"/>
                <w:szCs w:val="18"/>
              </w:rPr>
            </w:pPr>
            <w:r w:rsidRPr="00496EC9">
              <w:rPr>
                <w:rFonts w:asciiTheme="minorHAnsi" w:eastAsia="Bookman Old Style" w:hAnsiTheme="minorHAnsi" w:cstheme="minorHAnsi"/>
                <w:sz w:val="18"/>
                <w:szCs w:val="18"/>
              </w:rPr>
              <w:t>CHF 80 million</w:t>
            </w:r>
            <w:r w:rsidRPr="00496EC9">
              <w:rPr>
                <w:rStyle w:val="FootnoteReference"/>
                <w:rFonts w:asciiTheme="minorHAnsi" w:eastAsia="Bookman Old Style" w:hAnsiTheme="minorHAnsi" w:cstheme="minorHAnsi"/>
                <w:szCs w:val="18"/>
              </w:rPr>
              <w:footnoteReference w:id="42"/>
            </w:r>
          </w:p>
          <w:p w14:paraId="4F9CAB94" w14:textId="77777777" w:rsidR="00617FC9" w:rsidRPr="00496EC9" w:rsidRDefault="00617FC9" w:rsidP="00696175">
            <w:pPr>
              <w:spacing w:before="40" w:after="40"/>
              <w:rPr>
                <w:rFonts w:asciiTheme="minorHAnsi" w:hAnsiTheme="minorHAnsi" w:cstheme="minorHAnsi"/>
                <w:sz w:val="18"/>
                <w:szCs w:val="18"/>
              </w:rPr>
            </w:pPr>
            <w:r w:rsidRPr="00496EC9">
              <w:rPr>
                <w:rFonts w:asciiTheme="minorHAnsi" w:hAnsiTheme="minorHAnsi" w:cstheme="minorHAnsi"/>
                <w:sz w:val="18"/>
                <w:szCs w:val="18"/>
              </w:rPr>
              <w:t>The total budget of the organization, and the percentage allocated to offices outside HQ.</w:t>
            </w:r>
          </w:p>
          <w:p w14:paraId="6D3F81EC" w14:textId="5D285C0B" w:rsidR="00617FC9" w:rsidRPr="00496EC9" w:rsidRDefault="00617FC9" w:rsidP="00087B0A">
            <w:pPr>
              <w:spacing w:before="40" w:after="40"/>
              <w:rPr>
                <w:rFonts w:asciiTheme="minorHAnsi" w:hAnsiTheme="minorHAnsi" w:cstheme="minorHAnsi"/>
                <w:sz w:val="18"/>
                <w:szCs w:val="18"/>
              </w:rPr>
            </w:pPr>
            <w:r w:rsidRPr="00496EC9">
              <w:rPr>
                <w:rFonts w:asciiTheme="minorHAnsi" w:hAnsiTheme="minorHAnsi" w:cstheme="minorHAnsi"/>
                <w:sz w:val="18"/>
                <w:szCs w:val="18"/>
              </w:rPr>
              <w:t>The total budget for 2026 is CHF 69.96 million and the budget allocated outside of HQ is 7.3%.</w:t>
            </w:r>
          </w:p>
        </w:tc>
      </w:tr>
    </w:tbl>
    <w:p w14:paraId="11B55A6C" w14:textId="77777777" w:rsidR="00617FC9" w:rsidRPr="00986D12" w:rsidRDefault="00617FC9" w:rsidP="00617FC9">
      <w:pPr>
        <w:rPr>
          <w:rFonts w:asciiTheme="minorHAnsi" w:eastAsia="Bookman Old Style" w:hAnsiTheme="minorHAnsi" w:cstheme="minorHAnsi"/>
          <w:b/>
          <w:color w:val="000000" w:themeColor="text1"/>
        </w:rPr>
        <w:sectPr w:rsidR="00617FC9" w:rsidRPr="00986D12" w:rsidSect="00617FC9">
          <w:headerReference w:type="first" r:id="rId141"/>
          <w:pgSz w:w="16840" w:h="11907" w:orient="landscape" w:code="9"/>
          <w:pgMar w:top="1134" w:right="1134" w:bottom="1134" w:left="1134" w:header="1134" w:footer="1134" w:gutter="0"/>
          <w:cols w:space="720"/>
          <w:docGrid w:linePitch="299"/>
        </w:sectPr>
      </w:pPr>
    </w:p>
    <w:p w14:paraId="755A8ABE" w14:textId="77777777" w:rsidR="00617FC9" w:rsidRPr="00507BF5" w:rsidRDefault="00617FC9" w:rsidP="00617FC9">
      <w:pPr>
        <w:pStyle w:val="WMOBodyText"/>
        <w:spacing w:line="276" w:lineRule="auto"/>
        <w:rPr>
          <w:rFonts w:asciiTheme="minorHAnsi" w:eastAsia="Bookman Old Style" w:hAnsiTheme="minorHAnsi" w:cstheme="minorHAnsi"/>
          <w:b/>
          <w:color w:val="000000" w:themeColor="text1"/>
          <w:sz w:val="24"/>
          <w:szCs w:val="24"/>
          <w:lang w:eastAsia="en-US"/>
        </w:rPr>
      </w:pPr>
      <w:r w:rsidRPr="00507BF5">
        <w:rPr>
          <w:rFonts w:asciiTheme="minorHAnsi" w:eastAsia="Bookman Old Style" w:hAnsiTheme="minorHAnsi" w:cstheme="minorHAnsi"/>
          <w:b/>
          <w:color w:val="000000" w:themeColor="text1"/>
          <w:sz w:val="24"/>
          <w:szCs w:val="24"/>
          <w:lang w:eastAsia="en-US"/>
        </w:rPr>
        <w:lastRenderedPageBreak/>
        <w:t xml:space="preserve">Conclusion and </w:t>
      </w:r>
      <w:r>
        <w:rPr>
          <w:rFonts w:asciiTheme="minorHAnsi" w:eastAsia="Bookman Old Style" w:hAnsiTheme="minorHAnsi" w:cstheme="minorHAnsi"/>
          <w:b/>
          <w:color w:val="000000" w:themeColor="text1"/>
          <w:sz w:val="24"/>
          <w:szCs w:val="24"/>
          <w:lang w:eastAsia="en-US"/>
        </w:rPr>
        <w:t>Emerging priorities for consideration</w:t>
      </w:r>
    </w:p>
    <w:p w14:paraId="2D898CFE"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The benchmarking analysis highlights several key observations regarding ITU’s regional structure in comparison with other UN specialized agencies.</w:t>
      </w:r>
    </w:p>
    <w:p w14:paraId="10F2AA64" w14:textId="77777777" w:rsidR="00617FC9" w:rsidRPr="00507BF5" w:rsidRDefault="00617FC9" w:rsidP="00617FC9">
      <w:pPr>
        <w:pStyle w:val="Bulletlist"/>
        <w:jc w:val="both"/>
        <w:rPr>
          <w:rFonts w:asciiTheme="minorHAnsi" w:hAnsiTheme="minorHAnsi" w:cstheme="minorHAnsi"/>
          <w:sz w:val="24"/>
          <w:szCs w:val="24"/>
        </w:rPr>
      </w:pPr>
      <w:r w:rsidRPr="00507BF5">
        <w:rPr>
          <w:rFonts w:asciiTheme="minorHAnsi" w:hAnsiTheme="minorHAnsi" w:cstheme="minorHAnsi"/>
          <w:sz w:val="24"/>
          <w:szCs w:val="24"/>
        </w:rPr>
        <w:t>First, ITU maintains a balanced but modest regional footprint, positioned between highly centralized organizations such as IMO and highly decentralized operational agencies such as UNIDO. While the current structure provides global coverage through six regional offices and several area offices, the overall staff footprint and budget allocation to field operations remain comparatively limited.</w:t>
      </w:r>
    </w:p>
    <w:p w14:paraId="487F880F" w14:textId="77777777" w:rsidR="00617FC9" w:rsidRPr="00507BF5" w:rsidRDefault="00617FC9" w:rsidP="00617FC9">
      <w:pPr>
        <w:pStyle w:val="Bulletlist"/>
        <w:jc w:val="both"/>
        <w:rPr>
          <w:rFonts w:asciiTheme="minorHAnsi" w:hAnsiTheme="minorHAnsi" w:cstheme="minorHAnsi"/>
          <w:sz w:val="24"/>
          <w:szCs w:val="24"/>
        </w:rPr>
      </w:pPr>
      <w:r w:rsidRPr="00507BF5">
        <w:rPr>
          <w:rFonts w:asciiTheme="minorHAnsi" w:hAnsiTheme="minorHAnsi" w:cstheme="minorHAnsi"/>
          <w:sz w:val="24"/>
          <w:szCs w:val="24"/>
        </w:rPr>
        <w:t>Second, the functional roles of ITU’s regional offices align closely with those of other technical agencies, focusing primarily on capacity building, regional cooperation, and policy support. However, the limited number of staff in regional and area offices may constrain the organization’s ability to respond effectively to the increasing demand for support from member states on digital transformation regulatory guidance, and connectivity development.</w:t>
      </w:r>
    </w:p>
    <w:p w14:paraId="5F937719" w14:textId="77777777" w:rsidR="00617FC9" w:rsidRPr="00507BF5" w:rsidRDefault="00617FC9" w:rsidP="00617FC9">
      <w:pPr>
        <w:pStyle w:val="Bulletlist"/>
        <w:jc w:val="both"/>
        <w:rPr>
          <w:rFonts w:asciiTheme="minorHAnsi" w:hAnsiTheme="minorHAnsi" w:cstheme="minorHAnsi"/>
          <w:sz w:val="24"/>
          <w:szCs w:val="24"/>
        </w:rPr>
      </w:pPr>
      <w:r w:rsidRPr="00507BF5">
        <w:rPr>
          <w:rFonts w:asciiTheme="minorHAnsi" w:hAnsiTheme="minorHAnsi" w:cstheme="minorHAnsi"/>
          <w:sz w:val="24"/>
          <w:szCs w:val="24"/>
        </w:rPr>
        <w:t>Third, financial benchmarking suggests that although ITU dedicates a moderate share of its budget to regional operations, organizations with stronger operational mandates—such as UNIDO—allocate significantly higher proportions of resources to field activities.</w:t>
      </w:r>
    </w:p>
    <w:p w14:paraId="374CD725" w14:textId="77777777" w:rsidR="00617FC9" w:rsidRPr="00986D12" w:rsidRDefault="00617FC9" w:rsidP="00617FC9">
      <w:pPr>
        <w:jc w:val="both"/>
        <w:rPr>
          <w:rFonts w:asciiTheme="minorHAnsi" w:hAnsiTheme="minorHAnsi" w:cstheme="minorHAnsi"/>
        </w:rPr>
      </w:pPr>
      <w:r w:rsidRPr="00986D12">
        <w:rPr>
          <w:rFonts w:asciiTheme="minorHAnsi" w:hAnsiTheme="minorHAnsi" w:cstheme="minorHAnsi"/>
        </w:rPr>
        <w:t>Based on these findings, several areas for improvement emerge:</w:t>
      </w:r>
    </w:p>
    <w:p w14:paraId="19E670D9" w14:textId="77777777" w:rsidR="00617FC9" w:rsidRPr="00507BF5" w:rsidRDefault="00617FC9" w:rsidP="00BC7ABA">
      <w:pPr>
        <w:pStyle w:val="WMOBodyText"/>
        <w:numPr>
          <w:ilvl w:val="0"/>
          <w:numId w:val="76"/>
        </w:numPr>
        <w:spacing w:before="60" w:after="60"/>
        <w:ind w:left="850" w:hanging="493"/>
        <w:jc w:val="both"/>
        <w:rPr>
          <w:rFonts w:asciiTheme="minorHAnsi" w:eastAsia="Bookman Old Style" w:hAnsiTheme="minorHAnsi" w:cstheme="minorHAnsi"/>
          <w:color w:val="000000" w:themeColor="text1"/>
          <w:sz w:val="24"/>
          <w:szCs w:val="24"/>
          <w:lang w:eastAsia="en-US"/>
        </w:rPr>
      </w:pPr>
      <w:r w:rsidRPr="00507BF5">
        <w:rPr>
          <w:rFonts w:asciiTheme="minorHAnsi" w:eastAsia="Bookman Old Style" w:hAnsiTheme="minorHAnsi" w:cstheme="minorHAnsi"/>
          <w:color w:val="000000" w:themeColor="text1"/>
          <w:sz w:val="24"/>
          <w:szCs w:val="24"/>
          <w:lang w:eastAsia="en-US"/>
        </w:rPr>
        <w:t>Strengthen the regional staffing footprint to enhance technical support and policy engagement with member states, particularly in regions experiencing rapid digital development challenges.</w:t>
      </w:r>
    </w:p>
    <w:p w14:paraId="3883F678" w14:textId="77777777" w:rsidR="00617FC9" w:rsidRPr="00507BF5" w:rsidRDefault="00617FC9" w:rsidP="00BC7ABA">
      <w:pPr>
        <w:pStyle w:val="WMOBodyText"/>
        <w:numPr>
          <w:ilvl w:val="0"/>
          <w:numId w:val="76"/>
        </w:numPr>
        <w:spacing w:before="60" w:after="60"/>
        <w:ind w:left="850" w:hanging="493"/>
        <w:jc w:val="both"/>
        <w:rPr>
          <w:rFonts w:asciiTheme="minorHAnsi" w:eastAsia="Bookman Old Style" w:hAnsiTheme="minorHAnsi" w:cstheme="minorHAnsi"/>
          <w:color w:val="000000" w:themeColor="text1"/>
          <w:sz w:val="24"/>
          <w:szCs w:val="24"/>
          <w:lang w:eastAsia="en-US"/>
        </w:rPr>
      </w:pPr>
      <w:r w:rsidRPr="00507BF5">
        <w:rPr>
          <w:rFonts w:asciiTheme="minorHAnsi" w:eastAsia="Bookman Old Style" w:hAnsiTheme="minorHAnsi" w:cstheme="minorHAnsi"/>
          <w:color w:val="000000" w:themeColor="text1"/>
          <w:sz w:val="24"/>
          <w:szCs w:val="24"/>
          <w:lang w:eastAsia="en-US"/>
        </w:rPr>
        <w:t>Review the allocation of financial resources to ensure regional offices have sufficient operational capacity to implement ITU initiatives effectively.</w:t>
      </w:r>
    </w:p>
    <w:p w14:paraId="399337EE" w14:textId="77777777" w:rsidR="00617FC9" w:rsidRPr="00507BF5" w:rsidRDefault="00617FC9" w:rsidP="00BC7ABA">
      <w:pPr>
        <w:pStyle w:val="WMOBodyText"/>
        <w:numPr>
          <w:ilvl w:val="0"/>
          <w:numId w:val="76"/>
        </w:numPr>
        <w:spacing w:before="60" w:after="60"/>
        <w:ind w:left="850" w:hanging="493"/>
        <w:jc w:val="both"/>
        <w:rPr>
          <w:rFonts w:asciiTheme="minorHAnsi" w:eastAsia="Bookman Old Style" w:hAnsiTheme="minorHAnsi" w:cstheme="minorHAnsi"/>
          <w:color w:val="000000" w:themeColor="text1"/>
          <w:sz w:val="24"/>
          <w:szCs w:val="24"/>
          <w:lang w:eastAsia="en-US"/>
        </w:rPr>
      </w:pPr>
      <w:r w:rsidRPr="00507BF5">
        <w:rPr>
          <w:rFonts w:asciiTheme="minorHAnsi" w:eastAsia="Bookman Old Style" w:hAnsiTheme="minorHAnsi" w:cstheme="minorHAnsi"/>
          <w:color w:val="000000" w:themeColor="text1"/>
          <w:sz w:val="24"/>
          <w:szCs w:val="24"/>
          <w:lang w:eastAsia="en-US"/>
        </w:rPr>
        <w:t>Promote stronger collaboration with other UN agencies at the regional level, leveraging existing regional coordination mechanisms to maximize impact.</w:t>
      </w:r>
    </w:p>
    <w:p w14:paraId="5D90A662" w14:textId="7A4F7386" w:rsidR="007A3FCD" w:rsidRPr="007A3FCD" w:rsidRDefault="00617FC9" w:rsidP="00A94535">
      <w:pPr>
        <w:jc w:val="both"/>
        <w:rPr>
          <w:rFonts w:asciiTheme="minorHAnsi" w:hAnsiTheme="minorHAnsi" w:cstheme="minorHAnsi"/>
        </w:rPr>
      </w:pPr>
      <w:r w:rsidRPr="00986D12">
        <w:rPr>
          <w:rFonts w:asciiTheme="minorHAnsi" w:hAnsiTheme="minorHAnsi" w:cstheme="minorHAnsi"/>
        </w:rPr>
        <w:t>Overall, the benchmarking suggests that while ITU’s current regional structure is broadly aligned with the practices of comparable UN organizations, targeted strengthening of regional capacity could enhance the organization’s ability to deliver on its mandate of universal and affordable access to ICTs worldwide.</w:t>
      </w:r>
    </w:p>
    <w:p w14:paraId="114BECF3" w14:textId="77777777" w:rsidR="007A3FCD" w:rsidRPr="00C0458D" w:rsidRDefault="007A3FCD" w:rsidP="007A3FCD">
      <w:pPr>
        <w:jc w:val="center"/>
      </w:pPr>
      <w:r>
        <w:t>______________</w:t>
      </w:r>
    </w:p>
    <w:sectPr w:rsidR="007A3FCD" w:rsidRPr="00C0458D" w:rsidSect="00AD3606">
      <w:footerReference w:type="default" r:id="rId142"/>
      <w:headerReference w:type="first" r:id="rId143"/>
      <w:footerReference w:type="first" r:id="rId144"/>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57173" w14:textId="77777777" w:rsidR="000A132C" w:rsidRDefault="000A132C">
      <w:r>
        <w:separator/>
      </w:r>
    </w:p>
  </w:endnote>
  <w:endnote w:type="continuationSeparator" w:id="0">
    <w:p w14:paraId="418DFD48" w14:textId="77777777" w:rsidR="000A132C" w:rsidRDefault="000A1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Nxt2 W1G,Segoe UI">
    <w:altName w:val="Cambria"/>
    <w:panose1 w:val="00000000000000000000"/>
    <w:charset w:val="00"/>
    <w:family w:val="roman"/>
    <w:notTrueType/>
    <w:pitch w:val="default"/>
  </w:font>
  <w:font w:name="Avenir Nxt2 W1G">
    <w:panose1 w:val="020B0503020202020204"/>
    <w:charset w:val="00"/>
    <w:family w:val="swiss"/>
    <w:notTrueType/>
    <w:pitch w:val="variable"/>
    <w:sig w:usb0="A00002EF"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DengXian Light">
    <w:altName w:val="等线 Light"/>
    <w:charset w:val="86"/>
    <w:family w:val="auto"/>
    <w:pitch w:val="variable"/>
    <w:sig w:usb0="A00002BF" w:usb1="38CF7CFA" w:usb2="00000016" w:usb3="00000000" w:csb0="0004000F" w:csb1="00000000"/>
  </w:font>
  <w:font w:name="Cambria Math">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224064540"/>
      <w:docPartObj>
        <w:docPartGallery w:val="Page Numbers (Bottom of Page)"/>
        <w:docPartUnique/>
      </w:docPartObj>
    </w:sdtPr>
    <w:sdtContent>
      <w:p w14:paraId="1A1B2F71" w14:textId="711AC20C" w:rsidR="003969E7" w:rsidRPr="003969E7" w:rsidRDefault="003969E7" w:rsidP="003969E7">
        <w:pPr>
          <w:pStyle w:val="Footer"/>
          <w:jc w:val="center"/>
          <w:rPr>
            <w:sz w:val="20"/>
          </w:rPr>
        </w:pPr>
        <w:r>
          <w:rPr>
            <w:sz w:val="20"/>
          </w:rPr>
          <w:t>-</w:t>
        </w:r>
        <w:r w:rsidRPr="003969E7">
          <w:rPr>
            <w:sz w:val="20"/>
          </w:rPr>
          <w:t xml:space="preserve"> </w:t>
        </w:r>
        <w:r w:rsidRPr="003969E7">
          <w:rPr>
            <w:noProof w:val="0"/>
            <w:sz w:val="20"/>
          </w:rPr>
          <w:fldChar w:fldCharType="begin"/>
        </w:r>
        <w:r w:rsidRPr="003969E7">
          <w:rPr>
            <w:sz w:val="20"/>
          </w:rPr>
          <w:instrText xml:space="preserve"> PAGE   \* MERGEFORMAT </w:instrText>
        </w:r>
        <w:r w:rsidRPr="003969E7">
          <w:rPr>
            <w:noProof w:val="0"/>
            <w:sz w:val="20"/>
          </w:rPr>
          <w:fldChar w:fldCharType="separate"/>
        </w:r>
        <w:r w:rsidRPr="003969E7">
          <w:rPr>
            <w:sz w:val="20"/>
          </w:rPr>
          <w:t>2</w:t>
        </w:r>
        <w:r w:rsidRPr="003969E7">
          <w:rPr>
            <w:sz w:val="20"/>
          </w:rPr>
          <w:fldChar w:fldCharType="end"/>
        </w:r>
        <w:r w:rsidRPr="003969E7">
          <w:rPr>
            <w:sz w:val="20"/>
          </w:rPr>
          <w:t xml:space="preserve"> </w:t>
        </w:r>
        <w:r>
          <w:rPr>
            <w:sz w:val="20"/>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8A136A" w:rsidRPr="008A136A" w14:paraId="523353D3" w14:textId="77777777" w:rsidTr="009130FD">
      <w:tc>
        <w:tcPr>
          <w:tcW w:w="1526" w:type="dxa"/>
          <w:tcBorders>
            <w:top w:val="single" w:sz="4" w:space="0" w:color="000000"/>
          </w:tcBorders>
        </w:tcPr>
        <w:p w14:paraId="57F418FC" w14:textId="77777777" w:rsidR="008A136A" w:rsidRPr="008A136A" w:rsidRDefault="008A136A" w:rsidP="008A136A">
          <w:pPr>
            <w:pStyle w:val="FirstFooter"/>
            <w:tabs>
              <w:tab w:val="left" w:pos="1559"/>
              <w:tab w:val="left" w:pos="3828"/>
            </w:tabs>
            <w:rPr>
              <w:sz w:val="18"/>
              <w:szCs w:val="18"/>
            </w:rPr>
          </w:pPr>
          <w:r w:rsidRPr="008A136A">
            <w:rPr>
              <w:sz w:val="18"/>
              <w:szCs w:val="18"/>
              <w:lang w:val="en-US"/>
            </w:rPr>
            <w:t>Contact:</w:t>
          </w:r>
        </w:p>
      </w:tc>
      <w:tc>
        <w:tcPr>
          <w:tcW w:w="2410" w:type="dxa"/>
          <w:tcBorders>
            <w:top w:val="single" w:sz="4" w:space="0" w:color="000000"/>
          </w:tcBorders>
        </w:tcPr>
        <w:p w14:paraId="4A6F5A08" w14:textId="77777777" w:rsidR="008A136A" w:rsidRPr="008A136A" w:rsidRDefault="008A136A" w:rsidP="008A136A">
          <w:pPr>
            <w:pStyle w:val="FirstFooter"/>
            <w:tabs>
              <w:tab w:val="left" w:pos="2302"/>
            </w:tabs>
            <w:ind w:left="2302" w:hanging="2302"/>
            <w:rPr>
              <w:sz w:val="18"/>
              <w:szCs w:val="18"/>
              <w:lang w:val="en-US"/>
            </w:rPr>
          </w:pPr>
          <w:r w:rsidRPr="008A136A">
            <w:rPr>
              <w:sz w:val="18"/>
              <w:szCs w:val="18"/>
              <w:lang w:val="en-US"/>
            </w:rPr>
            <w:t>Name/Organization/Entity:</w:t>
          </w:r>
        </w:p>
      </w:tc>
      <w:tc>
        <w:tcPr>
          <w:tcW w:w="5987" w:type="dxa"/>
          <w:tcBorders>
            <w:top w:val="single" w:sz="4" w:space="0" w:color="000000"/>
          </w:tcBorders>
        </w:tcPr>
        <w:p w14:paraId="2CDDC09F" w14:textId="77777777" w:rsidR="008A136A" w:rsidRPr="008A136A" w:rsidRDefault="008A136A" w:rsidP="008A136A">
          <w:pPr>
            <w:pStyle w:val="FirstFooter"/>
            <w:tabs>
              <w:tab w:val="left" w:pos="2302"/>
            </w:tabs>
            <w:rPr>
              <w:sz w:val="18"/>
              <w:szCs w:val="18"/>
              <w:highlight w:val="yellow"/>
              <w:lang w:val="en-US"/>
            </w:rPr>
          </w:pPr>
          <w:r w:rsidRPr="008A136A">
            <w:rPr>
              <w:sz w:val="18"/>
              <w:szCs w:val="18"/>
            </w:rPr>
            <w:t>Ms Archana Gulati, Deputy to the Director, Telecommunication Development Bureau</w:t>
          </w:r>
        </w:p>
      </w:tc>
      <w:bookmarkStart w:id="238" w:name="OrgName"/>
      <w:bookmarkEnd w:id="238"/>
    </w:tr>
    <w:tr w:rsidR="008A136A" w:rsidRPr="008A136A" w14:paraId="7588587D" w14:textId="77777777" w:rsidTr="009130FD">
      <w:tc>
        <w:tcPr>
          <w:tcW w:w="1526" w:type="dxa"/>
        </w:tcPr>
        <w:p w14:paraId="1623AB1C" w14:textId="77777777" w:rsidR="008A136A" w:rsidRPr="008A136A" w:rsidRDefault="008A136A" w:rsidP="008A136A">
          <w:pPr>
            <w:pStyle w:val="FirstFooter"/>
            <w:tabs>
              <w:tab w:val="left" w:pos="1559"/>
              <w:tab w:val="left" w:pos="3828"/>
            </w:tabs>
            <w:rPr>
              <w:sz w:val="18"/>
              <w:szCs w:val="18"/>
              <w:lang w:val="en-US"/>
            </w:rPr>
          </w:pPr>
        </w:p>
      </w:tc>
      <w:tc>
        <w:tcPr>
          <w:tcW w:w="2410" w:type="dxa"/>
        </w:tcPr>
        <w:p w14:paraId="71680266" w14:textId="77777777" w:rsidR="008A136A" w:rsidRPr="008A136A" w:rsidRDefault="008A136A" w:rsidP="008A136A">
          <w:pPr>
            <w:pStyle w:val="FirstFooter"/>
            <w:tabs>
              <w:tab w:val="left" w:pos="2302"/>
            </w:tabs>
            <w:rPr>
              <w:sz w:val="18"/>
              <w:szCs w:val="18"/>
              <w:lang w:val="en-US"/>
            </w:rPr>
          </w:pPr>
          <w:r w:rsidRPr="008A136A">
            <w:rPr>
              <w:sz w:val="18"/>
              <w:szCs w:val="18"/>
              <w:lang w:val="en-US"/>
            </w:rPr>
            <w:t>Phone number:</w:t>
          </w:r>
        </w:p>
      </w:tc>
      <w:tc>
        <w:tcPr>
          <w:tcW w:w="5987" w:type="dxa"/>
        </w:tcPr>
        <w:p w14:paraId="3E30E9DB" w14:textId="77777777" w:rsidR="008A136A" w:rsidRPr="008A136A" w:rsidRDefault="008A136A" w:rsidP="008A136A">
          <w:pPr>
            <w:pStyle w:val="FirstFooter"/>
            <w:tabs>
              <w:tab w:val="left" w:pos="2302"/>
            </w:tabs>
            <w:rPr>
              <w:sz w:val="18"/>
              <w:szCs w:val="18"/>
              <w:highlight w:val="yellow"/>
              <w:lang w:val="en-US"/>
            </w:rPr>
          </w:pPr>
          <w:r w:rsidRPr="008A136A">
            <w:rPr>
              <w:sz w:val="18"/>
              <w:szCs w:val="18"/>
            </w:rPr>
            <w:t>+41 22 730 6475</w:t>
          </w:r>
        </w:p>
      </w:tc>
      <w:bookmarkStart w:id="239" w:name="PhoneNo"/>
      <w:bookmarkEnd w:id="239"/>
    </w:tr>
    <w:tr w:rsidR="008A136A" w:rsidRPr="008A136A" w14:paraId="651EAB9A" w14:textId="77777777" w:rsidTr="009130FD">
      <w:tc>
        <w:tcPr>
          <w:tcW w:w="1526" w:type="dxa"/>
        </w:tcPr>
        <w:p w14:paraId="0AB79CC3" w14:textId="77777777" w:rsidR="008A136A" w:rsidRPr="008A136A" w:rsidRDefault="008A136A" w:rsidP="008A136A">
          <w:pPr>
            <w:pStyle w:val="FirstFooter"/>
            <w:tabs>
              <w:tab w:val="left" w:pos="1559"/>
              <w:tab w:val="left" w:pos="3828"/>
            </w:tabs>
            <w:rPr>
              <w:sz w:val="18"/>
              <w:szCs w:val="18"/>
              <w:lang w:val="en-US"/>
            </w:rPr>
          </w:pPr>
        </w:p>
      </w:tc>
      <w:tc>
        <w:tcPr>
          <w:tcW w:w="2410" w:type="dxa"/>
        </w:tcPr>
        <w:p w14:paraId="4105A74D" w14:textId="77777777" w:rsidR="008A136A" w:rsidRPr="008A136A" w:rsidRDefault="008A136A" w:rsidP="008A136A">
          <w:pPr>
            <w:pStyle w:val="FirstFooter"/>
            <w:tabs>
              <w:tab w:val="left" w:pos="2302"/>
            </w:tabs>
            <w:rPr>
              <w:sz w:val="18"/>
              <w:szCs w:val="18"/>
              <w:lang w:val="en-US"/>
            </w:rPr>
          </w:pPr>
          <w:r w:rsidRPr="008A136A">
            <w:rPr>
              <w:sz w:val="18"/>
              <w:szCs w:val="18"/>
              <w:lang w:val="en-US"/>
            </w:rPr>
            <w:t>E-mail:</w:t>
          </w:r>
        </w:p>
      </w:tc>
      <w:tc>
        <w:tcPr>
          <w:tcW w:w="5987" w:type="dxa"/>
        </w:tcPr>
        <w:p w14:paraId="10F0133C" w14:textId="77777777" w:rsidR="008A136A" w:rsidRPr="008A136A" w:rsidRDefault="008A136A" w:rsidP="008A136A">
          <w:pPr>
            <w:pStyle w:val="FirstFooter"/>
            <w:tabs>
              <w:tab w:val="left" w:pos="2302"/>
            </w:tabs>
            <w:rPr>
              <w:sz w:val="18"/>
              <w:szCs w:val="18"/>
              <w:highlight w:val="yellow"/>
            </w:rPr>
          </w:pPr>
          <w:hyperlink r:id="rId1" w:history="1">
            <w:r w:rsidRPr="008A136A">
              <w:rPr>
                <w:rStyle w:val="Hyperlink"/>
                <w:sz w:val="18"/>
                <w:szCs w:val="18"/>
              </w:rPr>
              <w:t>archana.gulati@itu.int</w:t>
            </w:r>
          </w:hyperlink>
          <w:r w:rsidRPr="008A136A">
            <w:rPr>
              <w:sz w:val="18"/>
              <w:szCs w:val="18"/>
            </w:rPr>
            <w:t xml:space="preserve"> </w:t>
          </w:r>
        </w:p>
      </w:tc>
      <w:bookmarkStart w:id="240" w:name="Email"/>
      <w:bookmarkEnd w:id="240"/>
    </w:tr>
  </w:tbl>
  <w:p w14:paraId="451142D9" w14:textId="77777777" w:rsidR="00B917AE" w:rsidRPr="008A136A" w:rsidRDefault="00B917AE">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3F220ACC" w14:textId="77777777" w:rsidTr="0042469C">
      <w:trPr>
        <w:jc w:val="center"/>
      </w:trPr>
      <w:tc>
        <w:tcPr>
          <w:tcW w:w="1803" w:type="dxa"/>
          <w:vAlign w:val="center"/>
        </w:tcPr>
        <w:p w14:paraId="61038E60" w14:textId="77777777" w:rsidR="00EE49E8" w:rsidRDefault="00C6520B" w:rsidP="00EE49E8">
          <w:pPr>
            <w:pStyle w:val="Header"/>
            <w:jc w:val="left"/>
            <w:rPr>
              <w:noProof/>
            </w:rPr>
          </w:pPr>
          <w:r>
            <w:rPr>
              <w:noProof/>
            </w:rPr>
            <w:t>gDoc #</w:t>
          </w:r>
        </w:p>
      </w:tc>
      <w:tc>
        <w:tcPr>
          <w:tcW w:w="8261" w:type="dxa"/>
        </w:tcPr>
        <w:p w14:paraId="6079E3B9" w14:textId="25F31A07"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CA0A45">
            <w:rPr>
              <w:bCs/>
            </w:rPr>
            <w:t>INF/</w:t>
          </w:r>
          <w:r w:rsidRPr="00623AE3">
            <w:rPr>
              <w:bCs/>
            </w:rPr>
            <w:t>xx</w:t>
          </w:r>
          <w:r>
            <w:rPr>
              <w:bCs/>
            </w:rPr>
            <w:tab/>
          </w:r>
          <w:r>
            <w:fldChar w:fldCharType="begin"/>
          </w:r>
          <w:r>
            <w:instrText>PAGE</w:instrText>
          </w:r>
          <w:r>
            <w:fldChar w:fldCharType="separate"/>
          </w:r>
          <w:r>
            <w:t>1</w:t>
          </w:r>
          <w:r>
            <w:rPr>
              <w:noProof/>
            </w:rPr>
            <w:fldChar w:fldCharType="end"/>
          </w:r>
        </w:p>
      </w:tc>
    </w:tr>
  </w:tbl>
  <w:p w14:paraId="1804FEBE" w14:textId="77777777" w:rsidR="00EE49E8" w:rsidRPr="00DB1936" w:rsidRDefault="00EE49E8" w:rsidP="00EE49E8">
    <w:pPr>
      <w:pStyle w:val="Header"/>
      <w:tabs>
        <w:tab w:val="left" w:pos="8080"/>
        <w:tab w:val="right" w:pos="9072"/>
      </w:tabs>
      <w:jc w:val="left"/>
      <w:rPr>
        <w:b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70982074"/>
      <w:docPartObj>
        <w:docPartGallery w:val="Page Numbers (Bottom of Page)"/>
        <w:docPartUnique/>
      </w:docPartObj>
    </w:sdtPr>
    <w:sdtContent>
      <w:p w14:paraId="40BA2FF3" w14:textId="28508A53" w:rsidR="00A514A4" w:rsidRPr="007A26F4" w:rsidRDefault="007A26F4" w:rsidP="007A26F4">
        <w:pPr>
          <w:pStyle w:val="Footer"/>
          <w:jc w:val="center"/>
          <w:rPr>
            <w:sz w:val="20"/>
          </w:rPr>
        </w:pPr>
        <w:r>
          <w:rPr>
            <w:sz w:val="20"/>
          </w:rPr>
          <w:t>-</w:t>
        </w:r>
        <w:r w:rsidRPr="003969E7">
          <w:rPr>
            <w:sz w:val="20"/>
          </w:rPr>
          <w:t xml:space="preserve"> </w:t>
        </w:r>
        <w:r w:rsidRPr="003969E7">
          <w:rPr>
            <w:noProof w:val="0"/>
            <w:sz w:val="20"/>
          </w:rPr>
          <w:fldChar w:fldCharType="begin"/>
        </w:r>
        <w:r w:rsidRPr="003969E7">
          <w:rPr>
            <w:sz w:val="20"/>
          </w:rPr>
          <w:instrText xml:space="preserve"> PAGE   \* MERGEFORMAT </w:instrText>
        </w:r>
        <w:r w:rsidRPr="003969E7">
          <w:rPr>
            <w:noProof w:val="0"/>
            <w:sz w:val="20"/>
          </w:rPr>
          <w:fldChar w:fldCharType="separate"/>
        </w:r>
        <w:r>
          <w:rPr>
            <w:sz w:val="20"/>
          </w:rPr>
          <w:t>114</w:t>
        </w:r>
        <w:r w:rsidRPr="003969E7">
          <w:rPr>
            <w:sz w:val="20"/>
          </w:rPr>
          <w:fldChar w:fldCharType="end"/>
        </w:r>
        <w:r w:rsidRPr="003969E7">
          <w:rPr>
            <w:sz w:val="20"/>
          </w:rPr>
          <w:t xml:space="preserve"> </w:t>
        </w:r>
        <w:r>
          <w:rPr>
            <w:sz w:val="20"/>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64930" w14:textId="77777777" w:rsidR="000A132C" w:rsidRDefault="000A132C">
      <w:r>
        <w:t>____________________</w:t>
      </w:r>
    </w:p>
  </w:footnote>
  <w:footnote w:type="continuationSeparator" w:id="0">
    <w:p w14:paraId="0EF57AC0" w14:textId="77777777" w:rsidR="000A132C" w:rsidRDefault="000A132C">
      <w:r>
        <w:continuationSeparator/>
      </w:r>
    </w:p>
  </w:footnote>
  <w:footnote w:id="1">
    <w:p w14:paraId="140F19E2" w14:textId="77777777" w:rsidR="00247576" w:rsidRDefault="00617FC9" w:rsidP="00617FC9">
      <w:pPr>
        <w:pStyle w:val="Footnotes"/>
        <w:rPr>
          <w:rFonts w:asciiTheme="minorHAnsi" w:hAnsiTheme="minorHAnsi" w:cstheme="minorHAnsi"/>
          <w:sz w:val="20"/>
          <w:szCs w:val="20"/>
        </w:rPr>
      </w:pPr>
      <w:r w:rsidRPr="00DE25F8">
        <w:rPr>
          <w:rStyle w:val="FootnoteReference"/>
          <w:rFonts w:asciiTheme="minorHAnsi" w:hAnsiTheme="minorHAnsi" w:cstheme="minorHAnsi"/>
          <w:sz w:val="20"/>
          <w:szCs w:val="20"/>
        </w:rPr>
        <w:footnoteRef/>
      </w:r>
      <w:r w:rsidR="00A94535" w:rsidRPr="00DE25F8">
        <w:rPr>
          <w:rFonts w:asciiTheme="minorHAnsi" w:hAnsiTheme="minorHAnsi" w:cstheme="minorHAnsi"/>
          <w:sz w:val="20"/>
          <w:szCs w:val="20"/>
        </w:rPr>
        <w:t xml:space="preserve"> </w:t>
      </w:r>
      <w:r w:rsidRPr="00DE25F8">
        <w:rPr>
          <w:rFonts w:asciiTheme="minorHAnsi" w:hAnsiTheme="minorHAnsi" w:cstheme="minorHAnsi"/>
          <w:sz w:val="20"/>
          <w:szCs w:val="20"/>
        </w:rPr>
        <w:t xml:space="preserve">Council-25 Document </w:t>
      </w:r>
      <w:hyperlink r:id="rId1" w:history="1">
        <w:r w:rsidRPr="00DE25F8">
          <w:rPr>
            <w:rStyle w:val="Hyperlink"/>
            <w:rFonts w:asciiTheme="minorHAnsi" w:hAnsiTheme="minorHAnsi" w:cstheme="minorHAnsi"/>
            <w:sz w:val="20"/>
            <w:szCs w:val="20"/>
          </w:rPr>
          <w:t>C25/105</w:t>
        </w:r>
      </w:hyperlink>
    </w:p>
    <w:p w14:paraId="39B17008" w14:textId="41FC33B9" w:rsidR="00247576" w:rsidRDefault="00617FC9" w:rsidP="00247576">
      <w:pPr>
        <w:pStyle w:val="Footnotes"/>
        <w:numPr>
          <w:ilvl w:val="0"/>
          <w:numId w:val="80"/>
        </w:numPr>
        <w:tabs>
          <w:tab w:val="clear" w:pos="256"/>
          <w:tab w:val="clear" w:pos="567"/>
        </w:tabs>
        <w:ind w:left="714" w:hanging="357"/>
        <w:rPr>
          <w:rFonts w:asciiTheme="minorHAnsi" w:hAnsiTheme="minorHAnsi" w:cstheme="minorHAnsi"/>
          <w:sz w:val="20"/>
          <w:szCs w:val="20"/>
        </w:rPr>
      </w:pPr>
      <w:r w:rsidRPr="00DE25F8">
        <w:rPr>
          <w:rFonts w:asciiTheme="minorHAnsi" w:hAnsiTheme="minorHAnsi" w:cstheme="minorHAnsi"/>
          <w:sz w:val="20"/>
          <w:szCs w:val="20"/>
        </w:rPr>
        <w:t xml:space="preserve">Annex H contains the “Recommendation on Regional Presence”, </w:t>
      </w:r>
    </w:p>
    <w:p w14:paraId="3186A154" w14:textId="7226ECCC" w:rsidR="00247576" w:rsidRDefault="00617FC9" w:rsidP="00247576">
      <w:pPr>
        <w:pStyle w:val="Footnotes"/>
        <w:numPr>
          <w:ilvl w:val="0"/>
          <w:numId w:val="80"/>
        </w:numPr>
        <w:tabs>
          <w:tab w:val="clear" w:pos="256"/>
          <w:tab w:val="clear" w:pos="567"/>
        </w:tabs>
        <w:ind w:left="714" w:hanging="357"/>
        <w:rPr>
          <w:rFonts w:asciiTheme="minorHAnsi" w:hAnsiTheme="minorHAnsi" w:cstheme="minorHAnsi"/>
          <w:sz w:val="20"/>
          <w:szCs w:val="20"/>
        </w:rPr>
      </w:pPr>
      <w:r w:rsidRPr="00DE25F8">
        <w:rPr>
          <w:rFonts w:asciiTheme="minorHAnsi" w:hAnsiTheme="minorHAnsi" w:cstheme="minorHAnsi"/>
          <w:sz w:val="20"/>
          <w:szCs w:val="20"/>
        </w:rPr>
        <w:t xml:space="preserve">Annex A contains the “Terms of Reference and Scope of Work for the review of ITU Regional Presence” </w:t>
      </w:r>
    </w:p>
    <w:p w14:paraId="77B6D8C3" w14:textId="5A572FD1" w:rsidR="00617FC9" w:rsidRPr="00DE25F8" w:rsidRDefault="00617FC9" w:rsidP="00247576">
      <w:pPr>
        <w:pStyle w:val="Footnotes"/>
        <w:numPr>
          <w:ilvl w:val="0"/>
          <w:numId w:val="80"/>
        </w:numPr>
        <w:tabs>
          <w:tab w:val="clear" w:pos="256"/>
          <w:tab w:val="clear" w:pos="567"/>
        </w:tabs>
        <w:ind w:left="714" w:hanging="357"/>
        <w:rPr>
          <w:rFonts w:asciiTheme="minorHAnsi" w:hAnsiTheme="minorHAnsi" w:cstheme="minorHAnsi"/>
          <w:sz w:val="20"/>
          <w:szCs w:val="20"/>
        </w:rPr>
      </w:pPr>
      <w:r w:rsidRPr="00DE25F8">
        <w:rPr>
          <w:rFonts w:asciiTheme="minorHAnsi" w:hAnsiTheme="minorHAnsi" w:cstheme="minorHAnsi"/>
          <w:sz w:val="20"/>
          <w:szCs w:val="20"/>
        </w:rPr>
        <w:t>Annex 1 contains the 27 “Key performance indicators and evaluation criteria to be considered in undertaking the review of the ITU’s Regional Presence”</w:t>
      </w:r>
    </w:p>
  </w:footnote>
  <w:footnote w:id="2">
    <w:p w14:paraId="3CA6A3B5"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w:t>
      </w:r>
      <w:r w:rsidRPr="00DE25F8">
        <w:rPr>
          <w:rFonts w:asciiTheme="minorHAnsi" w:eastAsia="Segoe UI" w:hAnsiTheme="minorHAnsi" w:cstheme="minorHAnsi"/>
          <w:sz w:val="20"/>
          <w:szCs w:val="20"/>
        </w:rPr>
        <w:t>Percentages are rounded to the nearest integer and may therefore not add up to 100 per cent.</w:t>
      </w:r>
    </w:p>
  </w:footnote>
  <w:footnote w:id="3">
    <w:p w14:paraId="5FE31BC3" w14:textId="77777777" w:rsidR="00617FC9" w:rsidRPr="00DE25F8" w:rsidRDefault="00617FC9" w:rsidP="00617FC9">
      <w:pPr>
        <w:pStyle w:val="Footnotes"/>
        <w:rPr>
          <w:rFonts w:asciiTheme="minorHAnsi" w:eastAsia="Yu Gothic Light"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T</w:t>
      </w:r>
      <w:r w:rsidRPr="00DE25F8">
        <w:rPr>
          <w:rFonts w:asciiTheme="minorHAnsi" w:eastAsia="Yu Gothic Light" w:hAnsiTheme="minorHAnsi" w:cstheme="minorHAnsi"/>
          <w:sz w:val="20"/>
          <w:szCs w:val="20"/>
        </w:rPr>
        <w:t>his information is provided by ITU-HR-ODR Division.</w:t>
      </w:r>
    </w:p>
  </w:footnote>
  <w:footnote w:id="4">
    <w:p w14:paraId="26ACECD8"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ITU events registration dashboard (internal).</w:t>
      </w:r>
    </w:p>
  </w:footnote>
  <w:footnote w:id="5">
    <w:p w14:paraId="5306EE9D"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Ibid.</w:t>
      </w:r>
    </w:p>
  </w:footnote>
  <w:footnote w:id="6">
    <w:p w14:paraId="4BFCD633"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Analysis of information collected from selected staff who organized events in the regions.</w:t>
      </w:r>
    </w:p>
  </w:footnote>
  <w:footnote w:id="7">
    <w:p w14:paraId="3DB24236"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Ibid.</w:t>
      </w:r>
    </w:p>
  </w:footnote>
  <w:footnote w:id="8">
    <w:p w14:paraId="7AA2E9BB"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Ibid.</w:t>
      </w:r>
    </w:p>
  </w:footnote>
  <w:footnote w:id="9">
    <w:p w14:paraId="56ED9C26" w14:textId="77777777" w:rsidR="00617FC9" w:rsidRPr="00DE25F8" w:rsidRDefault="00617FC9" w:rsidP="00617FC9">
      <w:pPr>
        <w:pStyle w:val="Footnotes"/>
        <w:rPr>
          <w:rFonts w:asciiTheme="minorHAnsi" w:eastAsia="Malgun Gothic"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w:t>
      </w:r>
      <w:r w:rsidRPr="00DE25F8">
        <w:rPr>
          <w:rFonts w:asciiTheme="minorHAnsi" w:eastAsia="Malgun Gothic" w:hAnsiTheme="minorHAnsi" w:cstheme="minorHAnsi"/>
          <w:sz w:val="20"/>
          <w:szCs w:val="20"/>
        </w:rPr>
        <w:t>ITU events registration dashboard (internal).</w:t>
      </w:r>
    </w:p>
  </w:footnote>
  <w:footnote w:id="10">
    <w:p w14:paraId="748C4953"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Annex 1 to </w:t>
      </w:r>
      <w:hyperlink r:id="rId2">
        <w:r w:rsidRPr="00DE25F8">
          <w:rPr>
            <w:rStyle w:val="Hyperlink"/>
            <w:rFonts w:asciiTheme="minorHAnsi" w:eastAsia="Aptos" w:hAnsiTheme="minorHAnsi" w:cstheme="minorHAnsi"/>
            <w:sz w:val="20"/>
            <w:szCs w:val="20"/>
          </w:rPr>
          <w:t>Resolution 71 (Rev. Bucharest, 2022)</w:t>
        </w:r>
      </w:hyperlink>
      <w:r w:rsidRPr="00DE25F8">
        <w:rPr>
          <w:rFonts w:asciiTheme="minorHAnsi" w:hAnsiTheme="minorHAnsi" w:cstheme="minorHAnsi"/>
          <w:sz w:val="20"/>
          <w:szCs w:val="20"/>
        </w:rPr>
        <w:t xml:space="preserve"> of the Plenipotentiary Conference.</w:t>
      </w:r>
    </w:p>
  </w:footnote>
  <w:footnote w:id="11">
    <w:p w14:paraId="44E5E818"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Linking ITU strategic, financial and operational plans (</w:t>
      </w:r>
      <w:hyperlink r:id="rId3" w:history="1">
        <w:r w:rsidRPr="00DE25F8">
          <w:rPr>
            <w:rStyle w:val="Hyperlink"/>
            <w:rFonts w:asciiTheme="minorHAnsi" w:hAnsiTheme="minorHAnsi" w:cstheme="minorHAnsi"/>
            <w:sz w:val="20"/>
            <w:szCs w:val="20"/>
          </w:rPr>
          <w:t>CWG-SFP-3/6</w:t>
        </w:r>
      </w:hyperlink>
      <w:r w:rsidRPr="00DE25F8">
        <w:rPr>
          <w:rFonts w:asciiTheme="minorHAnsi" w:hAnsiTheme="minorHAnsi" w:cstheme="minorHAnsi"/>
          <w:sz w:val="20"/>
          <w:szCs w:val="20"/>
        </w:rPr>
        <w:t>).</w:t>
      </w:r>
    </w:p>
  </w:footnote>
  <w:footnote w:id="12">
    <w:p w14:paraId="4305ACC5"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Strengthening ITU's regional presence (</w:t>
      </w:r>
      <w:hyperlink r:id="rId4" w:history="1">
        <w:r w:rsidRPr="00DE25F8">
          <w:rPr>
            <w:rStyle w:val="Hyperlink"/>
            <w:rFonts w:asciiTheme="minorHAnsi" w:hAnsiTheme="minorHAnsi" w:cstheme="minorHAnsi"/>
            <w:sz w:val="20"/>
            <w:szCs w:val="20"/>
          </w:rPr>
          <w:t>C25/25</w:t>
        </w:r>
      </w:hyperlink>
      <w:r w:rsidRPr="00DE25F8">
        <w:rPr>
          <w:rFonts w:asciiTheme="minorHAnsi" w:hAnsiTheme="minorHAnsi" w:cstheme="minorHAnsi"/>
          <w:sz w:val="20"/>
          <w:szCs w:val="20"/>
        </w:rPr>
        <w:t>).</w:t>
      </w:r>
    </w:p>
  </w:footnote>
  <w:footnote w:id="13">
    <w:p w14:paraId="4BC1E96B"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Strengthening ITU's regional presence</w:t>
      </w:r>
      <w:r w:rsidRPr="00DE25F8">
        <w:rPr>
          <w:rFonts w:asciiTheme="minorHAnsi" w:eastAsia="Malgun Gothic" w:hAnsiTheme="minorHAnsi" w:cstheme="minorHAnsi"/>
          <w:sz w:val="20"/>
          <w:szCs w:val="20"/>
        </w:rPr>
        <w:t xml:space="preserve"> (</w:t>
      </w:r>
      <w:hyperlink r:id="rId5" w:history="1">
        <w:r w:rsidRPr="00DE25F8">
          <w:rPr>
            <w:rStyle w:val="Hyperlink"/>
            <w:rFonts w:asciiTheme="minorHAnsi" w:hAnsiTheme="minorHAnsi" w:cstheme="minorHAnsi"/>
            <w:sz w:val="20"/>
            <w:szCs w:val="20"/>
          </w:rPr>
          <w:t>C25/25</w:t>
        </w:r>
      </w:hyperlink>
      <w:r w:rsidRPr="00DE25F8">
        <w:rPr>
          <w:rFonts w:asciiTheme="minorHAnsi" w:eastAsia="Malgun Gothic" w:hAnsiTheme="minorHAnsi" w:cstheme="minorHAnsi"/>
          <w:sz w:val="20"/>
          <w:szCs w:val="20"/>
        </w:rPr>
        <w:t xml:space="preserve">) and </w:t>
      </w:r>
      <w:r w:rsidRPr="00DE25F8">
        <w:rPr>
          <w:rFonts w:asciiTheme="minorHAnsi" w:hAnsiTheme="minorHAnsi" w:cstheme="minorHAnsi"/>
          <w:sz w:val="20"/>
          <w:szCs w:val="20"/>
        </w:rPr>
        <w:t xml:space="preserve">Report on the implementation of the Kigali Action Plan </w:t>
      </w:r>
      <w:r w:rsidRPr="00DE25F8">
        <w:rPr>
          <w:rFonts w:asciiTheme="minorHAnsi" w:eastAsia="Malgun Gothic" w:hAnsiTheme="minorHAnsi" w:cstheme="minorHAnsi"/>
          <w:sz w:val="20"/>
          <w:szCs w:val="20"/>
        </w:rPr>
        <w:t>(</w:t>
      </w:r>
      <w:hyperlink r:id="rId6" w:history="1">
        <w:r w:rsidRPr="00DE25F8">
          <w:rPr>
            <w:rStyle w:val="Hyperlink"/>
            <w:rFonts w:asciiTheme="minorHAnsi" w:hAnsiTheme="minorHAnsi" w:cstheme="minorHAnsi"/>
            <w:sz w:val="20"/>
            <w:szCs w:val="20"/>
          </w:rPr>
          <w:t>WTDC-25/2</w:t>
        </w:r>
      </w:hyperlink>
      <w:r w:rsidRPr="00DE25F8">
        <w:rPr>
          <w:rFonts w:asciiTheme="minorHAnsi" w:eastAsia="Malgun Gothic" w:hAnsiTheme="minorHAnsi" w:cstheme="minorHAnsi"/>
          <w:sz w:val="20"/>
          <w:szCs w:val="20"/>
        </w:rPr>
        <w:t>).</w:t>
      </w:r>
    </w:p>
  </w:footnote>
  <w:footnote w:id="14">
    <w:p w14:paraId="69247E44"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ITU-R draft operational plan for 2026-2029 and 2024 performance report, </w:t>
      </w:r>
      <w:hyperlink r:id="rId7">
        <w:r w:rsidRPr="00DE25F8">
          <w:rPr>
            <w:rStyle w:val="Hyperlink"/>
            <w:rFonts w:asciiTheme="minorHAnsi" w:hAnsiTheme="minorHAnsi" w:cstheme="minorHAnsi"/>
            <w:sz w:val="20"/>
            <w:szCs w:val="20"/>
          </w:rPr>
          <w:t>RAG/37</w:t>
        </w:r>
      </w:hyperlink>
    </w:p>
  </w:footnote>
  <w:footnote w:id="15">
    <w:p w14:paraId="380CF316"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ITU-T draft operational plan for 2026-2029 and 2024 performance report, </w:t>
      </w:r>
      <w:hyperlink r:id="rId8" w:history="1">
        <w:r w:rsidRPr="00DE25F8">
          <w:rPr>
            <w:rStyle w:val="Hyperlink"/>
            <w:rFonts w:asciiTheme="minorHAnsi" w:hAnsiTheme="minorHAnsi" w:cstheme="minorHAnsi"/>
            <w:sz w:val="20"/>
            <w:szCs w:val="20"/>
          </w:rPr>
          <w:t>TSAG-TD137</w:t>
        </w:r>
      </w:hyperlink>
    </w:p>
  </w:footnote>
  <w:footnote w:id="16">
    <w:p w14:paraId="63D65A8C"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ITU-D draft operational plan for 2026-2029 and 2024 performance report, </w:t>
      </w:r>
      <w:hyperlink r:id="rId9" w:history="1">
        <w:r w:rsidRPr="00DE25F8">
          <w:rPr>
            <w:rStyle w:val="Hyperlink"/>
            <w:rFonts w:asciiTheme="minorHAnsi" w:hAnsiTheme="minorHAnsi" w:cstheme="minorHAnsi"/>
            <w:sz w:val="20"/>
            <w:szCs w:val="20"/>
          </w:rPr>
          <w:t>TDAG-25/40</w:t>
        </w:r>
      </w:hyperlink>
    </w:p>
  </w:footnote>
  <w:footnote w:id="17">
    <w:p w14:paraId="315C989C"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Initial draft performance indicators for strategic plan 2028, </w:t>
      </w:r>
      <w:hyperlink r:id="rId10">
        <w:r w:rsidRPr="00DE25F8">
          <w:rPr>
            <w:rStyle w:val="Hyperlink"/>
            <w:rFonts w:asciiTheme="minorHAnsi" w:eastAsia="Aptos" w:hAnsiTheme="minorHAnsi" w:cstheme="minorHAnsi"/>
            <w:sz w:val="20"/>
            <w:szCs w:val="20"/>
          </w:rPr>
          <w:t>CWG-SFP-3/7</w:t>
        </w:r>
      </w:hyperlink>
    </w:p>
  </w:footnote>
  <w:footnote w:id="18">
    <w:p w14:paraId="485753CA"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w:t>
      </w:r>
      <w:hyperlink r:id="rId11" w:history="1">
        <w:r w:rsidRPr="00DE25F8">
          <w:rPr>
            <w:rStyle w:val="Hyperlink"/>
            <w:rFonts w:asciiTheme="minorHAnsi" w:hAnsiTheme="minorHAnsi" w:cstheme="minorHAnsi"/>
            <w:sz w:val="20"/>
            <w:szCs w:val="20"/>
          </w:rPr>
          <w:t>Policy for awarding fellowships for events and activities funded through the ITU regular budget</w:t>
        </w:r>
      </w:hyperlink>
      <w:r w:rsidRPr="00DE25F8">
        <w:rPr>
          <w:rFonts w:asciiTheme="minorHAnsi" w:hAnsiTheme="minorHAnsi" w:cstheme="minorHAnsi"/>
          <w:sz w:val="20"/>
          <w:szCs w:val="20"/>
        </w:rPr>
        <w:t>, Service Order No. 21/02.</w:t>
      </w:r>
    </w:p>
  </w:footnote>
  <w:footnote w:id="19">
    <w:p w14:paraId="59365249"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Data provided by the ITU Fellowships Team.</w:t>
      </w:r>
    </w:p>
  </w:footnote>
  <w:footnote w:id="20">
    <w:p w14:paraId="13FF958F"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Ibid.</w:t>
      </w:r>
    </w:p>
  </w:footnote>
  <w:footnote w:id="21">
    <w:p w14:paraId="4F195D06"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Multi-country contribution - Measures to improve, promote and strengthen ITU fellowships: </w:t>
      </w:r>
      <w:hyperlink r:id="rId12" w:tgtFrame="_blank" w:history="1">
        <w:r w:rsidRPr="00DE25F8">
          <w:rPr>
            <w:rStyle w:val="Hyperlink"/>
            <w:rFonts w:asciiTheme="minorHAnsi" w:hAnsiTheme="minorHAnsi" w:cstheme="minorHAnsi"/>
            <w:sz w:val="20"/>
            <w:szCs w:val="20"/>
          </w:rPr>
          <w:t>C24/100</w:t>
        </w:r>
      </w:hyperlink>
    </w:p>
  </w:footnote>
  <w:footnote w:id="22">
    <w:p w14:paraId="1B12935D"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eastAsia="Aptos" w:hAnsiTheme="minorHAnsi" w:cstheme="minorHAnsi"/>
          <w:sz w:val="20"/>
          <w:szCs w:val="20"/>
        </w:rPr>
        <w:footnoteRef/>
      </w:r>
      <w:r w:rsidRPr="00DE25F8">
        <w:rPr>
          <w:rFonts w:asciiTheme="minorHAnsi" w:hAnsiTheme="minorHAnsi" w:cstheme="minorHAnsi"/>
          <w:sz w:val="20"/>
          <w:szCs w:val="20"/>
        </w:rPr>
        <w:t xml:space="preserve"> Ibid.</w:t>
      </w:r>
    </w:p>
  </w:footnote>
  <w:footnote w:id="23">
    <w:p w14:paraId="32AC04A4" w14:textId="77777777" w:rsidR="00617FC9" w:rsidRPr="00DE25F8" w:rsidRDefault="00617FC9" w:rsidP="00617FC9">
      <w:pPr>
        <w:pStyle w:val="Footnotes"/>
        <w:rPr>
          <w:rStyle w:val="Hyperlink"/>
          <w:rFonts w:asciiTheme="minorHAnsi" w:eastAsiaTheme="majorEastAsia" w:hAnsiTheme="minorHAnsi" w:cstheme="minorHAnsi"/>
          <w:sz w:val="20"/>
          <w:szCs w:val="20"/>
        </w:rPr>
      </w:pPr>
      <w:r w:rsidRPr="00DE25F8">
        <w:rPr>
          <w:rStyle w:val="FootnoteReference"/>
          <w:rFonts w:asciiTheme="minorHAnsi" w:hAnsiTheme="minorHAnsi" w:cstheme="minorHAnsi"/>
          <w:sz w:val="20"/>
          <w:szCs w:val="20"/>
          <w:u w:val="single"/>
        </w:rPr>
        <w:footnoteRef/>
      </w:r>
      <w:r w:rsidRPr="00DE25F8">
        <w:rPr>
          <w:rFonts w:asciiTheme="minorHAnsi" w:hAnsiTheme="minorHAnsi" w:cstheme="minorHAnsi"/>
          <w:sz w:val="20"/>
          <w:szCs w:val="20"/>
          <w:u w:val="single"/>
        </w:rPr>
        <w:t xml:space="preserve"> </w:t>
      </w:r>
      <w:r w:rsidRPr="000220F4">
        <w:rPr>
          <w:rStyle w:val="Hyperlink"/>
          <w:rFonts w:asciiTheme="minorHAnsi" w:eastAsiaTheme="majorEastAsia" w:hAnsiTheme="minorHAnsi" w:cstheme="minorHAnsi"/>
          <w:color w:val="000000" w:themeColor="text1"/>
          <w:sz w:val="20"/>
          <w:szCs w:val="20"/>
          <w:u w:val="none"/>
        </w:rPr>
        <w:t xml:space="preserve">UN Specialized Agencies, available at: </w:t>
      </w:r>
      <w:hyperlink r:id="rId13" w:history="1">
        <w:r w:rsidRPr="00DE25F8">
          <w:rPr>
            <w:rStyle w:val="Hyperlink"/>
            <w:rFonts w:asciiTheme="minorHAnsi" w:eastAsiaTheme="majorEastAsia" w:hAnsiTheme="minorHAnsi" w:cstheme="minorHAnsi"/>
            <w:sz w:val="20"/>
            <w:szCs w:val="20"/>
          </w:rPr>
          <w:t>https://www.un.org/en/about-us/un-system</w:t>
        </w:r>
      </w:hyperlink>
      <w:r w:rsidRPr="00DE25F8">
        <w:rPr>
          <w:rStyle w:val="Hyperlink"/>
          <w:rFonts w:asciiTheme="minorHAnsi" w:eastAsiaTheme="majorEastAsia" w:hAnsiTheme="minorHAnsi" w:cstheme="minorHAnsi"/>
          <w:sz w:val="20"/>
          <w:szCs w:val="20"/>
        </w:rPr>
        <w:t xml:space="preserve"> </w:t>
      </w:r>
    </w:p>
  </w:footnote>
  <w:footnote w:id="24">
    <w:p w14:paraId="0C3AE7B7"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w:t>
      </w:r>
      <w:hyperlink r:id="rId14" w:history="1">
        <w:r w:rsidRPr="00DE25F8">
          <w:rPr>
            <w:rStyle w:val="Hyperlink"/>
            <w:rFonts w:asciiTheme="minorHAnsi" w:eastAsiaTheme="majorEastAsia" w:hAnsiTheme="minorHAnsi" w:cstheme="minorHAnsi"/>
            <w:sz w:val="20"/>
            <w:szCs w:val="20"/>
          </w:rPr>
          <w:t>Review of ITU Regional Presence – Report by PWC, July 2020</w:t>
        </w:r>
      </w:hyperlink>
    </w:p>
  </w:footnote>
  <w:footnote w:id="25">
    <w:p w14:paraId="4AD80CAE"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w:t>
      </w:r>
      <w:r w:rsidRPr="00DE25F8">
        <w:rPr>
          <w:rFonts w:asciiTheme="minorHAnsi" w:eastAsia="Calibri" w:hAnsiTheme="minorHAnsi" w:cstheme="minorHAnsi"/>
          <w:sz w:val="20"/>
          <w:szCs w:val="20"/>
        </w:rPr>
        <w:t xml:space="preserve">International Civil Aviation Organization (ICAO), </w:t>
      </w:r>
      <w:r w:rsidRPr="00DE25F8">
        <w:rPr>
          <w:rFonts w:asciiTheme="minorHAnsi" w:eastAsia="Calibri" w:hAnsiTheme="minorHAnsi" w:cstheme="minorHAnsi"/>
          <w:i/>
          <w:sz w:val="20"/>
          <w:szCs w:val="20"/>
        </w:rPr>
        <w:t>Strategic Objectives</w:t>
      </w:r>
      <w:r w:rsidRPr="00DE25F8">
        <w:rPr>
          <w:rFonts w:asciiTheme="minorHAnsi" w:eastAsia="Calibri" w:hAnsiTheme="minorHAnsi" w:cstheme="minorHAnsi"/>
          <w:sz w:val="20"/>
          <w:szCs w:val="20"/>
        </w:rPr>
        <w:t xml:space="preserve">, Montreal. URL: </w:t>
      </w:r>
      <w:hyperlink r:id="rId15">
        <w:r w:rsidRPr="00DE25F8">
          <w:rPr>
            <w:rStyle w:val="Hyperlink"/>
            <w:rFonts w:asciiTheme="minorHAnsi" w:eastAsia="Calibri" w:hAnsiTheme="minorHAnsi" w:cstheme="minorHAnsi"/>
            <w:color w:val="467886"/>
            <w:sz w:val="20"/>
            <w:szCs w:val="20"/>
          </w:rPr>
          <w:t>https://www.icao.int/strategic-objectives</w:t>
        </w:r>
      </w:hyperlink>
    </w:p>
  </w:footnote>
  <w:footnote w:id="26">
    <w:p w14:paraId="5D6B47B3"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IMO launches Regional Presence Office for the MENA region in Alexandria, Egypt: available at: </w:t>
      </w:r>
      <w:hyperlink r:id="rId16" w:history="1">
        <w:r w:rsidRPr="00DE25F8">
          <w:rPr>
            <w:rStyle w:val="Hyperlink"/>
            <w:rFonts w:asciiTheme="minorHAnsi" w:eastAsiaTheme="majorEastAsia" w:hAnsiTheme="minorHAnsi" w:cstheme="minorHAnsi"/>
            <w:sz w:val="20"/>
            <w:szCs w:val="20"/>
          </w:rPr>
          <w:t>https://www.imo.org/en/mediacentre/pressbriefings/pages/imo-launches-rpo-in-egypt.aspx</w:t>
        </w:r>
      </w:hyperlink>
      <w:r w:rsidRPr="00DE25F8">
        <w:rPr>
          <w:rFonts w:asciiTheme="minorHAnsi" w:hAnsiTheme="minorHAnsi" w:cstheme="minorHAnsi"/>
          <w:sz w:val="20"/>
          <w:szCs w:val="20"/>
        </w:rPr>
        <w:t xml:space="preserve"> </w:t>
      </w:r>
    </w:p>
  </w:footnote>
  <w:footnote w:id="27">
    <w:p w14:paraId="77AA8BB8"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IMO Regional Presence Scheme, available at: </w:t>
      </w:r>
      <w:hyperlink r:id="rId17" w:history="1">
        <w:r w:rsidRPr="00DE25F8">
          <w:rPr>
            <w:rStyle w:val="Hyperlink"/>
            <w:rFonts w:asciiTheme="minorHAnsi" w:eastAsiaTheme="majorEastAsia" w:hAnsiTheme="minorHAnsi" w:cstheme="minorHAnsi"/>
            <w:sz w:val="20"/>
            <w:szCs w:val="20"/>
          </w:rPr>
          <w:t>https://www.imo.org/en/ourwork/technicalcooperation/pages/geo-coverage.aspx</w:t>
        </w:r>
      </w:hyperlink>
      <w:r w:rsidRPr="00DE25F8">
        <w:rPr>
          <w:rFonts w:asciiTheme="minorHAnsi" w:hAnsiTheme="minorHAnsi" w:cstheme="minorHAnsi"/>
          <w:sz w:val="20"/>
          <w:szCs w:val="20"/>
        </w:rPr>
        <w:t xml:space="preserve"> </w:t>
      </w:r>
    </w:p>
  </w:footnote>
  <w:footnote w:id="28">
    <w:p w14:paraId="64BF0F0C" w14:textId="77777777" w:rsidR="00617FC9" w:rsidRPr="00DE25F8" w:rsidRDefault="00617FC9" w:rsidP="00617FC9">
      <w:pPr>
        <w:pStyle w:val="Footnotes"/>
        <w:rPr>
          <w:rFonts w:asciiTheme="minorHAnsi" w:hAnsiTheme="minorHAnsi" w:cstheme="minorHAnsi"/>
          <w:sz w:val="20"/>
          <w:szCs w:val="20"/>
          <w:lang w:val="pl-PL"/>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w:t>
      </w:r>
      <w:r w:rsidRPr="00DE25F8">
        <w:rPr>
          <w:rFonts w:asciiTheme="minorHAnsi" w:hAnsiTheme="minorHAnsi" w:cstheme="minorHAnsi"/>
          <w:sz w:val="20"/>
          <w:szCs w:val="20"/>
          <w:lang w:val="en-US"/>
        </w:rPr>
        <w:t xml:space="preserve">International Telecommunication Union (ITU), Regional Presence (ITU-D), Geneva. </w:t>
      </w:r>
      <w:r w:rsidRPr="00DE25F8">
        <w:rPr>
          <w:rFonts w:asciiTheme="minorHAnsi" w:hAnsiTheme="minorHAnsi" w:cstheme="minorHAnsi"/>
          <w:sz w:val="20"/>
          <w:szCs w:val="20"/>
          <w:lang w:val="pl-PL"/>
        </w:rPr>
        <w:t xml:space="preserve">URL: </w:t>
      </w:r>
      <w:hyperlink r:id="rId18" w:history="1">
        <w:r w:rsidRPr="00DE25F8">
          <w:rPr>
            <w:rStyle w:val="Hyperlink"/>
            <w:rFonts w:asciiTheme="minorHAnsi" w:eastAsiaTheme="majorEastAsia" w:hAnsiTheme="minorHAnsi" w:cstheme="minorHAnsi"/>
            <w:sz w:val="20"/>
            <w:szCs w:val="20"/>
            <w:lang w:val="pl-PL"/>
          </w:rPr>
          <w:t>https://www.itu.int/en/ITU-D/pages/regional-presence.aspx</w:t>
        </w:r>
      </w:hyperlink>
      <w:r w:rsidRPr="00DE25F8">
        <w:rPr>
          <w:rFonts w:asciiTheme="minorHAnsi" w:hAnsiTheme="minorHAnsi" w:cstheme="minorHAnsi"/>
          <w:sz w:val="20"/>
          <w:szCs w:val="20"/>
          <w:lang w:val="pl-PL"/>
        </w:rPr>
        <w:t xml:space="preserve"> </w:t>
      </w:r>
    </w:p>
  </w:footnote>
  <w:footnote w:id="29">
    <w:p w14:paraId="10B12D48"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w:t>
      </w:r>
      <w:r w:rsidRPr="00DE25F8">
        <w:rPr>
          <w:rFonts w:asciiTheme="minorHAnsi" w:eastAsia="Calibri" w:hAnsiTheme="minorHAnsi" w:cstheme="minorHAnsi"/>
          <w:sz w:val="20"/>
          <w:szCs w:val="20"/>
        </w:rPr>
        <w:t xml:space="preserve">World Meteorological Organization (WMO), </w:t>
      </w:r>
      <w:r w:rsidRPr="00DE25F8">
        <w:rPr>
          <w:rFonts w:asciiTheme="minorHAnsi" w:eastAsia="Calibri" w:hAnsiTheme="minorHAnsi" w:cstheme="minorHAnsi"/>
          <w:i/>
          <w:sz w:val="20"/>
          <w:szCs w:val="20"/>
        </w:rPr>
        <w:t>Regional Associations</w:t>
      </w:r>
      <w:r w:rsidRPr="00DE25F8">
        <w:rPr>
          <w:rFonts w:asciiTheme="minorHAnsi" w:eastAsia="Calibri" w:hAnsiTheme="minorHAnsi" w:cstheme="minorHAnsi"/>
          <w:sz w:val="20"/>
          <w:szCs w:val="20"/>
        </w:rPr>
        <w:t xml:space="preserve"> (WMO Regions), Geneva. URL: </w:t>
      </w:r>
      <w:hyperlink r:id="rId19">
        <w:r w:rsidRPr="00DE25F8">
          <w:rPr>
            <w:rStyle w:val="Hyperlink"/>
            <w:rFonts w:asciiTheme="minorHAnsi" w:eastAsia="Calibri" w:hAnsiTheme="minorHAnsi" w:cstheme="minorHAnsi"/>
            <w:color w:val="467886"/>
            <w:sz w:val="20"/>
            <w:szCs w:val="20"/>
          </w:rPr>
          <w:t>https://wmo.int/about-wmo/regions/regional-associations</w:t>
        </w:r>
      </w:hyperlink>
    </w:p>
  </w:footnote>
  <w:footnote w:id="30">
    <w:p w14:paraId="7822E889" w14:textId="77777777" w:rsidR="00617FC9" w:rsidRPr="00DE25F8" w:rsidRDefault="00617FC9" w:rsidP="00617FC9">
      <w:pPr>
        <w:pStyle w:val="Footnotes"/>
        <w:rPr>
          <w:rFonts w:asciiTheme="minorHAnsi" w:eastAsia="Calibri" w:hAnsiTheme="minorHAnsi" w:cstheme="minorHAnsi"/>
          <w:sz w:val="20"/>
          <w:szCs w:val="20"/>
          <w:lang w:val="pl-PL"/>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w:t>
      </w:r>
      <w:r w:rsidRPr="00DE25F8">
        <w:rPr>
          <w:rFonts w:asciiTheme="minorHAnsi" w:eastAsia="Calibri" w:hAnsiTheme="minorHAnsi" w:cstheme="minorHAnsi"/>
          <w:sz w:val="20"/>
          <w:szCs w:val="20"/>
        </w:rPr>
        <w:t xml:space="preserve">International Telecommunication Union (ITU), </w:t>
      </w:r>
      <w:r w:rsidRPr="00DE25F8">
        <w:rPr>
          <w:rFonts w:asciiTheme="minorHAnsi" w:eastAsia="Calibri" w:hAnsiTheme="minorHAnsi" w:cstheme="minorHAnsi"/>
          <w:i/>
          <w:sz w:val="20"/>
          <w:szCs w:val="20"/>
        </w:rPr>
        <w:t>Regional Presence</w:t>
      </w:r>
      <w:r w:rsidRPr="00DE25F8">
        <w:rPr>
          <w:rFonts w:asciiTheme="minorHAnsi" w:eastAsia="Calibri" w:hAnsiTheme="minorHAnsi" w:cstheme="minorHAnsi"/>
          <w:sz w:val="20"/>
          <w:szCs w:val="20"/>
        </w:rPr>
        <w:t xml:space="preserve"> (ITU-D), Geneva. </w:t>
      </w:r>
      <w:r w:rsidRPr="00DE25F8">
        <w:rPr>
          <w:rFonts w:asciiTheme="minorHAnsi" w:eastAsia="Calibri" w:hAnsiTheme="minorHAnsi" w:cstheme="minorHAnsi"/>
          <w:sz w:val="20"/>
          <w:szCs w:val="20"/>
          <w:lang w:val="pl-PL"/>
        </w:rPr>
        <w:t>URL:</w:t>
      </w:r>
      <w:r w:rsidRPr="00DE25F8">
        <w:rPr>
          <w:rFonts w:asciiTheme="minorHAnsi" w:eastAsia="Calibri" w:hAnsiTheme="minorHAnsi" w:cstheme="minorHAnsi"/>
          <w:b/>
          <w:sz w:val="20"/>
          <w:szCs w:val="20"/>
          <w:lang w:val="pl-PL"/>
        </w:rPr>
        <w:t xml:space="preserve"> </w:t>
      </w:r>
      <w:hyperlink r:id="rId20">
        <w:r w:rsidRPr="00DE25F8">
          <w:rPr>
            <w:rStyle w:val="Hyperlink"/>
            <w:rFonts w:asciiTheme="minorHAnsi" w:eastAsia="Calibri" w:hAnsiTheme="minorHAnsi" w:cstheme="minorHAnsi"/>
            <w:b/>
            <w:color w:val="467886"/>
            <w:sz w:val="20"/>
            <w:szCs w:val="20"/>
            <w:lang w:val="pl-PL"/>
          </w:rPr>
          <w:t>https://www.itu.int/en/ITU-D/pages/regional-presence.aspx</w:t>
        </w:r>
      </w:hyperlink>
      <w:r w:rsidRPr="00DE25F8">
        <w:rPr>
          <w:rFonts w:asciiTheme="minorHAnsi" w:hAnsiTheme="minorHAnsi" w:cstheme="minorHAnsi"/>
          <w:sz w:val="20"/>
          <w:szCs w:val="20"/>
          <w:lang w:val="pl-PL"/>
        </w:rPr>
        <w:t xml:space="preserve"> </w:t>
      </w:r>
    </w:p>
  </w:footnote>
  <w:footnote w:id="31">
    <w:p w14:paraId="6E3FD79D" w14:textId="77777777" w:rsidR="00617FC9" w:rsidRPr="00DE25F8" w:rsidRDefault="00617FC9" w:rsidP="00617FC9">
      <w:pPr>
        <w:pStyle w:val="Footnotes"/>
        <w:rPr>
          <w:rFonts w:asciiTheme="minorHAnsi" w:hAnsiTheme="minorHAnsi" w:cstheme="minorHAnsi"/>
          <w:sz w:val="20"/>
          <w:szCs w:val="20"/>
          <w:lang w:val="en-US"/>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International Telecommunication Union (ITU), </w:t>
      </w:r>
      <w:r w:rsidRPr="00DE25F8">
        <w:rPr>
          <w:rFonts w:asciiTheme="minorHAnsi" w:hAnsiTheme="minorHAnsi" w:cstheme="minorHAnsi"/>
          <w:i/>
          <w:sz w:val="20"/>
          <w:szCs w:val="20"/>
        </w:rPr>
        <w:t>Council Dashboard: Human Resources Report</w:t>
      </w:r>
      <w:r w:rsidRPr="00DE25F8">
        <w:rPr>
          <w:rFonts w:asciiTheme="minorHAnsi" w:hAnsiTheme="minorHAnsi" w:cstheme="minorHAnsi"/>
          <w:sz w:val="20"/>
          <w:szCs w:val="20"/>
        </w:rPr>
        <w:t xml:space="preserve">, available at: </w:t>
      </w:r>
      <w:hyperlink r:id="rId21">
        <w:r w:rsidRPr="00DE25F8">
          <w:rPr>
            <w:rStyle w:val="Hyperlink"/>
            <w:rFonts w:asciiTheme="minorHAnsi" w:eastAsiaTheme="majorEastAsia" w:hAnsiTheme="minorHAnsi" w:cstheme="minorHAnsi"/>
            <w:sz w:val="20"/>
            <w:szCs w:val="20"/>
          </w:rPr>
          <w:t>https://www.itu.int/en/council/dashboard/Pages/HumanResourcesReport.aspx</w:t>
        </w:r>
      </w:hyperlink>
      <w:r w:rsidRPr="00DE25F8">
        <w:rPr>
          <w:rFonts w:asciiTheme="minorHAnsi" w:hAnsiTheme="minorHAnsi" w:cstheme="minorHAnsi"/>
          <w:sz w:val="20"/>
          <w:szCs w:val="20"/>
        </w:rPr>
        <w:t xml:space="preserve"> (accessed 4 March 2026).</w:t>
      </w:r>
    </w:p>
  </w:footnote>
  <w:footnote w:id="32">
    <w:p w14:paraId="223F8804" w14:textId="77777777" w:rsidR="00617FC9" w:rsidRPr="00DE25F8" w:rsidRDefault="00617FC9" w:rsidP="00617FC9">
      <w:pPr>
        <w:pStyle w:val="Footnotes"/>
        <w:rPr>
          <w:rFonts w:asciiTheme="minorHAnsi" w:hAnsiTheme="minorHAnsi" w:cstheme="minorHAnsi"/>
          <w:sz w:val="20"/>
          <w:szCs w:val="20"/>
          <w:lang w:val="pl-PL"/>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w:t>
      </w:r>
      <w:r w:rsidRPr="00DE25F8">
        <w:rPr>
          <w:rFonts w:asciiTheme="minorHAnsi" w:eastAsia="Calibri" w:hAnsiTheme="minorHAnsi" w:cstheme="minorHAnsi"/>
          <w:sz w:val="20"/>
          <w:szCs w:val="20"/>
        </w:rPr>
        <w:t xml:space="preserve">International Telecommunication Union (ITU), </w:t>
      </w:r>
      <w:r w:rsidRPr="00DE25F8">
        <w:rPr>
          <w:rFonts w:asciiTheme="minorHAnsi" w:eastAsia="Calibri" w:hAnsiTheme="minorHAnsi" w:cstheme="minorHAnsi"/>
          <w:i/>
          <w:sz w:val="20"/>
          <w:szCs w:val="20"/>
        </w:rPr>
        <w:t>Regional Presence</w:t>
      </w:r>
      <w:r w:rsidRPr="00DE25F8">
        <w:rPr>
          <w:rFonts w:asciiTheme="minorHAnsi" w:eastAsia="Calibri" w:hAnsiTheme="minorHAnsi" w:cstheme="minorHAnsi"/>
          <w:sz w:val="20"/>
          <w:szCs w:val="20"/>
        </w:rPr>
        <w:t xml:space="preserve"> (ITU-D), Geneva. </w:t>
      </w:r>
      <w:r w:rsidRPr="00DE25F8">
        <w:rPr>
          <w:rFonts w:asciiTheme="minorHAnsi" w:eastAsia="Calibri" w:hAnsiTheme="minorHAnsi" w:cstheme="minorHAnsi"/>
          <w:sz w:val="20"/>
          <w:szCs w:val="20"/>
          <w:lang w:val="pl-PL"/>
        </w:rPr>
        <w:t xml:space="preserve">URL: </w:t>
      </w:r>
      <w:hyperlink r:id="rId22">
        <w:r w:rsidRPr="00DE25F8">
          <w:rPr>
            <w:rStyle w:val="Hyperlink"/>
            <w:rFonts w:asciiTheme="minorHAnsi" w:eastAsia="Calibri" w:hAnsiTheme="minorHAnsi" w:cstheme="minorHAnsi"/>
            <w:color w:val="467886"/>
            <w:sz w:val="20"/>
            <w:szCs w:val="20"/>
            <w:lang w:val="pl-PL"/>
          </w:rPr>
          <w:t>https://www.itu.int/en/ITU-D/pages/regional-presence.aspx</w:t>
        </w:r>
      </w:hyperlink>
    </w:p>
  </w:footnote>
  <w:footnote w:id="33">
    <w:p w14:paraId="7A51BD2B" w14:textId="77777777" w:rsidR="00617FC9" w:rsidRPr="00DE25F8" w:rsidRDefault="00617FC9" w:rsidP="00617FC9">
      <w:pPr>
        <w:pStyle w:val="Footnotes"/>
        <w:rPr>
          <w:rFonts w:asciiTheme="minorHAnsi" w:hAnsiTheme="minorHAnsi" w:cstheme="minorHAnsi"/>
          <w:sz w:val="20"/>
          <w:szCs w:val="20"/>
          <w:lang w:val="pl-PL"/>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w:t>
      </w:r>
      <w:r w:rsidRPr="00DE25F8">
        <w:rPr>
          <w:rFonts w:asciiTheme="minorHAnsi" w:eastAsia="Calibri" w:hAnsiTheme="minorHAnsi" w:cstheme="minorHAnsi"/>
          <w:sz w:val="20"/>
          <w:szCs w:val="20"/>
        </w:rPr>
        <w:t xml:space="preserve">International Telecommunication Union (ITU), </w:t>
      </w:r>
      <w:r w:rsidRPr="00DE25F8">
        <w:rPr>
          <w:rFonts w:asciiTheme="minorHAnsi" w:eastAsia="Calibri" w:hAnsiTheme="minorHAnsi" w:cstheme="minorHAnsi"/>
          <w:i/>
          <w:sz w:val="20"/>
          <w:szCs w:val="20"/>
        </w:rPr>
        <w:t>ITU Strategic Plan 2024–2027: Vision and Mission</w:t>
      </w:r>
      <w:r w:rsidRPr="00DE25F8">
        <w:rPr>
          <w:rFonts w:asciiTheme="minorHAnsi" w:eastAsia="Calibri" w:hAnsiTheme="minorHAnsi" w:cstheme="minorHAnsi"/>
          <w:sz w:val="20"/>
          <w:szCs w:val="20"/>
        </w:rPr>
        <w:t xml:space="preserve">, Geneva. </w:t>
      </w:r>
      <w:r w:rsidRPr="00DE25F8">
        <w:rPr>
          <w:rFonts w:asciiTheme="minorHAnsi" w:eastAsia="Calibri" w:hAnsiTheme="minorHAnsi" w:cstheme="minorHAnsi"/>
          <w:sz w:val="20"/>
          <w:szCs w:val="20"/>
          <w:lang w:val="pl-PL"/>
        </w:rPr>
        <w:t xml:space="preserve">URL: </w:t>
      </w:r>
      <w:hyperlink r:id="rId23">
        <w:r w:rsidRPr="00DE25F8">
          <w:rPr>
            <w:rStyle w:val="Hyperlink"/>
            <w:rFonts w:asciiTheme="minorHAnsi" w:eastAsia="Calibri" w:hAnsiTheme="minorHAnsi" w:cstheme="minorHAnsi"/>
            <w:color w:val="467886"/>
            <w:sz w:val="20"/>
            <w:szCs w:val="20"/>
            <w:lang w:val="pl-PL"/>
          </w:rPr>
          <w:t>https://www.itu.int/en/council/planning/Documents/ITU-Strategic-Plan-2024-2027-Vision%26Mission.pdf</w:t>
        </w:r>
      </w:hyperlink>
    </w:p>
  </w:footnote>
  <w:footnote w:id="34">
    <w:p w14:paraId="2CD311E9"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w:t>
      </w:r>
      <w:r w:rsidRPr="00DE25F8">
        <w:rPr>
          <w:rFonts w:asciiTheme="minorHAnsi" w:eastAsia="Calibri" w:hAnsiTheme="minorHAnsi" w:cstheme="minorHAnsi"/>
          <w:sz w:val="20"/>
          <w:szCs w:val="20"/>
        </w:rPr>
        <w:t xml:space="preserve">International Civil Aviation Organization (ICAO), </w:t>
      </w:r>
      <w:r w:rsidRPr="00DE25F8">
        <w:rPr>
          <w:rFonts w:asciiTheme="minorHAnsi" w:eastAsia="Calibri" w:hAnsiTheme="minorHAnsi" w:cstheme="minorHAnsi"/>
          <w:i/>
          <w:sz w:val="20"/>
          <w:szCs w:val="20"/>
        </w:rPr>
        <w:t>Regional Offices</w:t>
      </w:r>
      <w:r w:rsidRPr="00DE25F8">
        <w:rPr>
          <w:rFonts w:asciiTheme="minorHAnsi" w:eastAsia="Calibri" w:hAnsiTheme="minorHAnsi" w:cstheme="minorHAnsi"/>
          <w:sz w:val="20"/>
          <w:szCs w:val="20"/>
        </w:rPr>
        <w:t xml:space="preserve">, Montreal. URL: </w:t>
      </w:r>
      <w:hyperlink r:id="rId24">
        <w:r w:rsidRPr="00DE25F8">
          <w:rPr>
            <w:rStyle w:val="Hyperlink"/>
            <w:rFonts w:asciiTheme="minorHAnsi" w:eastAsia="Calibri" w:hAnsiTheme="minorHAnsi" w:cstheme="minorHAnsi"/>
            <w:color w:val="467886"/>
            <w:sz w:val="20"/>
            <w:szCs w:val="20"/>
          </w:rPr>
          <w:t>https://www.icao.int/secretariat/RegionalOffice</w:t>
        </w:r>
      </w:hyperlink>
    </w:p>
  </w:footnote>
  <w:footnote w:id="35">
    <w:p w14:paraId="3862D1B7" w14:textId="77777777" w:rsidR="00617FC9" w:rsidRPr="00DE25F8" w:rsidRDefault="00617FC9" w:rsidP="00617FC9">
      <w:pPr>
        <w:pStyle w:val="Footnotes"/>
        <w:rPr>
          <w:rFonts w:asciiTheme="minorHAnsi" w:hAnsiTheme="minorHAnsi" w:cstheme="minorHAnsi"/>
          <w:sz w:val="20"/>
          <w:szCs w:val="20"/>
          <w:lang w:val="en-US"/>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w:t>
      </w:r>
      <w:r w:rsidRPr="00DE25F8">
        <w:rPr>
          <w:rFonts w:asciiTheme="minorHAnsi" w:eastAsia="Calibri" w:hAnsiTheme="minorHAnsi" w:cstheme="minorHAnsi"/>
          <w:sz w:val="20"/>
          <w:szCs w:val="20"/>
        </w:rPr>
        <w:t xml:space="preserve">International Civil Aviation Organization (ICAO), </w:t>
      </w:r>
      <w:r w:rsidRPr="00DE25F8">
        <w:rPr>
          <w:rFonts w:asciiTheme="minorHAnsi" w:eastAsia="Calibri" w:hAnsiTheme="minorHAnsi" w:cstheme="minorHAnsi"/>
          <w:i/>
          <w:sz w:val="20"/>
          <w:szCs w:val="20"/>
        </w:rPr>
        <w:t>Strategic Objectives</w:t>
      </w:r>
      <w:r w:rsidRPr="00DE25F8">
        <w:rPr>
          <w:rFonts w:asciiTheme="minorHAnsi" w:eastAsia="Calibri" w:hAnsiTheme="minorHAnsi" w:cstheme="minorHAnsi"/>
          <w:sz w:val="20"/>
          <w:szCs w:val="20"/>
        </w:rPr>
        <w:t xml:space="preserve">, Montreal. URL: </w:t>
      </w:r>
      <w:hyperlink r:id="rId25">
        <w:r w:rsidRPr="00DE25F8">
          <w:rPr>
            <w:rStyle w:val="Hyperlink"/>
            <w:rFonts w:asciiTheme="minorHAnsi" w:eastAsia="Calibri" w:hAnsiTheme="minorHAnsi" w:cstheme="minorHAnsi"/>
            <w:color w:val="467886"/>
            <w:sz w:val="20"/>
            <w:szCs w:val="20"/>
          </w:rPr>
          <w:t>https://www.icao.int/strategic-objectives</w:t>
        </w:r>
      </w:hyperlink>
    </w:p>
  </w:footnote>
  <w:footnote w:id="36">
    <w:p w14:paraId="42142A8E"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w:t>
      </w:r>
      <w:r w:rsidRPr="00DE25F8">
        <w:rPr>
          <w:rFonts w:asciiTheme="minorHAnsi" w:eastAsia="Calibri" w:hAnsiTheme="minorHAnsi" w:cstheme="minorHAnsi"/>
          <w:sz w:val="20"/>
          <w:szCs w:val="20"/>
        </w:rPr>
        <w:t xml:space="preserve">World Intellectual Property Organization (WIPO), </w:t>
      </w:r>
      <w:r w:rsidRPr="00DE25F8">
        <w:rPr>
          <w:rFonts w:asciiTheme="minorHAnsi" w:eastAsia="Calibri" w:hAnsiTheme="minorHAnsi" w:cstheme="minorHAnsi"/>
          <w:i/>
          <w:sz w:val="20"/>
          <w:szCs w:val="20"/>
        </w:rPr>
        <w:t>WIPO External Offices</w:t>
      </w:r>
      <w:r w:rsidRPr="00DE25F8">
        <w:rPr>
          <w:rFonts w:asciiTheme="minorHAnsi" w:eastAsia="Calibri" w:hAnsiTheme="minorHAnsi" w:cstheme="minorHAnsi"/>
          <w:sz w:val="20"/>
          <w:szCs w:val="20"/>
        </w:rPr>
        <w:t xml:space="preserve">, Geneva. URL: </w:t>
      </w:r>
      <w:hyperlink r:id="rId26">
        <w:r w:rsidRPr="00DE25F8">
          <w:rPr>
            <w:rStyle w:val="Hyperlink"/>
            <w:rFonts w:asciiTheme="minorHAnsi" w:eastAsia="Calibri" w:hAnsiTheme="minorHAnsi" w:cstheme="minorHAnsi"/>
            <w:color w:val="467886"/>
            <w:sz w:val="20"/>
            <w:szCs w:val="20"/>
          </w:rPr>
          <w:t>https://www.wipo.int/en/web/about-wipo/offices</w:t>
        </w:r>
      </w:hyperlink>
    </w:p>
  </w:footnote>
  <w:footnote w:id="37">
    <w:p w14:paraId="1AB15198" w14:textId="77777777" w:rsidR="00617FC9" w:rsidRPr="00DE25F8" w:rsidRDefault="00617FC9" w:rsidP="00617FC9">
      <w:pPr>
        <w:pStyle w:val="Footnotes"/>
        <w:rPr>
          <w:rFonts w:asciiTheme="minorHAnsi" w:hAnsiTheme="minorHAnsi" w:cstheme="minorHAnsi"/>
          <w:sz w:val="20"/>
          <w:szCs w:val="20"/>
          <w:lang w:val="pl-PL"/>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w:t>
      </w:r>
      <w:r w:rsidRPr="00DE25F8">
        <w:rPr>
          <w:rFonts w:asciiTheme="minorHAnsi" w:eastAsia="Calibri" w:hAnsiTheme="minorHAnsi" w:cstheme="minorHAnsi"/>
          <w:sz w:val="20"/>
          <w:szCs w:val="20"/>
        </w:rPr>
        <w:t xml:space="preserve">World Intellectual Property Organization (WIPO), </w:t>
      </w:r>
      <w:r w:rsidRPr="00DE25F8">
        <w:rPr>
          <w:rFonts w:asciiTheme="minorHAnsi" w:eastAsia="Calibri" w:hAnsiTheme="minorHAnsi" w:cstheme="minorHAnsi"/>
          <w:i/>
          <w:sz w:val="20"/>
          <w:szCs w:val="20"/>
        </w:rPr>
        <w:t>Program of Work and Budget for 2024/25</w:t>
      </w:r>
      <w:r w:rsidRPr="00DE25F8">
        <w:rPr>
          <w:rFonts w:asciiTheme="minorHAnsi" w:eastAsia="Calibri" w:hAnsiTheme="minorHAnsi" w:cstheme="minorHAnsi"/>
          <w:sz w:val="20"/>
          <w:szCs w:val="20"/>
        </w:rPr>
        <w:t xml:space="preserve"> (Geneva). </w:t>
      </w:r>
      <w:r w:rsidRPr="00DE25F8">
        <w:rPr>
          <w:rFonts w:asciiTheme="minorHAnsi" w:eastAsia="Calibri" w:hAnsiTheme="minorHAnsi" w:cstheme="minorHAnsi"/>
          <w:sz w:val="20"/>
          <w:szCs w:val="20"/>
          <w:lang w:val="pl-PL"/>
        </w:rPr>
        <w:t xml:space="preserve">URL: </w:t>
      </w:r>
      <w:hyperlink r:id="rId27">
        <w:r w:rsidRPr="00DE25F8">
          <w:rPr>
            <w:rStyle w:val="Hyperlink"/>
            <w:rFonts w:asciiTheme="minorHAnsi" w:eastAsia="Calibri" w:hAnsiTheme="minorHAnsi" w:cstheme="minorHAnsi"/>
            <w:color w:val="467886"/>
            <w:sz w:val="20"/>
            <w:szCs w:val="20"/>
            <w:lang w:val="pl-PL"/>
          </w:rPr>
          <w:t>https://tind.wipo.int/record/48247/files/wipo-pub-360-pb24-25-en-wipo-program-of-work-and-budget-for-2024-2025.pdf</w:t>
        </w:r>
      </w:hyperlink>
    </w:p>
  </w:footnote>
  <w:footnote w:id="38">
    <w:p w14:paraId="1F93FD0D" w14:textId="77777777" w:rsidR="00617FC9" w:rsidRPr="00DE25F8" w:rsidRDefault="00617FC9" w:rsidP="00617FC9">
      <w:pPr>
        <w:pStyle w:val="Footnotes"/>
        <w:rPr>
          <w:rFonts w:asciiTheme="minorHAnsi" w:hAnsiTheme="minorHAnsi" w:cstheme="minorHAnsi"/>
          <w:sz w:val="20"/>
          <w:szCs w:val="20"/>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w:t>
      </w:r>
      <w:r w:rsidRPr="00DE25F8">
        <w:rPr>
          <w:rFonts w:asciiTheme="minorHAnsi" w:eastAsia="Calibri" w:hAnsiTheme="minorHAnsi" w:cstheme="minorHAnsi"/>
          <w:sz w:val="20"/>
          <w:szCs w:val="20"/>
        </w:rPr>
        <w:t xml:space="preserve">World Intellectual Property Organization (WIPO), </w:t>
      </w:r>
      <w:r w:rsidRPr="00DE25F8">
        <w:rPr>
          <w:rFonts w:asciiTheme="minorHAnsi" w:eastAsia="Calibri" w:hAnsiTheme="minorHAnsi" w:cstheme="minorHAnsi"/>
          <w:i/>
          <w:sz w:val="20"/>
          <w:szCs w:val="20"/>
        </w:rPr>
        <w:t>Convention Establishing the World Intellectual Property Organization</w:t>
      </w:r>
      <w:r w:rsidRPr="00DE25F8">
        <w:rPr>
          <w:rFonts w:asciiTheme="minorHAnsi" w:eastAsia="Calibri" w:hAnsiTheme="minorHAnsi" w:cstheme="minorHAnsi"/>
          <w:sz w:val="20"/>
          <w:szCs w:val="20"/>
        </w:rPr>
        <w:t xml:space="preserve">, Art. 3 (Objectives of the Organization) (WIPO Lex). URL: </w:t>
      </w:r>
      <w:hyperlink r:id="rId28">
        <w:r w:rsidRPr="00DE25F8">
          <w:rPr>
            <w:rStyle w:val="Hyperlink"/>
            <w:rFonts w:asciiTheme="minorHAnsi" w:eastAsia="Calibri" w:hAnsiTheme="minorHAnsi" w:cstheme="minorHAnsi"/>
            <w:color w:val="467886"/>
            <w:sz w:val="20"/>
            <w:szCs w:val="20"/>
          </w:rPr>
          <w:t>https://www.wipo.int/wipolex/en/text/283854</w:t>
        </w:r>
      </w:hyperlink>
    </w:p>
  </w:footnote>
  <w:footnote w:id="39">
    <w:p w14:paraId="0B5FA47B" w14:textId="77777777" w:rsidR="00617FC9" w:rsidRPr="00DE25F8" w:rsidRDefault="00617FC9" w:rsidP="00617FC9">
      <w:pPr>
        <w:pStyle w:val="Footnotes"/>
        <w:rPr>
          <w:rFonts w:asciiTheme="minorHAnsi" w:hAnsiTheme="minorHAnsi" w:cstheme="minorHAnsi"/>
          <w:sz w:val="20"/>
          <w:szCs w:val="20"/>
          <w:lang w:val="en-US"/>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w:t>
      </w:r>
      <w:r w:rsidRPr="00DE25F8">
        <w:rPr>
          <w:rFonts w:asciiTheme="minorHAnsi" w:eastAsia="Calibri" w:hAnsiTheme="minorHAnsi" w:cstheme="minorHAnsi"/>
          <w:sz w:val="20"/>
          <w:szCs w:val="20"/>
        </w:rPr>
        <w:t xml:space="preserve">World Meteorological Organization (WMO), </w:t>
      </w:r>
      <w:r w:rsidRPr="00DE25F8">
        <w:rPr>
          <w:rFonts w:asciiTheme="minorHAnsi" w:eastAsia="Calibri" w:hAnsiTheme="minorHAnsi" w:cstheme="minorHAnsi"/>
          <w:i/>
          <w:sz w:val="20"/>
          <w:szCs w:val="20"/>
        </w:rPr>
        <w:t>Regional Associations</w:t>
      </w:r>
      <w:r w:rsidRPr="00DE25F8">
        <w:rPr>
          <w:rFonts w:asciiTheme="minorHAnsi" w:eastAsia="Calibri" w:hAnsiTheme="minorHAnsi" w:cstheme="minorHAnsi"/>
          <w:sz w:val="20"/>
          <w:szCs w:val="20"/>
        </w:rPr>
        <w:t xml:space="preserve"> (WMO Regions), Geneva. URL: </w:t>
      </w:r>
      <w:hyperlink r:id="rId29">
        <w:r w:rsidRPr="00DE25F8">
          <w:rPr>
            <w:rStyle w:val="Hyperlink"/>
            <w:rFonts w:asciiTheme="minorHAnsi" w:eastAsia="Calibri" w:hAnsiTheme="minorHAnsi" w:cstheme="minorHAnsi"/>
            <w:color w:val="467886"/>
            <w:sz w:val="20"/>
            <w:szCs w:val="20"/>
          </w:rPr>
          <w:t>https://wmo.int/about-wmo/regions/regional-associations</w:t>
        </w:r>
      </w:hyperlink>
    </w:p>
  </w:footnote>
  <w:footnote w:id="40">
    <w:p w14:paraId="6F35C478" w14:textId="77777777" w:rsidR="00617FC9" w:rsidRPr="00DE25F8" w:rsidRDefault="00617FC9" w:rsidP="00617FC9">
      <w:pPr>
        <w:pStyle w:val="Footnotes"/>
        <w:rPr>
          <w:rFonts w:asciiTheme="minorHAnsi" w:hAnsiTheme="minorHAnsi" w:cstheme="minorHAnsi"/>
          <w:sz w:val="20"/>
          <w:szCs w:val="20"/>
          <w:lang w:val="pl-PL"/>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w:t>
      </w:r>
      <w:r w:rsidRPr="00DE25F8">
        <w:rPr>
          <w:rFonts w:asciiTheme="minorHAnsi" w:eastAsia="Calibri" w:hAnsiTheme="minorHAnsi" w:cstheme="minorHAnsi"/>
          <w:sz w:val="20"/>
          <w:szCs w:val="20"/>
        </w:rPr>
        <w:t xml:space="preserve">World Meteorological Organization (WMO), </w:t>
      </w:r>
      <w:r w:rsidRPr="00DE25F8">
        <w:rPr>
          <w:rFonts w:asciiTheme="minorHAnsi" w:eastAsia="Calibri" w:hAnsiTheme="minorHAnsi" w:cstheme="minorHAnsi"/>
          <w:i/>
          <w:sz w:val="20"/>
          <w:szCs w:val="20"/>
        </w:rPr>
        <w:t>WMO Strategic Plan 2024–2027</w:t>
      </w:r>
      <w:r w:rsidRPr="00DE25F8">
        <w:rPr>
          <w:rFonts w:asciiTheme="minorHAnsi" w:eastAsia="Calibri" w:hAnsiTheme="minorHAnsi" w:cstheme="minorHAnsi"/>
          <w:sz w:val="20"/>
          <w:szCs w:val="20"/>
        </w:rPr>
        <w:t xml:space="preserve"> (Geneva). </w:t>
      </w:r>
      <w:r w:rsidRPr="00DE25F8">
        <w:rPr>
          <w:rFonts w:asciiTheme="minorHAnsi" w:eastAsia="Calibri" w:hAnsiTheme="minorHAnsi" w:cstheme="minorHAnsi"/>
          <w:sz w:val="20"/>
          <w:szCs w:val="20"/>
          <w:lang w:val="pl-PL"/>
        </w:rPr>
        <w:t>URL: https://library.wmo.int/records/item/69132-wmo-strategic-plan-2024-2027</w:t>
      </w:r>
    </w:p>
  </w:footnote>
  <w:footnote w:id="41">
    <w:p w14:paraId="7CBF1BDD" w14:textId="77777777" w:rsidR="00617FC9" w:rsidRPr="00DE25F8" w:rsidRDefault="00617FC9" w:rsidP="00617FC9">
      <w:pPr>
        <w:pStyle w:val="Footnotes"/>
        <w:rPr>
          <w:rFonts w:asciiTheme="minorHAnsi" w:hAnsiTheme="minorHAnsi" w:cstheme="minorHAnsi"/>
          <w:sz w:val="20"/>
          <w:szCs w:val="20"/>
          <w:lang w:val="pl-PL"/>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w:t>
      </w:r>
      <w:r w:rsidRPr="00DE25F8">
        <w:rPr>
          <w:rFonts w:asciiTheme="minorHAnsi" w:eastAsia="Calibri" w:hAnsiTheme="minorHAnsi" w:cstheme="minorHAnsi"/>
          <w:sz w:val="20"/>
          <w:szCs w:val="20"/>
        </w:rPr>
        <w:t xml:space="preserve">World Meteorological Organization (WMO), </w:t>
      </w:r>
      <w:r w:rsidRPr="00DE25F8">
        <w:rPr>
          <w:rFonts w:asciiTheme="minorHAnsi" w:eastAsia="Calibri" w:hAnsiTheme="minorHAnsi" w:cstheme="minorHAnsi"/>
          <w:i/>
          <w:sz w:val="20"/>
          <w:szCs w:val="20"/>
        </w:rPr>
        <w:t>Basic Documents</w:t>
      </w:r>
      <w:r w:rsidRPr="00DE25F8">
        <w:rPr>
          <w:rFonts w:asciiTheme="minorHAnsi" w:eastAsia="Calibri" w:hAnsiTheme="minorHAnsi" w:cstheme="minorHAnsi"/>
          <w:sz w:val="20"/>
          <w:szCs w:val="20"/>
        </w:rPr>
        <w:t xml:space="preserve"> (Convention of the World Meteorological Organization, Art. 2, Purposes), Geneva. </w:t>
      </w:r>
      <w:r w:rsidRPr="00DE25F8">
        <w:rPr>
          <w:rFonts w:asciiTheme="minorHAnsi" w:eastAsia="Calibri" w:hAnsiTheme="minorHAnsi" w:cstheme="minorHAnsi"/>
          <w:sz w:val="20"/>
          <w:szCs w:val="20"/>
          <w:lang w:val="pl-PL"/>
        </w:rPr>
        <w:t xml:space="preserve">URL: </w:t>
      </w:r>
      <w:hyperlink r:id="rId30">
        <w:r w:rsidRPr="00DE25F8">
          <w:rPr>
            <w:rStyle w:val="Hyperlink"/>
            <w:rFonts w:asciiTheme="minorHAnsi" w:eastAsia="Calibri" w:hAnsiTheme="minorHAnsi" w:cstheme="minorHAnsi"/>
            <w:color w:val="467886"/>
            <w:sz w:val="20"/>
            <w:szCs w:val="20"/>
            <w:lang w:val="pl-PL"/>
          </w:rPr>
          <w:t>https://www.doj.gov.hk/sc/external/pdf/lawdoc/wmo_15-2012_en.pdf</w:t>
        </w:r>
      </w:hyperlink>
    </w:p>
  </w:footnote>
  <w:footnote w:id="42">
    <w:p w14:paraId="7E478912" w14:textId="2E99795C" w:rsidR="00617FC9" w:rsidRPr="00DE25F8" w:rsidRDefault="00617FC9" w:rsidP="00C86879">
      <w:pPr>
        <w:pStyle w:val="Footnotes"/>
        <w:rPr>
          <w:rFonts w:asciiTheme="minorHAnsi" w:hAnsiTheme="minorHAnsi" w:cstheme="minorHAnsi"/>
          <w:sz w:val="20"/>
          <w:szCs w:val="20"/>
          <w:lang w:val="pl-PL"/>
        </w:rPr>
      </w:pPr>
      <w:r w:rsidRPr="00DE25F8">
        <w:rPr>
          <w:rStyle w:val="FootnoteReference"/>
          <w:rFonts w:asciiTheme="minorHAnsi" w:hAnsiTheme="minorHAnsi" w:cstheme="minorHAnsi"/>
          <w:sz w:val="20"/>
          <w:szCs w:val="20"/>
        </w:rPr>
        <w:footnoteRef/>
      </w:r>
      <w:r w:rsidRPr="00DE25F8">
        <w:rPr>
          <w:rFonts w:asciiTheme="minorHAnsi" w:hAnsiTheme="minorHAnsi" w:cstheme="minorHAnsi"/>
          <w:sz w:val="20"/>
          <w:szCs w:val="20"/>
        </w:rPr>
        <w:t xml:space="preserve"> </w:t>
      </w:r>
      <w:r w:rsidRPr="00DE25F8">
        <w:rPr>
          <w:rFonts w:asciiTheme="minorHAnsi" w:eastAsia="Calibri" w:hAnsiTheme="minorHAnsi" w:cstheme="minorHAnsi"/>
          <w:sz w:val="20"/>
          <w:szCs w:val="20"/>
        </w:rPr>
        <w:t xml:space="preserve">World Meteorological Organization (WMO), “World Meteorological Congress sets new strategic priorities…” (Congress-approved regular budget for 2024–2027 financial period), Media Centre, Geneva. </w:t>
      </w:r>
      <w:r w:rsidRPr="00DE25F8">
        <w:rPr>
          <w:rFonts w:asciiTheme="minorHAnsi" w:eastAsia="Calibri" w:hAnsiTheme="minorHAnsi" w:cstheme="minorHAnsi"/>
          <w:sz w:val="20"/>
          <w:szCs w:val="20"/>
          <w:lang w:val="pl-PL"/>
        </w:rPr>
        <w:t xml:space="preserve">URL: </w:t>
      </w:r>
      <w:hyperlink r:id="rId31">
        <w:r w:rsidRPr="00DE25F8">
          <w:rPr>
            <w:rStyle w:val="Hyperlink"/>
            <w:rFonts w:asciiTheme="minorHAnsi" w:eastAsia="Calibri" w:hAnsiTheme="minorHAnsi" w:cstheme="minorHAnsi"/>
            <w:color w:val="467886"/>
            <w:sz w:val="20"/>
            <w:szCs w:val="20"/>
            <w:lang w:val="pl-PL"/>
          </w:rPr>
          <w:t>https://wmo.int/news/media-centre/world-meteorological-congress-sets-new-strategic-priorities-era-of-rapid-climate-societal-and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27E6A" w14:textId="77777777" w:rsidR="00617FC9" w:rsidRPr="00492791" w:rsidRDefault="00617FC9" w:rsidP="00507BF5">
    <w:pPr>
      <w:pBdr>
        <w:bottom w:val="single" w:sz="4" w:space="1" w:color="auto"/>
      </w:pBdr>
      <w:jc w:val="center"/>
      <w:rPr>
        <w:sz w:val="20"/>
      </w:rPr>
    </w:pPr>
    <w:r w:rsidRPr="00067E55">
      <w:rPr>
        <w:sz w:val="20"/>
      </w:rPr>
      <w:t>Review of the ITU Regional Presence</w:t>
    </w:r>
    <w:r>
      <w:rPr>
        <w:sz w:val="20"/>
      </w:rPr>
      <w:br/>
    </w:r>
    <w:r>
      <w:rPr>
        <w:noProof/>
      </w:rPr>
      <mc:AlternateContent>
        <mc:Choice Requires="wps">
          <w:drawing>
            <wp:anchor distT="0" distB="0" distL="114300" distR="114300" simplePos="0" relativeHeight="251658277" behindDoc="0" locked="0" layoutInCell="1" allowOverlap="1" wp14:anchorId="59C8A752" wp14:editId="01C7E483">
              <wp:simplePos x="0" y="0"/>
              <wp:positionH relativeFrom="column">
                <wp:posOffset>0</wp:posOffset>
              </wp:positionH>
              <wp:positionV relativeFrom="paragraph">
                <wp:posOffset>0</wp:posOffset>
              </wp:positionV>
              <wp:extent cx="635000" cy="635000"/>
              <wp:effectExtent l="0" t="0" r="3175" b="3175"/>
              <wp:wrapNone/>
              <wp:docPr id="1524529999" name="Rectangle 48"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1AB8E" id="Rectangle 48" o:spid="_x0000_s1026" style="position:absolute;margin-left:0;margin-top:0;width:50pt;height:50pt;z-index:2516761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78" behindDoc="0" locked="0" layoutInCell="1" allowOverlap="1" wp14:anchorId="6C962265" wp14:editId="56B26E5C">
              <wp:simplePos x="0" y="0"/>
              <wp:positionH relativeFrom="column">
                <wp:posOffset>0</wp:posOffset>
              </wp:positionH>
              <wp:positionV relativeFrom="paragraph">
                <wp:posOffset>0</wp:posOffset>
              </wp:positionV>
              <wp:extent cx="635000" cy="635000"/>
              <wp:effectExtent l="0" t="0" r="3175" b="3175"/>
              <wp:wrapNone/>
              <wp:docPr id="1273339155" name="Rectangle 47"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970B2" id="Rectangle 47" o:spid="_x0000_s1026" style="position:absolute;margin-left:0;margin-top:0;width:50pt;height:50pt;z-index:2516771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73" behindDoc="0" locked="0" layoutInCell="1" allowOverlap="1" wp14:anchorId="16409EF5" wp14:editId="481EE72F">
              <wp:simplePos x="0" y="0"/>
              <wp:positionH relativeFrom="column">
                <wp:posOffset>0</wp:posOffset>
              </wp:positionH>
              <wp:positionV relativeFrom="paragraph">
                <wp:posOffset>0</wp:posOffset>
              </wp:positionV>
              <wp:extent cx="635000" cy="635000"/>
              <wp:effectExtent l="0" t="0" r="3175" b="3175"/>
              <wp:wrapNone/>
              <wp:docPr id="1038548666" name="Rectangle 4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14F3D" id="Rectangle 46" o:spid="_x0000_s1026" style="position:absolute;margin-left:0;margin-top:0;width:50pt;height:50pt;z-index:2516720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75" behindDoc="0" locked="0" layoutInCell="1" allowOverlap="1" wp14:anchorId="6497C92B" wp14:editId="2E0D6152">
              <wp:simplePos x="0" y="0"/>
              <wp:positionH relativeFrom="column">
                <wp:posOffset>0</wp:posOffset>
              </wp:positionH>
              <wp:positionV relativeFrom="paragraph">
                <wp:posOffset>0</wp:posOffset>
              </wp:positionV>
              <wp:extent cx="635000" cy="635000"/>
              <wp:effectExtent l="0" t="0" r="3175" b="3175"/>
              <wp:wrapNone/>
              <wp:docPr id="1037216885" name="Rectangle 4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F9C03" id="Rectangle 45" o:spid="_x0000_s1026" style="position:absolute;margin-left:0;margin-top:0;width:50pt;height:50pt;z-index:2516741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69" behindDoc="0" locked="0" layoutInCell="1" allowOverlap="1" wp14:anchorId="525B5371" wp14:editId="149CE8ED">
              <wp:simplePos x="0" y="0"/>
              <wp:positionH relativeFrom="column">
                <wp:posOffset>0</wp:posOffset>
              </wp:positionH>
              <wp:positionV relativeFrom="paragraph">
                <wp:posOffset>0</wp:posOffset>
              </wp:positionV>
              <wp:extent cx="635000" cy="635000"/>
              <wp:effectExtent l="0" t="0" r="3175" b="3175"/>
              <wp:wrapNone/>
              <wp:docPr id="732287869" name="Rectangle 4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7C353" id="Rectangle 44" o:spid="_x0000_s1026" style="position:absolute;margin-left:0;margin-top:0;width:50pt;height:50pt;z-index:2516679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70" behindDoc="0" locked="0" layoutInCell="1" allowOverlap="1" wp14:anchorId="62A07B87" wp14:editId="41AFC30F">
              <wp:simplePos x="0" y="0"/>
              <wp:positionH relativeFrom="column">
                <wp:posOffset>0</wp:posOffset>
              </wp:positionH>
              <wp:positionV relativeFrom="paragraph">
                <wp:posOffset>0</wp:posOffset>
              </wp:positionV>
              <wp:extent cx="635000" cy="635000"/>
              <wp:effectExtent l="0" t="0" r="3175" b="3175"/>
              <wp:wrapNone/>
              <wp:docPr id="212255567" name="Rectangle 4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C832D" id="Rectangle 43" o:spid="_x0000_s1026" style="position:absolute;margin-left:0;margin-top:0;width:50pt;height:50pt;z-index:2516689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65" behindDoc="0" locked="0" layoutInCell="1" allowOverlap="1" wp14:anchorId="0EDAE833" wp14:editId="7F0AA685">
              <wp:simplePos x="0" y="0"/>
              <wp:positionH relativeFrom="column">
                <wp:posOffset>0</wp:posOffset>
              </wp:positionH>
              <wp:positionV relativeFrom="paragraph">
                <wp:posOffset>0</wp:posOffset>
              </wp:positionV>
              <wp:extent cx="635000" cy="635000"/>
              <wp:effectExtent l="0" t="0" r="3175" b="3175"/>
              <wp:wrapNone/>
              <wp:docPr id="440402856" name="Rectangle 4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F1F578" id="Rectangle 42" o:spid="_x0000_s1026" style="position:absolute;margin-left:0;margin-top:0;width:50pt;height:50pt;z-index:251663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66" behindDoc="0" locked="0" layoutInCell="1" allowOverlap="1" wp14:anchorId="56A32CC8" wp14:editId="4CF9E739">
              <wp:simplePos x="0" y="0"/>
              <wp:positionH relativeFrom="column">
                <wp:posOffset>0</wp:posOffset>
              </wp:positionH>
              <wp:positionV relativeFrom="paragraph">
                <wp:posOffset>0</wp:posOffset>
              </wp:positionV>
              <wp:extent cx="635000" cy="635000"/>
              <wp:effectExtent l="0" t="0" r="3175" b="3175"/>
              <wp:wrapNone/>
              <wp:docPr id="873657251" name="Rectangle 4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A5A0C" id="Rectangle 41" o:spid="_x0000_s1026" style="position:absolute;margin-left:0;margin-top:0;width:50pt;height:50pt;z-index:2516648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61" behindDoc="0" locked="0" layoutInCell="1" allowOverlap="1" wp14:anchorId="2A284522" wp14:editId="65F0F181">
              <wp:simplePos x="0" y="0"/>
              <wp:positionH relativeFrom="column">
                <wp:posOffset>0</wp:posOffset>
              </wp:positionH>
              <wp:positionV relativeFrom="paragraph">
                <wp:posOffset>0</wp:posOffset>
              </wp:positionV>
              <wp:extent cx="635000" cy="635000"/>
              <wp:effectExtent l="0" t="0" r="3175" b="3175"/>
              <wp:wrapNone/>
              <wp:docPr id="786453262" name="Rectangle 4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687B9" id="Rectangle 40" o:spid="_x0000_s1026" style="position:absolute;margin-left:0;margin-top:0;width:50pt;height:50pt;z-index:251659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63" behindDoc="0" locked="0" layoutInCell="1" allowOverlap="1" wp14:anchorId="676DDEFE" wp14:editId="7D109D26">
              <wp:simplePos x="0" y="0"/>
              <wp:positionH relativeFrom="column">
                <wp:posOffset>0</wp:posOffset>
              </wp:positionH>
              <wp:positionV relativeFrom="paragraph">
                <wp:posOffset>0</wp:posOffset>
              </wp:positionV>
              <wp:extent cx="635000" cy="635000"/>
              <wp:effectExtent l="0" t="0" r="3175" b="3175"/>
              <wp:wrapNone/>
              <wp:docPr id="1983380633" name="Rectangle 39"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142AF" id="Rectangle 39" o:spid="_x0000_s1026" style="position:absolute;margin-left:0;margin-top:0;width:50pt;height:50pt;z-index:251661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56" behindDoc="0" locked="0" layoutInCell="1" allowOverlap="1" wp14:anchorId="0169A3B5" wp14:editId="4CBA159E">
              <wp:simplePos x="0" y="0"/>
              <wp:positionH relativeFrom="column">
                <wp:posOffset>0</wp:posOffset>
              </wp:positionH>
              <wp:positionV relativeFrom="paragraph">
                <wp:posOffset>0</wp:posOffset>
              </wp:positionV>
              <wp:extent cx="635000" cy="635000"/>
              <wp:effectExtent l="0" t="0" r="3175" b="3175"/>
              <wp:wrapNone/>
              <wp:docPr id="146227897" name="Rectangle 38"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5A7FC" id="Rectangle 38" o:spid="_x0000_s1026" style="position:absolute;margin-left:0;margin-top:0;width:50pt;height:50pt;z-index:251654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58" behindDoc="0" locked="0" layoutInCell="1" allowOverlap="1" wp14:anchorId="19DC3774" wp14:editId="30480F0B">
              <wp:simplePos x="0" y="0"/>
              <wp:positionH relativeFrom="column">
                <wp:posOffset>0</wp:posOffset>
              </wp:positionH>
              <wp:positionV relativeFrom="paragraph">
                <wp:posOffset>0</wp:posOffset>
              </wp:positionV>
              <wp:extent cx="635000" cy="635000"/>
              <wp:effectExtent l="0" t="0" r="3175" b="3175"/>
              <wp:wrapNone/>
              <wp:docPr id="1268365031" name="Rectangle 37"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11996" id="Rectangle 37" o:spid="_x0000_s1026"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53" behindDoc="0" locked="0" layoutInCell="1" allowOverlap="1" wp14:anchorId="5775F1C9" wp14:editId="62C98F39">
              <wp:simplePos x="0" y="0"/>
              <wp:positionH relativeFrom="column">
                <wp:posOffset>0</wp:posOffset>
              </wp:positionH>
              <wp:positionV relativeFrom="paragraph">
                <wp:posOffset>0</wp:posOffset>
              </wp:positionV>
              <wp:extent cx="635000" cy="635000"/>
              <wp:effectExtent l="0" t="0" r="3175" b="3175"/>
              <wp:wrapNone/>
              <wp:docPr id="1668380031" name="Rectangle 3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527B3C" id="Rectangle 36" o:spid="_x0000_s1026" style="position:absolute;margin-left:0;margin-top:0;width:50pt;height:50pt;z-index:2516515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55" behindDoc="0" locked="0" layoutInCell="1" allowOverlap="1" wp14:anchorId="69886A6D" wp14:editId="3167C6F1">
              <wp:simplePos x="0" y="0"/>
              <wp:positionH relativeFrom="column">
                <wp:posOffset>0</wp:posOffset>
              </wp:positionH>
              <wp:positionV relativeFrom="paragraph">
                <wp:posOffset>0</wp:posOffset>
              </wp:positionV>
              <wp:extent cx="635000" cy="635000"/>
              <wp:effectExtent l="0" t="0" r="3175" b="3175"/>
              <wp:wrapNone/>
              <wp:docPr id="1058836897" name="Rectangle 3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E10F6" id="Rectangle 35" o:spid="_x0000_s1026" style="position:absolute;margin-left:0;margin-top:0;width:50pt;height:50pt;z-index:251653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49" behindDoc="0" locked="0" layoutInCell="1" allowOverlap="1" wp14:anchorId="7547E23D" wp14:editId="61BF446E">
              <wp:simplePos x="0" y="0"/>
              <wp:positionH relativeFrom="column">
                <wp:posOffset>0</wp:posOffset>
              </wp:positionH>
              <wp:positionV relativeFrom="paragraph">
                <wp:posOffset>0</wp:posOffset>
              </wp:positionV>
              <wp:extent cx="635000" cy="635000"/>
              <wp:effectExtent l="0" t="0" r="3175" b="3175"/>
              <wp:wrapNone/>
              <wp:docPr id="1488697378" name="Rectangle 3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DB2C9" id="Rectangle 34" o:spid="_x0000_s1026" style="position:absolute;margin-left:0;margin-top:0;width:50pt;height:50pt;z-index:251647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51" behindDoc="0" locked="0" layoutInCell="1" allowOverlap="1" wp14:anchorId="01B11CFC" wp14:editId="02B1AE0B">
              <wp:simplePos x="0" y="0"/>
              <wp:positionH relativeFrom="column">
                <wp:posOffset>0</wp:posOffset>
              </wp:positionH>
              <wp:positionV relativeFrom="paragraph">
                <wp:posOffset>0</wp:posOffset>
              </wp:positionV>
              <wp:extent cx="635000" cy="635000"/>
              <wp:effectExtent l="0" t="0" r="3175" b="3175"/>
              <wp:wrapNone/>
              <wp:docPr id="563331515" name="Rectangle 3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C624A" id="Rectangle 33" o:spid="_x0000_s1026" style="position:absolute;margin-left:0;margin-top:0;width:50pt;height:50pt;z-index:251649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45" behindDoc="0" locked="0" layoutInCell="1" allowOverlap="1" wp14:anchorId="756E7BD7" wp14:editId="2A91DF83">
              <wp:simplePos x="0" y="0"/>
              <wp:positionH relativeFrom="column">
                <wp:posOffset>0</wp:posOffset>
              </wp:positionH>
              <wp:positionV relativeFrom="paragraph">
                <wp:posOffset>0</wp:posOffset>
              </wp:positionV>
              <wp:extent cx="635000" cy="635000"/>
              <wp:effectExtent l="0" t="0" r="3175" b="3175"/>
              <wp:wrapNone/>
              <wp:docPr id="1376159201" name="Rectangle 3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BAA8A" id="Rectangle 32" o:spid="_x0000_s1026" style="position:absolute;margin-left:0;margin-top:0;width:50pt;height:50pt;z-index:251643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46" behindDoc="0" locked="0" layoutInCell="1" allowOverlap="1" wp14:anchorId="393872E4" wp14:editId="459C678D">
              <wp:simplePos x="0" y="0"/>
              <wp:positionH relativeFrom="column">
                <wp:posOffset>0</wp:posOffset>
              </wp:positionH>
              <wp:positionV relativeFrom="paragraph">
                <wp:posOffset>0</wp:posOffset>
              </wp:positionV>
              <wp:extent cx="635000" cy="635000"/>
              <wp:effectExtent l="0" t="0" r="3175" b="3175"/>
              <wp:wrapNone/>
              <wp:docPr id="66903817" name="Rectangle 3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AB85B" id="Rectangle 31" o:spid="_x0000_s1026" style="position:absolute;margin-left:0;margin-top:0;width:50pt;height:50pt;z-index:251644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40" behindDoc="0" locked="0" layoutInCell="1" allowOverlap="1" wp14:anchorId="1C3D5415" wp14:editId="77CF6485">
              <wp:simplePos x="0" y="0"/>
              <wp:positionH relativeFrom="column">
                <wp:posOffset>0</wp:posOffset>
              </wp:positionH>
              <wp:positionV relativeFrom="paragraph">
                <wp:posOffset>0</wp:posOffset>
              </wp:positionV>
              <wp:extent cx="635000" cy="635000"/>
              <wp:effectExtent l="0" t="0" r="3175" b="3175"/>
              <wp:wrapNone/>
              <wp:docPr id="934406211" name="Rectangle 3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F9173" id="Rectangle 30" o:spid="_x0000_s1026" style="position:absolute;margin-left:0;margin-top:0;width:50pt;height:50pt;z-index:2516382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43" behindDoc="0" locked="0" layoutInCell="1" allowOverlap="1" wp14:anchorId="6A5039AD" wp14:editId="22C18953">
              <wp:simplePos x="0" y="0"/>
              <wp:positionH relativeFrom="column">
                <wp:posOffset>0</wp:posOffset>
              </wp:positionH>
              <wp:positionV relativeFrom="paragraph">
                <wp:posOffset>0</wp:posOffset>
              </wp:positionV>
              <wp:extent cx="635000" cy="635000"/>
              <wp:effectExtent l="0" t="0" r="3175" b="3175"/>
              <wp:wrapNone/>
              <wp:docPr id="1760269380" name="Rectangle 29"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E4386" id="Rectangle 29" o:spid="_x0000_s1026" style="position:absolute;margin-left:0;margin-top:0;width:50pt;height:50pt;z-index:251641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0912" w14:textId="77777777" w:rsidR="00617FC9" w:rsidRDefault="00617FC9">
    <w:pPr>
      <w:pStyle w:val="Header"/>
    </w:pPr>
    <w:r>
      <w:rPr>
        <w:noProof/>
      </w:rPr>
      <mc:AlternateContent>
        <mc:Choice Requires="wps">
          <w:drawing>
            <wp:anchor distT="0" distB="0" distL="114300" distR="114300" simplePos="0" relativeHeight="251658241" behindDoc="0" locked="0" layoutInCell="1" allowOverlap="1" wp14:anchorId="36E72B04" wp14:editId="5D6A1669">
              <wp:simplePos x="0" y="0"/>
              <wp:positionH relativeFrom="column">
                <wp:posOffset>0</wp:posOffset>
              </wp:positionH>
              <wp:positionV relativeFrom="paragraph">
                <wp:posOffset>0</wp:posOffset>
              </wp:positionV>
              <wp:extent cx="635000" cy="635000"/>
              <wp:effectExtent l="0" t="0" r="3175" b="3175"/>
              <wp:wrapNone/>
              <wp:docPr id="1506905290" name="Rectangle 67"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D244E" id="Rectangle 67" o:spid="_x0000_s1026" style="position:absolute;margin-left:0;margin-top:0;width:50pt;height:50pt;z-index:251639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42" behindDoc="0" locked="0" layoutInCell="1" allowOverlap="1" wp14:anchorId="49EAB1CE" wp14:editId="4BB408BF">
              <wp:simplePos x="0" y="0"/>
              <wp:positionH relativeFrom="column">
                <wp:posOffset>0</wp:posOffset>
              </wp:positionH>
              <wp:positionV relativeFrom="paragraph">
                <wp:posOffset>0</wp:posOffset>
              </wp:positionV>
              <wp:extent cx="635000" cy="635000"/>
              <wp:effectExtent l="0" t="0" r="3175" b="3175"/>
              <wp:wrapNone/>
              <wp:docPr id="1536512444" name="Rectangle 6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4A05CA" id="Rectangle 66" o:spid="_x0000_s1026" style="position:absolute;margin-left:0;margin-top:0;width:50pt;height:50pt;z-index:2516403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44" behindDoc="0" locked="0" layoutInCell="1" allowOverlap="1" wp14:anchorId="54C06A37" wp14:editId="74B7B038">
              <wp:simplePos x="0" y="0"/>
              <wp:positionH relativeFrom="column">
                <wp:posOffset>0</wp:posOffset>
              </wp:positionH>
              <wp:positionV relativeFrom="paragraph">
                <wp:posOffset>0</wp:posOffset>
              </wp:positionV>
              <wp:extent cx="635000" cy="635000"/>
              <wp:effectExtent l="0" t="0" r="3175" b="3175"/>
              <wp:wrapNone/>
              <wp:docPr id="892577541" name="Rectangle 6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B55D5" id="Rectangle 65" o:spid="_x0000_s1026" style="position:absolute;margin-left:0;margin-top:0;width:50pt;height:50pt;z-index:251642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47" behindDoc="0" locked="0" layoutInCell="1" allowOverlap="1" wp14:anchorId="45F0584B" wp14:editId="30780A24">
              <wp:simplePos x="0" y="0"/>
              <wp:positionH relativeFrom="column">
                <wp:posOffset>0</wp:posOffset>
              </wp:positionH>
              <wp:positionV relativeFrom="paragraph">
                <wp:posOffset>0</wp:posOffset>
              </wp:positionV>
              <wp:extent cx="635000" cy="635000"/>
              <wp:effectExtent l="0" t="0" r="3175" b="3175"/>
              <wp:wrapNone/>
              <wp:docPr id="81182547" name="Rectangle 6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443E5" id="Rectangle 64" o:spid="_x0000_s1026" style="position:absolute;margin-left:0;margin-top:0;width:50pt;height:50pt;z-index:251645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48" behindDoc="0" locked="0" layoutInCell="1" allowOverlap="1" wp14:anchorId="0829D934" wp14:editId="487E565D">
              <wp:simplePos x="0" y="0"/>
              <wp:positionH relativeFrom="column">
                <wp:posOffset>0</wp:posOffset>
              </wp:positionH>
              <wp:positionV relativeFrom="paragraph">
                <wp:posOffset>0</wp:posOffset>
              </wp:positionV>
              <wp:extent cx="635000" cy="635000"/>
              <wp:effectExtent l="0" t="0" r="3175" b="3175"/>
              <wp:wrapNone/>
              <wp:docPr id="35844688" name="Rectangle 6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8C6E6" id="Rectangle 63" o:spid="_x0000_s1026" style="position:absolute;margin-left:0;margin-top:0;width:50pt;height:50pt;z-index:251646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50" behindDoc="0" locked="0" layoutInCell="1" allowOverlap="1" wp14:anchorId="31C409A6" wp14:editId="48B2F34E">
              <wp:simplePos x="0" y="0"/>
              <wp:positionH relativeFrom="column">
                <wp:posOffset>0</wp:posOffset>
              </wp:positionH>
              <wp:positionV relativeFrom="paragraph">
                <wp:posOffset>0</wp:posOffset>
              </wp:positionV>
              <wp:extent cx="635000" cy="635000"/>
              <wp:effectExtent l="0" t="0" r="3175" b="3175"/>
              <wp:wrapNone/>
              <wp:docPr id="427188369" name="Rectangle 6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AC75A" id="Rectangle 62" o:spid="_x0000_s1026" style="position:absolute;margin-left:0;margin-top:0;width:50pt;height:50pt;z-index:251648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52" behindDoc="0" locked="0" layoutInCell="1" allowOverlap="1" wp14:anchorId="142CD48D" wp14:editId="16E2D734">
              <wp:simplePos x="0" y="0"/>
              <wp:positionH relativeFrom="column">
                <wp:posOffset>0</wp:posOffset>
              </wp:positionH>
              <wp:positionV relativeFrom="paragraph">
                <wp:posOffset>0</wp:posOffset>
              </wp:positionV>
              <wp:extent cx="635000" cy="635000"/>
              <wp:effectExtent l="0" t="0" r="3175" b="3175"/>
              <wp:wrapNone/>
              <wp:docPr id="913110199" name="Rectangle 6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7CF40" id="Rectangle 61" o:spid="_x0000_s1026" style="position:absolute;margin-left:0;margin-top:0;width:50pt;height:50pt;z-index:251650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54" behindDoc="0" locked="0" layoutInCell="1" allowOverlap="1" wp14:anchorId="17669F4A" wp14:editId="56F9929A">
              <wp:simplePos x="0" y="0"/>
              <wp:positionH relativeFrom="column">
                <wp:posOffset>0</wp:posOffset>
              </wp:positionH>
              <wp:positionV relativeFrom="paragraph">
                <wp:posOffset>0</wp:posOffset>
              </wp:positionV>
              <wp:extent cx="635000" cy="635000"/>
              <wp:effectExtent l="0" t="0" r="3175" b="3175"/>
              <wp:wrapNone/>
              <wp:docPr id="292429915" name="Rectangle 6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48C80" id="Rectangle 60" o:spid="_x0000_s1026" style="position:absolute;margin-left:0;margin-top:0;width:50pt;height:50pt;z-index:251652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57" behindDoc="0" locked="0" layoutInCell="1" allowOverlap="1" wp14:anchorId="3F7A0B0B" wp14:editId="48066A74">
              <wp:simplePos x="0" y="0"/>
              <wp:positionH relativeFrom="column">
                <wp:posOffset>0</wp:posOffset>
              </wp:positionH>
              <wp:positionV relativeFrom="paragraph">
                <wp:posOffset>0</wp:posOffset>
              </wp:positionV>
              <wp:extent cx="635000" cy="635000"/>
              <wp:effectExtent l="0" t="0" r="3175" b="3175"/>
              <wp:wrapNone/>
              <wp:docPr id="1510321770" name="Rectangle 59"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DF46B" id="Rectangle 59" o:spid="_x0000_s1026" style="position:absolute;margin-left:0;margin-top:0;width:50pt;height:50pt;z-index:251655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59" behindDoc="0" locked="0" layoutInCell="1" allowOverlap="1" wp14:anchorId="392ECC97" wp14:editId="536B9EA3">
              <wp:simplePos x="0" y="0"/>
              <wp:positionH relativeFrom="column">
                <wp:posOffset>0</wp:posOffset>
              </wp:positionH>
              <wp:positionV relativeFrom="paragraph">
                <wp:posOffset>0</wp:posOffset>
              </wp:positionV>
              <wp:extent cx="635000" cy="635000"/>
              <wp:effectExtent l="0" t="0" r="3175" b="3175"/>
              <wp:wrapNone/>
              <wp:docPr id="1511412325" name="Rectangle 58"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C6B59" id="Rectangle 58"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60" behindDoc="0" locked="0" layoutInCell="1" allowOverlap="1" wp14:anchorId="62B1AEA0" wp14:editId="5585210A">
              <wp:simplePos x="0" y="0"/>
              <wp:positionH relativeFrom="column">
                <wp:posOffset>0</wp:posOffset>
              </wp:positionH>
              <wp:positionV relativeFrom="paragraph">
                <wp:posOffset>0</wp:posOffset>
              </wp:positionV>
              <wp:extent cx="635000" cy="635000"/>
              <wp:effectExtent l="0" t="0" r="3175" b="3175"/>
              <wp:wrapNone/>
              <wp:docPr id="662028583" name="Rectangle 57"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E9189" id="Rectangle 57" o:spid="_x0000_s1026" style="position:absolute;margin-left:0;margin-top:0;width:50pt;height:50pt;z-index:251658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62" behindDoc="0" locked="0" layoutInCell="1" allowOverlap="1" wp14:anchorId="6F517291" wp14:editId="22A52122">
              <wp:simplePos x="0" y="0"/>
              <wp:positionH relativeFrom="column">
                <wp:posOffset>0</wp:posOffset>
              </wp:positionH>
              <wp:positionV relativeFrom="paragraph">
                <wp:posOffset>0</wp:posOffset>
              </wp:positionV>
              <wp:extent cx="635000" cy="635000"/>
              <wp:effectExtent l="0" t="0" r="3175" b="3175"/>
              <wp:wrapNone/>
              <wp:docPr id="1202214588" name="Rectangle 5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FC1A5" id="Rectangle 56" o:spid="_x0000_s1026" style="position:absolute;margin-left:0;margin-top:0;width:50pt;height:50pt;z-index:251660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64" behindDoc="0" locked="0" layoutInCell="1" allowOverlap="1" wp14:anchorId="33F4E3F4" wp14:editId="54D9CFDF">
              <wp:simplePos x="0" y="0"/>
              <wp:positionH relativeFrom="column">
                <wp:posOffset>0</wp:posOffset>
              </wp:positionH>
              <wp:positionV relativeFrom="paragraph">
                <wp:posOffset>0</wp:posOffset>
              </wp:positionV>
              <wp:extent cx="635000" cy="635000"/>
              <wp:effectExtent l="0" t="0" r="3175" b="3175"/>
              <wp:wrapNone/>
              <wp:docPr id="210095620" name="Rectangle 5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FA2BAB" id="Rectangle 55" o:spid="_x0000_s1026" style="position:absolute;margin-left:0;margin-top:0;width:50pt;height:50pt;z-index:2516628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67" behindDoc="0" locked="0" layoutInCell="1" allowOverlap="1" wp14:anchorId="43087BBF" wp14:editId="37803125">
              <wp:simplePos x="0" y="0"/>
              <wp:positionH relativeFrom="column">
                <wp:posOffset>0</wp:posOffset>
              </wp:positionH>
              <wp:positionV relativeFrom="paragraph">
                <wp:posOffset>0</wp:posOffset>
              </wp:positionV>
              <wp:extent cx="635000" cy="635000"/>
              <wp:effectExtent l="0" t="0" r="3175" b="3175"/>
              <wp:wrapNone/>
              <wp:docPr id="1493981746" name="Rectangle 5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BA233" id="Rectangle 54" o:spid="_x0000_s1026" style="position:absolute;margin-left:0;margin-top:0;width:50pt;height:50pt;z-index:2516659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68" behindDoc="0" locked="0" layoutInCell="1" allowOverlap="1" wp14:anchorId="4BEA1B5A" wp14:editId="6F282D66">
              <wp:simplePos x="0" y="0"/>
              <wp:positionH relativeFrom="column">
                <wp:posOffset>0</wp:posOffset>
              </wp:positionH>
              <wp:positionV relativeFrom="paragraph">
                <wp:posOffset>0</wp:posOffset>
              </wp:positionV>
              <wp:extent cx="635000" cy="635000"/>
              <wp:effectExtent l="0" t="0" r="3175" b="3175"/>
              <wp:wrapNone/>
              <wp:docPr id="212880685" name="Rectangle 5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059AE" id="Rectangle 53" o:spid="_x0000_s1026" style="position:absolute;margin-left:0;margin-top:0;width:50pt;height:50pt;z-index:2516669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71" behindDoc="0" locked="0" layoutInCell="1" allowOverlap="1" wp14:anchorId="73629CDC" wp14:editId="29289909">
              <wp:simplePos x="0" y="0"/>
              <wp:positionH relativeFrom="column">
                <wp:posOffset>0</wp:posOffset>
              </wp:positionH>
              <wp:positionV relativeFrom="paragraph">
                <wp:posOffset>0</wp:posOffset>
              </wp:positionV>
              <wp:extent cx="635000" cy="635000"/>
              <wp:effectExtent l="0" t="0" r="3175" b="3175"/>
              <wp:wrapNone/>
              <wp:docPr id="1473361341" name="Rectangle 5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464C8" id="Rectangle 52" o:spid="_x0000_s1026" style="position:absolute;margin-left:0;margin-top:0;width:50pt;height:50pt;z-index:2516700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72" behindDoc="0" locked="0" layoutInCell="1" allowOverlap="1" wp14:anchorId="1583C484" wp14:editId="7B16B20C">
              <wp:simplePos x="0" y="0"/>
              <wp:positionH relativeFrom="column">
                <wp:posOffset>0</wp:posOffset>
              </wp:positionH>
              <wp:positionV relativeFrom="paragraph">
                <wp:posOffset>0</wp:posOffset>
              </wp:positionV>
              <wp:extent cx="635000" cy="635000"/>
              <wp:effectExtent l="0" t="0" r="3175" b="3175"/>
              <wp:wrapNone/>
              <wp:docPr id="577797090" name="Rectangle 5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457A88" id="Rectangle 51" o:spid="_x0000_s1026" style="position:absolute;margin-left:0;margin-top:0;width:50pt;height:50pt;z-index:2516710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74" behindDoc="0" locked="0" layoutInCell="1" allowOverlap="1" wp14:anchorId="30B97C1C" wp14:editId="56DAFA7D">
              <wp:simplePos x="0" y="0"/>
              <wp:positionH relativeFrom="column">
                <wp:posOffset>0</wp:posOffset>
              </wp:positionH>
              <wp:positionV relativeFrom="paragraph">
                <wp:posOffset>0</wp:posOffset>
              </wp:positionV>
              <wp:extent cx="635000" cy="635000"/>
              <wp:effectExtent l="0" t="0" r="3175" b="3175"/>
              <wp:wrapNone/>
              <wp:docPr id="359587030" name="Rectangle 5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F8489" id="Rectangle 50" o:spid="_x0000_s1026" style="position:absolute;margin-left:0;margin-top:0;width:50pt;height:50pt;z-index:2516730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76" behindDoc="0" locked="0" layoutInCell="1" allowOverlap="1" wp14:anchorId="29C86FB8" wp14:editId="0972A550">
              <wp:simplePos x="0" y="0"/>
              <wp:positionH relativeFrom="column">
                <wp:posOffset>0</wp:posOffset>
              </wp:positionH>
              <wp:positionV relativeFrom="paragraph">
                <wp:posOffset>0</wp:posOffset>
              </wp:positionV>
              <wp:extent cx="635000" cy="635000"/>
              <wp:effectExtent l="0" t="0" r="3175" b="3175"/>
              <wp:wrapNone/>
              <wp:docPr id="980989158" name="Rectangle 49"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763C8" id="Rectangle 49" o:spid="_x0000_s1026" style="position:absolute;margin-left:0;margin-top:0;width:50pt;height:50pt;z-index:2516751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EFDD" w14:textId="6485F2FB" w:rsidR="00AD3606" w:rsidRPr="00087B0A" w:rsidRDefault="00087B0A" w:rsidP="00087B0A">
    <w:pPr>
      <w:pBdr>
        <w:bottom w:val="single" w:sz="4" w:space="1" w:color="auto"/>
      </w:pBdr>
      <w:jc w:val="center"/>
      <w:rPr>
        <w:sz w:val="20"/>
      </w:rPr>
    </w:pPr>
    <w:r w:rsidRPr="00067E55">
      <w:rPr>
        <w:sz w:val="20"/>
      </w:rPr>
      <w:t>Review of the ITU Regional Presence</w:t>
    </w:r>
    <w:r>
      <w:rPr>
        <w:sz w:val="20"/>
      </w:rPr>
      <w:br/>
    </w:r>
    <w:r>
      <w:rPr>
        <w:noProof/>
      </w:rPr>
      <mc:AlternateContent>
        <mc:Choice Requires="wps">
          <w:drawing>
            <wp:anchor distT="0" distB="0" distL="114300" distR="114300" simplePos="0" relativeHeight="251658297" behindDoc="0" locked="0" layoutInCell="1" allowOverlap="1" wp14:anchorId="333D6BCA" wp14:editId="565CE56B">
              <wp:simplePos x="0" y="0"/>
              <wp:positionH relativeFrom="column">
                <wp:posOffset>0</wp:posOffset>
              </wp:positionH>
              <wp:positionV relativeFrom="paragraph">
                <wp:posOffset>0</wp:posOffset>
              </wp:positionV>
              <wp:extent cx="635000" cy="635000"/>
              <wp:effectExtent l="0" t="0" r="3175" b="3175"/>
              <wp:wrapNone/>
              <wp:docPr id="193402643" name="Rectangle 48"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7BDAC" id="Rectangle 48" o:spid="_x0000_s1026" style="position:absolute;margin-left:0;margin-top:0;width:50pt;height:50pt;z-index:251658297;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98" behindDoc="0" locked="0" layoutInCell="1" allowOverlap="1" wp14:anchorId="44DA2D30" wp14:editId="010452D3">
              <wp:simplePos x="0" y="0"/>
              <wp:positionH relativeFrom="column">
                <wp:posOffset>0</wp:posOffset>
              </wp:positionH>
              <wp:positionV relativeFrom="paragraph">
                <wp:posOffset>0</wp:posOffset>
              </wp:positionV>
              <wp:extent cx="635000" cy="635000"/>
              <wp:effectExtent l="0" t="0" r="3175" b="3175"/>
              <wp:wrapNone/>
              <wp:docPr id="1847999651" name="Rectangle 47"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C8526" id="Rectangle 47" o:spid="_x0000_s1026" style="position:absolute;margin-left:0;margin-top:0;width:50pt;height:50pt;z-index:25165829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95" behindDoc="0" locked="0" layoutInCell="1" allowOverlap="1" wp14:anchorId="1DEA079A" wp14:editId="36325319">
              <wp:simplePos x="0" y="0"/>
              <wp:positionH relativeFrom="column">
                <wp:posOffset>0</wp:posOffset>
              </wp:positionH>
              <wp:positionV relativeFrom="paragraph">
                <wp:posOffset>0</wp:posOffset>
              </wp:positionV>
              <wp:extent cx="635000" cy="635000"/>
              <wp:effectExtent l="0" t="0" r="3175" b="3175"/>
              <wp:wrapNone/>
              <wp:docPr id="1099212189" name="Rectangle 4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75853" id="Rectangle 46" o:spid="_x0000_s1026" style="position:absolute;margin-left:0;margin-top:0;width:50pt;height:50pt;z-index:251658295;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96" behindDoc="0" locked="0" layoutInCell="1" allowOverlap="1" wp14:anchorId="43AAB53E" wp14:editId="06F7F4E0">
              <wp:simplePos x="0" y="0"/>
              <wp:positionH relativeFrom="column">
                <wp:posOffset>0</wp:posOffset>
              </wp:positionH>
              <wp:positionV relativeFrom="paragraph">
                <wp:posOffset>0</wp:posOffset>
              </wp:positionV>
              <wp:extent cx="635000" cy="635000"/>
              <wp:effectExtent l="0" t="0" r="3175" b="3175"/>
              <wp:wrapNone/>
              <wp:docPr id="1451017636" name="Rectangle 4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D3FA8" id="Rectangle 45" o:spid="_x0000_s1026" style="position:absolute;margin-left:0;margin-top:0;width:50pt;height:50pt;z-index:2516582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93" behindDoc="0" locked="0" layoutInCell="1" allowOverlap="1" wp14:anchorId="7179F7AF" wp14:editId="6F1FEB42">
              <wp:simplePos x="0" y="0"/>
              <wp:positionH relativeFrom="column">
                <wp:posOffset>0</wp:posOffset>
              </wp:positionH>
              <wp:positionV relativeFrom="paragraph">
                <wp:posOffset>0</wp:posOffset>
              </wp:positionV>
              <wp:extent cx="635000" cy="635000"/>
              <wp:effectExtent l="0" t="0" r="3175" b="3175"/>
              <wp:wrapNone/>
              <wp:docPr id="1859585350" name="Rectangle 4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C9588" id="Rectangle 44" o:spid="_x0000_s1026" style="position:absolute;margin-left:0;margin-top:0;width:50pt;height:50pt;z-index:251658293;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94" behindDoc="0" locked="0" layoutInCell="1" allowOverlap="1" wp14:anchorId="36913864" wp14:editId="7C2D2014">
              <wp:simplePos x="0" y="0"/>
              <wp:positionH relativeFrom="column">
                <wp:posOffset>0</wp:posOffset>
              </wp:positionH>
              <wp:positionV relativeFrom="paragraph">
                <wp:posOffset>0</wp:posOffset>
              </wp:positionV>
              <wp:extent cx="635000" cy="635000"/>
              <wp:effectExtent l="0" t="0" r="3175" b="3175"/>
              <wp:wrapNone/>
              <wp:docPr id="287507224" name="Rectangle 4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15C41" id="Rectangle 43" o:spid="_x0000_s1026" style="position:absolute;margin-left:0;margin-top:0;width:50pt;height:50pt;z-index:25165829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91" behindDoc="0" locked="0" layoutInCell="1" allowOverlap="1" wp14:anchorId="6A34919B" wp14:editId="7DC2C856">
              <wp:simplePos x="0" y="0"/>
              <wp:positionH relativeFrom="column">
                <wp:posOffset>0</wp:posOffset>
              </wp:positionH>
              <wp:positionV relativeFrom="paragraph">
                <wp:posOffset>0</wp:posOffset>
              </wp:positionV>
              <wp:extent cx="635000" cy="635000"/>
              <wp:effectExtent l="0" t="0" r="3175" b="3175"/>
              <wp:wrapNone/>
              <wp:docPr id="1858360189" name="Rectangle 4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5518D" id="Rectangle 42" o:spid="_x0000_s1026" style="position:absolute;margin-left:0;margin-top:0;width:50pt;height:50pt;z-index:251658291;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92" behindDoc="0" locked="0" layoutInCell="1" allowOverlap="1" wp14:anchorId="348C9410" wp14:editId="1018F75E">
              <wp:simplePos x="0" y="0"/>
              <wp:positionH relativeFrom="column">
                <wp:posOffset>0</wp:posOffset>
              </wp:positionH>
              <wp:positionV relativeFrom="paragraph">
                <wp:posOffset>0</wp:posOffset>
              </wp:positionV>
              <wp:extent cx="635000" cy="635000"/>
              <wp:effectExtent l="0" t="0" r="3175" b="3175"/>
              <wp:wrapNone/>
              <wp:docPr id="1352319892" name="Rectangle 4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519B5" id="Rectangle 41" o:spid="_x0000_s1026" style="position:absolute;margin-left:0;margin-top:0;width:50pt;height:50pt;z-index:2516582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89" behindDoc="0" locked="0" layoutInCell="1" allowOverlap="1" wp14:anchorId="28D6848D" wp14:editId="48A7DFED">
              <wp:simplePos x="0" y="0"/>
              <wp:positionH relativeFrom="column">
                <wp:posOffset>0</wp:posOffset>
              </wp:positionH>
              <wp:positionV relativeFrom="paragraph">
                <wp:posOffset>0</wp:posOffset>
              </wp:positionV>
              <wp:extent cx="635000" cy="635000"/>
              <wp:effectExtent l="0" t="0" r="3175" b="3175"/>
              <wp:wrapNone/>
              <wp:docPr id="1581053563" name="Rectangle 4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EE477" id="Rectangle 40" o:spid="_x0000_s1026" style="position:absolute;margin-left:0;margin-top:0;width:50pt;height:50pt;z-index:251658289;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90" behindDoc="0" locked="0" layoutInCell="1" allowOverlap="1" wp14:anchorId="6B46649B" wp14:editId="068E8287">
              <wp:simplePos x="0" y="0"/>
              <wp:positionH relativeFrom="column">
                <wp:posOffset>0</wp:posOffset>
              </wp:positionH>
              <wp:positionV relativeFrom="paragraph">
                <wp:posOffset>0</wp:posOffset>
              </wp:positionV>
              <wp:extent cx="635000" cy="635000"/>
              <wp:effectExtent l="0" t="0" r="3175" b="3175"/>
              <wp:wrapNone/>
              <wp:docPr id="775741456" name="Rectangle 39"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98C04" id="Rectangle 39" o:spid="_x0000_s1026" style="position:absolute;margin-left:0;margin-top:0;width:50pt;height:50pt;z-index:25165829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87" behindDoc="0" locked="0" layoutInCell="1" allowOverlap="1" wp14:anchorId="24321E08" wp14:editId="31B6DA18">
              <wp:simplePos x="0" y="0"/>
              <wp:positionH relativeFrom="column">
                <wp:posOffset>0</wp:posOffset>
              </wp:positionH>
              <wp:positionV relativeFrom="paragraph">
                <wp:posOffset>0</wp:posOffset>
              </wp:positionV>
              <wp:extent cx="635000" cy="635000"/>
              <wp:effectExtent l="0" t="0" r="3175" b="3175"/>
              <wp:wrapNone/>
              <wp:docPr id="714265861" name="Rectangle 38"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D9ED01" id="Rectangle 38" o:spid="_x0000_s1026" style="position:absolute;margin-left:0;margin-top:0;width:50pt;height:50pt;z-index:251658287;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88" behindDoc="0" locked="0" layoutInCell="1" allowOverlap="1" wp14:anchorId="4ED9A59B" wp14:editId="0EB311D0">
              <wp:simplePos x="0" y="0"/>
              <wp:positionH relativeFrom="column">
                <wp:posOffset>0</wp:posOffset>
              </wp:positionH>
              <wp:positionV relativeFrom="paragraph">
                <wp:posOffset>0</wp:posOffset>
              </wp:positionV>
              <wp:extent cx="635000" cy="635000"/>
              <wp:effectExtent l="0" t="0" r="3175" b="3175"/>
              <wp:wrapNone/>
              <wp:docPr id="692347143" name="Rectangle 37"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03190" id="Rectangle 37" o:spid="_x0000_s1026" style="position:absolute;margin-left:0;margin-top:0;width:50pt;height:50pt;z-index:251658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85" behindDoc="0" locked="0" layoutInCell="1" allowOverlap="1" wp14:anchorId="06BF1EA0" wp14:editId="6D068D3B">
              <wp:simplePos x="0" y="0"/>
              <wp:positionH relativeFrom="column">
                <wp:posOffset>0</wp:posOffset>
              </wp:positionH>
              <wp:positionV relativeFrom="paragraph">
                <wp:posOffset>0</wp:posOffset>
              </wp:positionV>
              <wp:extent cx="635000" cy="635000"/>
              <wp:effectExtent l="0" t="0" r="3175" b="3175"/>
              <wp:wrapNone/>
              <wp:docPr id="2051964668" name="Rectangle 36"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7EF93" id="Rectangle 36" o:spid="_x0000_s1026" style="position:absolute;margin-left:0;margin-top:0;width:50pt;height:50pt;z-index:251658285;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86" behindDoc="0" locked="0" layoutInCell="1" allowOverlap="1" wp14:anchorId="2F64F79C" wp14:editId="4F7BFA28">
              <wp:simplePos x="0" y="0"/>
              <wp:positionH relativeFrom="column">
                <wp:posOffset>0</wp:posOffset>
              </wp:positionH>
              <wp:positionV relativeFrom="paragraph">
                <wp:posOffset>0</wp:posOffset>
              </wp:positionV>
              <wp:extent cx="635000" cy="635000"/>
              <wp:effectExtent l="0" t="0" r="3175" b="3175"/>
              <wp:wrapNone/>
              <wp:docPr id="1639270596" name="Rectangle 3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A917B" id="Rectangle 35" o:spid="_x0000_s1026" style="position:absolute;margin-left:0;margin-top:0;width:50pt;height:50pt;z-index:25165828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83" behindDoc="0" locked="0" layoutInCell="1" allowOverlap="1" wp14:anchorId="6238AC3E" wp14:editId="3334ACF4">
              <wp:simplePos x="0" y="0"/>
              <wp:positionH relativeFrom="column">
                <wp:posOffset>0</wp:posOffset>
              </wp:positionH>
              <wp:positionV relativeFrom="paragraph">
                <wp:posOffset>0</wp:posOffset>
              </wp:positionV>
              <wp:extent cx="635000" cy="635000"/>
              <wp:effectExtent l="0" t="0" r="3175" b="3175"/>
              <wp:wrapNone/>
              <wp:docPr id="1653659982" name="Rectangle 34"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3BD1E" id="Rectangle 34" o:spid="_x0000_s1026" style="position:absolute;margin-left:0;margin-top:0;width:50pt;height:50pt;z-index:251658283;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84" behindDoc="0" locked="0" layoutInCell="1" allowOverlap="1" wp14:anchorId="06DBCBBC" wp14:editId="39239C87">
              <wp:simplePos x="0" y="0"/>
              <wp:positionH relativeFrom="column">
                <wp:posOffset>0</wp:posOffset>
              </wp:positionH>
              <wp:positionV relativeFrom="paragraph">
                <wp:posOffset>0</wp:posOffset>
              </wp:positionV>
              <wp:extent cx="635000" cy="635000"/>
              <wp:effectExtent l="0" t="0" r="3175" b="3175"/>
              <wp:wrapNone/>
              <wp:docPr id="1957624171" name="Rectangle 3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F3D56" id="Rectangle 33" o:spid="_x0000_s1026" style="position:absolute;margin-left:0;margin-top:0;width:50pt;height:50pt;z-index:2516582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81" behindDoc="0" locked="0" layoutInCell="1" allowOverlap="1" wp14:anchorId="2638A77C" wp14:editId="667DFB9D">
              <wp:simplePos x="0" y="0"/>
              <wp:positionH relativeFrom="column">
                <wp:posOffset>0</wp:posOffset>
              </wp:positionH>
              <wp:positionV relativeFrom="paragraph">
                <wp:posOffset>0</wp:posOffset>
              </wp:positionV>
              <wp:extent cx="635000" cy="635000"/>
              <wp:effectExtent l="0" t="0" r="3175" b="3175"/>
              <wp:wrapNone/>
              <wp:docPr id="1653456500" name="Rectangle 3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33DFD" id="Rectangle 32" o:spid="_x0000_s1026" style="position:absolute;margin-left:0;margin-top:0;width:50pt;height:50pt;z-index:251658281;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82" behindDoc="0" locked="0" layoutInCell="1" allowOverlap="1" wp14:anchorId="0A2A9F63" wp14:editId="20315B47">
              <wp:simplePos x="0" y="0"/>
              <wp:positionH relativeFrom="column">
                <wp:posOffset>0</wp:posOffset>
              </wp:positionH>
              <wp:positionV relativeFrom="paragraph">
                <wp:posOffset>0</wp:posOffset>
              </wp:positionV>
              <wp:extent cx="635000" cy="635000"/>
              <wp:effectExtent l="0" t="0" r="3175" b="3175"/>
              <wp:wrapNone/>
              <wp:docPr id="882246026" name="Rectangle 31"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DC262" id="Rectangle 31" o:spid="_x0000_s1026" style="position:absolute;margin-left:0;margin-top:0;width:50pt;height:50pt;z-index:25165828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79" behindDoc="0" locked="0" layoutInCell="1" allowOverlap="1" wp14:anchorId="2087831E" wp14:editId="09BDE4F4">
              <wp:simplePos x="0" y="0"/>
              <wp:positionH relativeFrom="column">
                <wp:posOffset>0</wp:posOffset>
              </wp:positionH>
              <wp:positionV relativeFrom="paragraph">
                <wp:posOffset>0</wp:posOffset>
              </wp:positionV>
              <wp:extent cx="635000" cy="635000"/>
              <wp:effectExtent l="0" t="0" r="3175" b="3175"/>
              <wp:wrapNone/>
              <wp:docPr id="312101740" name="Rectangle 30"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B9F1E" id="Rectangle 30" o:spid="_x0000_s1026" style="position:absolute;margin-left:0;margin-top:0;width:50pt;height:50pt;z-index:251658279;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r>
      <w:rPr>
        <w:noProof/>
      </w:rPr>
      <mc:AlternateContent>
        <mc:Choice Requires="wps">
          <w:drawing>
            <wp:anchor distT="0" distB="0" distL="114300" distR="114300" simplePos="0" relativeHeight="251658280" behindDoc="0" locked="0" layoutInCell="1" allowOverlap="1" wp14:anchorId="550509F4" wp14:editId="3D5BC103">
              <wp:simplePos x="0" y="0"/>
              <wp:positionH relativeFrom="column">
                <wp:posOffset>0</wp:posOffset>
              </wp:positionH>
              <wp:positionV relativeFrom="paragraph">
                <wp:posOffset>0</wp:posOffset>
              </wp:positionV>
              <wp:extent cx="635000" cy="635000"/>
              <wp:effectExtent l="0" t="0" r="3175" b="3175"/>
              <wp:wrapNone/>
              <wp:docPr id="258258025" name="Rectangle 29"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1E23E4" id="Rectangle 29" o:spid="_x0000_s1026" style="position:absolute;margin-left:0;margin-top:0;width:50pt;height:50pt;z-index:2516582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2E52"/>
    <w:multiLevelType w:val="multilevel"/>
    <w:tmpl w:val="8848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C70275"/>
    <w:multiLevelType w:val="hybridMultilevel"/>
    <w:tmpl w:val="5C082C4E"/>
    <w:lvl w:ilvl="0" w:tplc="0688E482">
      <w:start w:val="1"/>
      <w:numFmt w:val="lowerLetter"/>
      <w:lvlText w:val="%1."/>
      <w:lvlJc w:val="left"/>
      <w:pPr>
        <w:ind w:left="720" w:hanging="360"/>
      </w:pPr>
      <w:rPr>
        <w:rFonts w:ascii="Avenir Nxt2 W1G,Segoe UI" w:hAnsi="Avenir Nxt2 W1G,Segoe UI" w:hint="default"/>
      </w:rPr>
    </w:lvl>
    <w:lvl w:ilvl="1" w:tplc="10BA00B8">
      <w:start w:val="1"/>
      <w:numFmt w:val="lowerLetter"/>
      <w:lvlText w:val="%2."/>
      <w:lvlJc w:val="left"/>
      <w:pPr>
        <w:ind w:left="1440" w:hanging="360"/>
      </w:pPr>
    </w:lvl>
    <w:lvl w:ilvl="2" w:tplc="0EBEF6C0">
      <w:start w:val="1"/>
      <w:numFmt w:val="lowerRoman"/>
      <w:lvlText w:val="%3."/>
      <w:lvlJc w:val="right"/>
      <w:pPr>
        <w:ind w:left="2160" w:hanging="180"/>
      </w:pPr>
    </w:lvl>
    <w:lvl w:ilvl="3" w:tplc="ACA6E1BC">
      <w:start w:val="1"/>
      <w:numFmt w:val="decimal"/>
      <w:lvlText w:val="%4."/>
      <w:lvlJc w:val="left"/>
      <w:pPr>
        <w:ind w:left="2880" w:hanging="360"/>
      </w:pPr>
    </w:lvl>
    <w:lvl w:ilvl="4" w:tplc="A5568494">
      <w:start w:val="1"/>
      <w:numFmt w:val="lowerLetter"/>
      <w:lvlText w:val="%5."/>
      <w:lvlJc w:val="left"/>
      <w:pPr>
        <w:ind w:left="3600" w:hanging="360"/>
      </w:pPr>
    </w:lvl>
    <w:lvl w:ilvl="5" w:tplc="93465C06">
      <w:start w:val="1"/>
      <w:numFmt w:val="lowerRoman"/>
      <w:lvlText w:val="%6."/>
      <w:lvlJc w:val="right"/>
      <w:pPr>
        <w:ind w:left="4320" w:hanging="180"/>
      </w:pPr>
    </w:lvl>
    <w:lvl w:ilvl="6" w:tplc="C55AB496">
      <w:start w:val="1"/>
      <w:numFmt w:val="decimal"/>
      <w:lvlText w:val="%7."/>
      <w:lvlJc w:val="left"/>
      <w:pPr>
        <w:ind w:left="5040" w:hanging="360"/>
      </w:pPr>
    </w:lvl>
    <w:lvl w:ilvl="7" w:tplc="556EDCB2">
      <w:start w:val="1"/>
      <w:numFmt w:val="lowerLetter"/>
      <w:lvlText w:val="%8."/>
      <w:lvlJc w:val="left"/>
      <w:pPr>
        <w:ind w:left="5760" w:hanging="360"/>
      </w:pPr>
    </w:lvl>
    <w:lvl w:ilvl="8" w:tplc="456251E2">
      <w:start w:val="1"/>
      <w:numFmt w:val="lowerRoman"/>
      <w:lvlText w:val="%9."/>
      <w:lvlJc w:val="right"/>
      <w:pPr>
        <w:ind w:left="6480" w:hanging="180"/>
      </w:pPr>
    </w:lvl>
  </w:abstractNum>
  <w:abstractNum w:abstractNumId="2" w15:restartNumberingAfterBreak="0">
    <w:nsid w:val="026A8248"/>
    <w:multiLevelType w:val="hybridMultilevel"/>
    <w:tmpl w:val="B4302A60"/>
    <w:lvl w:ilvl="0" w:tplc="05F4DDD8">
      <w:start w:val="1"/>
      <w:numFmt w:val="decimal"/>
      <w:pStyle w:val="TitleKPI"/>
      <w:lvlText w:val="%1."/>
      <w:lvlJc w:val="left"/>
      <w:pPr>
        <w:ind w:left="1077" w:hanging="360"/>
      </w:pPr>
    </w:lvl>
    <w:lvl w:ilvl="1" w:tplc="007CE8FC">
      <w:start w:val="1"/>
      <w:numFmt w:val="lowerLetter"/>
      <w:lvlText w:val="%2."/>
      <w:lvlJc w:val="left"/>
      <w:pPr>
        <w:ind w:left="1797" w:hanging="360"/>
      </w:pPr>
    </w:lvl>
    <w:lvl w:ilvl="2" w:tplc="AF5251C4">
      <w:start w:val="1"/>
      <w:numFmt w:val="lowerRoman"/>
      <w:lvlText w:val="%3."/>
      <w:lvlJc w:val="right"/>
      <w:pPr>
        <w:ind w:left="2517" w:hanging="180"/>
      </w:pPr>
    </w:lvl>
    <w:lvl w:ilvl="3" w:tplc="30E65786">
      <w:start w:val="1"/>
      <w:numFmt w:val="decimal"/>
      <w:lvlText w:val="%4."/>
      <w:lvlJc w:val="left"/>
      <w:pPr>
        <w:ind w:left="3237" w:hanging="360"/>
      </w:pPr>
    </w:lvl>
    <w:lvl w:ilvl="4" w:tplc="3A2AE164">
      <w:start w:val="1"/>
      <w:numFmt w:val="lowerLetter"/>
      <w:lvlText w:val="%5."/>
      <w:lvlJc w:val="left"/>
      <w:pPr>
        <w:ind w:left="3957" w:hanging="360"/>
      </w:pPr>
    </w:lvl>
    <w:lvl w:ilvl="5" w:tplc="7638B8D6">
      <w:start w:val="1"/>
      <w:numFmt w:val="lowerRoman"/>
      <w:lvlText w:val="%6."/>
      <w:lvlJc w:val="right"/>
      <w:pPr>
        <w:ind w:left="4677" w:hanging="180"/>
      </w:pPr>
    </w:lvl>
    <w:lvl w:ilvl="6" w:tplc="A1B2AF6A">
      <w:start w:val="1"/>
      <w:numFmt w:val="decimal"/>
      <w:lvlText w:val="%7."/>
      <w:lvlJc w:val="left"/>
      <w:pPr>
        <w:ind w:left="5397" w:hanging="360"/>
      </w:pPr>
    </w:lvl>
    <w:lvl w:ilvl="7" w:tplc="2C54111C">
      <w:start w:val="1"/>
      <w:numFmt w:val="lowerLetter"/>
      <w:lvlText w:val="%8."/>
      <w:lvlJc w:val="left"/>
      <w:pPr>
        <w:ind w:left="6117" w:hanging="360"/>
      </w:pPr>
    </w:lvl>
    <w:lvl w:ilvl="8" w:tplc="D71CD948">
      <w:start w:val="1"/>
      <w:numFmt w:val="lowerRoman"/>
      <w:lvlText w:val="%9."/>
      <w:lvlJc w:val="right"/>
      <w:pPr>
        <w:ind w:left="6837" w:hanging="180"/>
      </w:pPr>
    </w:lvl>
  </w:abstractNum>
  <w:abstractNum w:abstractNumId="3" w15:restartNumberingAfterBreak="0">
    <w:nsid w:val="04FE42B3"/>
    <w:multiLevelType w:val="multilevel"/>
    <w:tmpl w:val="009CD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894718"/>
    <w:multiLevelType w:val="multilevel"/>
    <w:tmpl w:val="FFFFFFFF"/>
    <w:lvl w:ilvl="0">
      <w:start w:val="1"/>
      <w:numFmt w:val="lowerLetter"/>
      <w:lvlText w:val="%1."/>
      <w:lvlJc w:val="left"/>
      <w:pPr>
        <w:ind w:left="720" w:hanging="360"/>
      </w:pPr>
      <w:rPr>
        <w:rFonts w:ascii="Avenir Nxt2 W1G" w:hAnsi="Avenir Nxt2 W1G"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123F30"/>
    <w:multiLevelType w:val="multilevel"/>
    <w:tmpl w:val="C108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6A41A6"/>
    <w:multiLevelType w:val="hybridMultilevel"/>
    <w:tmpl w:val="7FD4705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B86442"/>
    <w:multiLevelType w:val="multilevel"/>
    <w:tmpl w:val="EFFA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B1284D"/>
    <w:multiLevelType w:val="multilevel"/>
    <w:tmpl w:val="9DFE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176793"/>
    <w:multiLevelType w:val="hybridMultilevel"/>
    <w:tmpl w:val="8A8E036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DE1C14B"/>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EBF54DC"/>
    <w:multiLevelType w:val="hybridMultilevel"/>
    <w:tmpl w:val="64883CB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0EF63554"/>
    <w:multiLevelType w:val="hybridMultilevel"/>
    <w:tmpl w:val="0A16389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10BD699D"/>
    <w:multiLevelType w:val="multilevel"/>
    <w:tmpl w:val="FFFFFFFF"/>
    <w:lvl w:ilvl="0">
      <w:start w:val="2"/>
      <w:numFmt w:val="decimal"/>
      <w:lvlText w:val="%1."/>
      <w:lvlJc w:val="left"/>
      <w:pPr>
        <w:ind w:left="720" w:hanging="360"/>
      </w:pPr>
      <w:rPr>
        <w:rFonts w:ascii="Avenir Nxt2 W1G" w:hAnsi="Avenir Nxt2 W1G"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1517C90"/>
    <w:multiLevelType w:val="multilevel"/>
    <w:tmpl w:val="F31A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8001FC"/>
    <w:multiLevelType w:val="multilevel"/>
    <w:tmpl w:val="C2501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1C27975"/>
    <w:multiLevelType w:val="multilevel"/>
    <w:tmpl w:val="4A04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1FA66BE"/>
    <w:multiLevelType w:val="multilevel"/>
    <w:tmpl w:val="9250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23E7FE5"/>
    <w:multiLevelType w:val="multilevel"/>
    <w:tmpl w:val="7B08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39F3EB1"/>
    <w:multiLevelType w:val="multilevel"/>
    <w:tmpl w:val="FFFFFFFF"/>
    <w:lvl w:ilvl="0">
      <w:start w:val="5"/>
      <w:numFmt w:val="decimal"/>
      <w:lvlText w:val="%1."/>
      <w:lvlJc w:val="left"/>
      <w:pPr>
        <w:ind w:left="720" w:hanging="360"/>
      </w:pPr>
      <w:rPr>
        <w:rFonts w:ascii="Avenir Nxt2 W1G" w:hAnsi="Avenir Nxt2 W1G"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3A70FA5"/>
    <w:multiLevelType w:val="hybridMultilevel"/>
    <w:tmpl w:val="94DEB76A"/>
    <w:lvl w:ilvl="0" w:tplc="546653B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41D402E"/>
    <w:multiLevelType w:val="multilevel"/>
    <w:tmpl w:val="A9D84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9D375A3"/>
    <w:multiLevelType w:val="hybridMultilevel"/>
    <w:tmpl w:val="E3480656"/>
    <w:lvl w:ilvl="0" w:tplc="596AA38C">
      <w:start w:val="1"/>
      <w:numFmt w:val="lowerLetter"/>
      <w:lvlText w:val="%1)"/>
      <w:lvlJc w:val="left"/>
      <w:pPr>
        <w:ind w:left="360" w:hanging="360"/>
      </w:pPr>
      <w:rPr>
        <w:b/>
        <w:bCs/>
      </w:rPr>
    </w:lvl>
    <w:lvl w:ilvl="1" w:tplc="08090019">
      <w:start w:val="1"/>
      <w:numFmt w:val="lowerLetter"/>
      <w:lvlText w:val="%2."/>
      <w:lvlJc w:val="left"/>
      <w:pPr>
        <w:ind w:left="1080" w:hanging="360"/>
      </w:pPr>
    </w:lvl>
    <w:lvl w:ilvl="2" w:tplc="0809001B" w:tentative="1">
      <w:start w:val="1"/>
      <w:numFmt w:val="lowerRoman"/>
      <w:pStyle w:val="AnnexHeading3"/>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1FB21734"/>
    <w:multiLevelType w:val="hybridMultilevel"/>
    <w:tmpl w:val="C3123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21A7F1A"/>
    <w:multiLevelType w:val="multilevel"/>
    <w:tmpl w:val="F140E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221F378"/>
    <w:multiLevelType w:val="multilevel"/>
    <w:tmpl w:val="FFFFFFFF"/>
    <w:lvl w:ilvl="0">
      <w:start w:val="4"/>
      <w:numFmt w:val="decimal"/>
      <w:lvlText w:val="%1."/>
      <w:lvlJc w:val="left"/>
      <w:pPr>
        <w:ind w:left="720" w:hanging="360"/>
      </w:pPr>
      <w:rPr>
        <w:rFonts w:ascii="Avenir Nxt2 W1G" w:hAnsi="Avenir Nxt2 W1G"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2FC57C9"/>
    <w:multiLevelType w:val="multilevel"/>
    <w:tmpl w:val="E94A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4DB2570"/>
    <w:multiLevelType w:val="multilevel"/>
    <w:tmpl w:val="F75C2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51C509A"/>
    <w:multiLevelType w:val="multilevel"/>
    <w:tmpl w:val="4A04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67FBFEA"/>
    <w:multiLevelType w:val="hybridMultilevel"/>
    <w:tmpl w:val="31004956"/>
    <w:lvl w:ilvl="0" w:tplc="EB9EC31E">
      <w:start w:val="1"/>
      <w:numFmt w:val="lowerLetter"/>
      <w:lvlText w:val="%1."/>
      <w:lvlJc w:val="left"/>
      <w:pPr>
        <w:ind w:left="720" w:hanging="360"/>
      </w:pPr>
    </w:lvl>
    <w:lvl w:ilvl="1" w:tplc="DA9E64CC">
      <w:start w:val="1"/>
      <w:numFmt w:val="lowerLetter"/>
      <w:lvlText w:val="%2."/>
      <w:lvlJc w:val="left"/>
      <w:pPr>
        <w:ind w:left="1440" w:hanging="360"/>
      </w:pPr>
    </w:lvl>
    <w:lvl w:ilvl="2" w:tplc="6058744E">
      <w:start w:val="1"/>
      <w:numFmt w:val="lowerRoman"/>
      <w:lvlText w:val="%3."/>
      <w:lvlJc w:val="right"/>
      <w:pPr>
        <w:ind w:left="2160" w:hanging="180"/>
      </w:pPr>
    </w:lvl>
    <w:lvl w:ilvl="3" w:tplc="3DA69748">
      <w:start w:val="1"/>
      <w:numFmt w:val="decimal"/>
      <w:lvlText w:val="%4."/>
      <w:lvlJc w:val="left"/>
      <w:pPr>
        <w:ind w:left="2880" w:hanging="360"/>
      </w:pPr>
    </w:lvl>
    <w:lvl w:ilvl="4" w:tplc="26F4D152">
      <w:start w:val="1"/>
      <w:numFmt w:val="lowerLetter"/>
      <w:lvlText w:val="%5."/>
      <w:lvlJc w:val="left"/>
      <w:pPr>
        <w:ind w:left="3600" w:hanging="360"/>
      </w:pPr>
    </w:lvl>
    <w:lvl w:ilvl="5" w:tplc="BFDA914E">
      <w:start w:val="1"/>
      <w:numFmt w:val="lowerRoman"/>
      <w:lvlText w:val="%6."/>
      <w:lvlJc w:val="right"/>
      <w:pPr>
        <w:ind w:left="4320" w:hanging="180"/>
      </w:pPr>
    </w:lvl>
    <w:lvl w:ilvl="6" w:tplc="F61AF6C6">
      <w:start w:val="1"/>
      <w:numFmt w:val="decimal"/>
      <w:lvlText w:val="%7."/>
      <w:lvlJc w:val="left"/>
      <w:pPr>
        <w:ind w:left="5040" w:hanging="360"/>
      </w:pPr>
    </w:lvl>
    <w:lvl w:ilvl="7" w:tplc="C284B746">
      <w:start w:val="1"/>
      <w:numFmt w:val="lowerLetter"/>
      <w:lvlText w:val="%8."/>
      <w:lvlJc w:val="left"/>
      <w:pPr>
        <w:ind w:left="5760" w:hanging="360"/>
      </w:pPr>
    </w:lvl>
    <w:lvl w:ilvl="8" w:tplc="AA96EAE2">
      <w:start w:val="1"/>
      <w:numFmt w:val="lowerRoman"/>
      <w:lvlText w:val="%9."/>
      <w:lvlJc w:val="right"/>
      <w:pPr>
        <w:ind w:left="6480" w:hanging="180"/>
      </w:pPr>
    </w:lvl>
  </w:abstractNum>
  <w:abstractNum w:abstractNumId="30" w15:restartNumberingAfterBreak="0">
    <w:nsid w:val="26820E90"/>
    <w:multiLevelType w:val="multilevel"/>
    <w:tmpl w:val="009CD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90433CE"/>
    <w:multiLevelType w:val="hybridMultilevel"/>
    <w:tmpl w:val="5DAE54CA"/>
    <w:lvl w:ilvl="0" w:tplc="051AF7DC">
      <w:start w:val="1"/>
      <w:numFmt w:val="lowerLetter"/>
      <w:lvlText w:val="%1)"/>
      <w:lvlJc w:val="left"/>
      <w:pPr>
        <w:ind w:left="720" w:hanging="360"/>
      </w:pPr>
    </w:lvl>
    <w:lvl w:ilvl="1" w:tplc="4758742E">
      <w:start w:val="1"/>
      <w:numFmt w:val="lowerLetter"/>
      <w:lvlText w:val="%2."/>
      <w:lvlJc w:val="left"/>
      <w:pPr>
        <w:ind w:left="1440" w:hanging="360"/>
      </w:pPr>
    </w:lvl>
    <w:lvl w:ilvl="2" w:tplc="8BA6C240">
      <w:start w:val="4"/>
      <w:numFmt w:val="bullet"/>
      <w:lvlText w:val="–"/>
      <w:lvlJc w:val="left"/>
      <w:pPr>
        <w:ind w:left="2700" w:hanging="720"/>
      </w:pPr>
      <w:rPr>
        <w:rFonts w:ascii="Avenir Nxt2 W1G" w:hAnsi="Avenir Nxt2 W1G" w:hint="default"/>
      </w:rPr>
    </w:lvl>
    <w:lvl w:ilvl="3" w:tplc="990E48D0">
      <w:start w:val="4"/>
      <w:numFmt w:val="bullet"/>
      <w:lvlText w:val="•"/>
      <w:lvlJc w:val="left"/>
      <w:pPr>
        <w:ind w:left="2880" w:hanging="360"/>
      </w:pPr>
      <w:rPr>
        <w:rFonts w:ascii="Avenir Nxt2 W1G" w:hAnsi="Avenir Nxt2 W1G" w:hint="default"/>
      </w:rPr>
    </w:lvl>
    <w:lvl w:ilvl="4" w:tplc="EAB82016" w:tentative="1">
      <w:start w:val="1"/>
      <w:numFmt w:val="lowerLetter"/>
      <w:lvlText w:val="%5."/>
      <w:lvlJc w:val="left"/>
      <w:pPr>
        <w:ind w:left="3600" w:hanging="360"/>
      </w:pPr>
    </w:lvl>
    <w:lvl w:ilvl="5" w:tplc="5E24F062" w:tentative="1">
      <w:start w:val="1"/>
      <w:numFmt w:val="lowerRoman"/>
      <w:lvlText w:val="%6."/>
      <w:lvlJc w:val="right"/>
      <w:pPr>
        <w:ind w:left="4320" w:hanging="180"/>
      </w:pPr>
    </w:lvl>
    <w:lvl w:ilvl="6" w:tplc="7980BBBA" w:tentative="1">
      <w:start w:val="1"/>
      <w:numFmt w:val="decimal"/>
      <w:lvlText w:val="%7."/>
      <w:lvlJc w:val="left"/>
      <w:pPr>
        <w:ind w:left="5040" w:hanging="360"/>
      </w:pPr>
    </w:lvl>
    <w:lvl w:ilvl="7" w:tplc="5492FFF6" w:tentative="1">
      <w:start w:val="1"/>
      <w:numFmt w:val="lowerLetter"/>
      <w:lvlText w:val="%8."/>
      <w:lvlJc w:val="left"/>
      <w:pPr>
        <w:ind w:left="5760" w:hanging="360"/>
      </w:pPr>
    </w:lvl>
    <w:lvl w:ilvl="8" w:tplc="13BC600C" w:tentative="1">
      <w:start w:val="1"/>
      <w:numFmt w:val="lowerRoman"/>
      <w:lvlText w:val="%9."/>
      <w:lvlJc w:val="right"/>
      <w:pPr>
        <w:ind w:left="6480" w:hanging="180"/>
      </w:pPr>
    </w:lvl>
  </w:abstractNum>
  <w:abstractNum w:abstractNumId="32" w15:restartNumberingAfterBreak="0">
    <w:nsid w:val="2A7051AC"/>
    <w:multiLevelType w:val="multilevel"/>
    <w:tmpl w:val="F29C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A81C59A"/>
    <w:multiLevelType w:val="multilevel"/>
    <w:tmpl w:val="FFFFFFFF"/>
    <w:lvl w:ilvl="0">
      <w:start w:val="8"/>
      <w:numFmt w:val="decimal"/>
      <w:lvlText w:val="%1."/>
      <w:lvlJc w:val="left"/>
      <w:pPr>
        <w:ind w:left="720" w:hanging="360"/>
      </w:pPr>
      <w:rPr>
        <w:rFonts w:ascii="Avenir Nxt2 W1G" w:hAnsi="Avenir Nxt2 W1G"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AC74DBE"/>
    <w:multiLevelType w:val="multilevel"/>
    <w:tmpl w:val="ADA6584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ptos" w:eastAsia="Batang" w:hAnsi="Aptos" w:cstheme="min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DB823F9"/>
    <w:multiLevelType w:val="hybridMultilevel"/>
    <w:tmpl w:val="C7E432F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2E024E62"/>
    <w:multiLevelType w:val="multilevel"/>
    <w:tmpl w:val="BC54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E192253"/>
    <w:multiLevelType w:val="multilevel"/>
    <w:tmpl w:val="28AC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F8242BD"/>
    <w:multiLevelType w:val="hybridMultilevel"/>
    <w:tmpl w:val="25FA6A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C83D8A"/>
    <w:multiLevelType w:val="hybridMultilevel"/>
    <w:tmpl w:val="2A8EED0A"/>
    <w:lvl w:ilvl="0" w:tplc="93E6492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FE254FB"/>
    <w:multiLevelType w:val="hybridMultilevel"/>
    <w:tmpl w:val="CBD08FD2"/>
    <w:lvl w:ilvl="0" w:tplc="FE883820">
      <w:start w:val="1"/>
      <w:numFmt w:val="lowerLetter"/>
      <w:lvlText w:val="%1."/>
      <w:lvlJc w:val="left"/>
      <w:pPr>
        <w:ind w:left="720" w:hanging="360"/>
      </w:pPr>
    </w:lvl>
    <w:lvl w:ilvl="1" w:tplc="80B638EA">
      <w:start w:val="1"/>
      <w:numFmt w:val="lowerLetter"/>
      <w:lvlText w:val="%2."/>
      <w:lvlJc w:val="left"/>
      <w:pPr>
        <w:ind w:left="1440" w:hanging="360"/>
      </w:pPr>
    </w:lvl>
    <w:lvl w:ilvl="2" w:tplc="C7D497C2">
      <w:start w:val="1"/>
      <w:numFmt w:val="lowerRoman"/>
      <w:lvlText w:val="%3."/>
      <w:lvlJc w:val="right"/>
      <w:pPr>
        <w:ind w:left="2160" w:hanging="180"/>
      </w:pPr>
    </w:lvl>
    <w:lvl w:ilvl="3" w:tplc="5492F9DA">
      <w:start w:val="1"/>
      <w:numFmt w:val="decimal"/>
      <w:lvlText w:val="%4."/>
      <w:lvlJc w:val="left"/>
      <w:pPr>
        <w:ind w:left="2880" w:hanging="360"/>
      </w:pPr>
    </w:lvl>
    <w:lvl w:ilvl="4" w:tplc="B762C564">
      <w:start w:val="1"/>
      <w:numFmt w:val="lowerLetter"/>
      <w:lvlText w:val="%5."/>
      <w:lvlJc w:val="left"/>
      <w:pPr>
        <w:ind w:left="3600" w:hanging="360"/>
      </w:pPr>
    </w:lvl>
    <w:lvl w:ilvl="5" w:tplc="425656E2">
      <w:start w:val="1"/>
      <w:numFmt w:val="lowerRoman"/>
      <w:lvlText w:val="%6."/>
      <w:lvlJc w:val="right"/>
      <w:pPr>
        <w:ind w:left="4320" w:hanging="180"/>
      </w:pPr>
    </w:lvl>
    <w:lvl w:ilvl="6" w:tplc="70EEEC02">
      <w:start w:val="1"/>
      <w:numFmt w:val="decimal"/>
      <w:lvlText w:val="%7."/>
      <w:lvlJc w:val="left"/>
      <w:pPr>
        <w:ind w:left="5040" w:hanging="360"/>
      </w:pPr>
    </w:lvl>
    <w:lvl w:ilvl="7" w:tplc="A5B6A888">
      <w:start w:val="1"/>
      <w:numFmt w:val="lowerLetter"/>
      <w:lvlText w:val="%8."/>
      <w:lvlJc w:val="left"/>
      <w:pPr>
        <w:ind w:left="5760" w:hanging="360"/>
      </w:pPr>
    </w:lvl>
    <w:lvl w:ilvl="8" w:tplc="1436A372">
      <w:start w:val="1"/>
      <w:numFmt w:val="lowerRoman"/>
      <w:lvlText w:val="%9."/>
      <w:lvlJc w:val="right"/>
      <w:pPr>
        <w:ind w:left="6480" w:hanging="180"/>
      </w:pPr>
    </w:lvl>
  </w:abstractNum>
  <w:abstractNum w:abstractNumId="41" w15:restartNumberingAfterBreak="0">
    <w:nsid w:val="31C957E6"/>
    <w:multiLevelType w:val="multilevel"/>
    <w:tmpl w:val="FFFFFFFF"/>
    <w:lvl w:ilvl="0">
      <w:start w:val="2"/>
      <w:numFmt w:val="lowerLetter"/>
      <w:lvlText w:val="%1."/>
      <w:lvlJc w:val="left"/>
      <w:pPr>
        <w:ind w:left="720" w:hanging="360"/>
      </w:pPr>
      <w:rPr>
        <w:rFonts w:ascii="Avenir Nxt2 W1G" w:hAnsi="Avenir Nxt2 W1G"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2CB6567"/>
    <w:multiLevelType w:val="multilevel"/>
    <w:tmpl w:val="C94C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3A92075"/>
    <w:multiLevelType w:val="multilevel"/>
    <w:tmpl w:val="B53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3AE96DD"/>
    <w:multiLevelType w:val="hybridMultilevel"/>
    <w:tmpl w:val="FFFFFFFF"/>
    <w:lvl w:ilvl="0" w:tplc="FBA45D86">
      <w:start w:val="1"/>
      <w:numFmt w:val="lowerLetter"/>
      <w:lvlText w:val="%1."/>
      <w:lvlJc w:val="left"/>
      <w:pPr>
        <w:ind w:left="720" w:hanging="360"/>
      </w:pPr>
    </w:lvl>
    <w:lvl w:ilvl="1" w:tplc="4E3EF558">
      <w:start w:val="1"/>
      <w:numFmt w:val="lowerLetter"/>
      <w:lvlText w:val="%2."/>
      <w:lvlJc w:val="left"/>
      <w:pPr>
        <w:ind w:left="1440" w:hanging="360"/>
      </w:pPr>
    </w:lvl>
    <w:lvl w:ilvl="2" w:tplc="B7863DCA">
      <w:start w:val="1"/>
      <w:numFmt w:val="lowerRoman"/>
      <w:lvlText w:val="%3."/>
      <w:lvlJc w:val="right"/>
      <w:pPr>
        <w:ind w:left="2160" w:hanging="180"/>
      </w:pPr>
    </w:lvl>
    <w:lvl w:ilvl="3" w:tplc="F9EA3CC2">
      <w:start w:val="1"/>
      <w:numFmt w:val="decimal"/>
      <w:lvlText w:val="%4."/>
      <w:lvlJc w:val="left"/>
      <w:pPr>
        <w:ind w:left="2880" w:hanging="360"/>
      </w:pPr>
    </w:lvl>
    <w:lvl w:ilvl="4" w:tplc="41769FC6">
      <w:start w:val="1"/>
      <w:numFmt w:val="lowerLetter"/>
      <w:lvlText w:val="%5."/>
      <w:lvlJc w:val="left"/>
      <w:pPr>
        <w:ind w:left="3600" w:hanging="360"/>
      </w:pPr>
    </w:lvl>
    <w:lvl w:ilvl="5" w:tplc="0C8A659C">
      <w:start w:val="1"/>
      <w:numFmt w:val="lowerRoman"/>
      <w:lvlText w:val="%6."/>
      <w:lvlJc w:val="right"/>
      <w:pPr>
        <w:ind w:left="4320" w:hanging="180"/>
      </w:pPr>
    </w:lvl>
    <w:lvl w:ilvl="6" w:tplc="9918C378">
      <w:start w:val="1"/>
      <w:numFmt w:val="decimal"/>
      <w:lvlText w:val="%7."/>
      <w:lvlJc w:val="left"/>
      <w:pPr>
        <w:ind w:left="5040" w:hanging="360"/>
      </w:pPr>
    </w:lvl>
    <w:lvl w:ilvl="7" w:tplc="6E68289C">
      <w:start w:val="1"/>
      <w:numFmt w:val="lowerLetter"/>
      <w:lvlText w:val="%8."/>
      <w:lvlJc w:val="left"/>
      <w:pPr>
        <w:ind w:left="5760" w:hanging="360"/>
      </w:pPr>
    </w:lvl>
    <w:lvl w:ilvl="8" w:tplc="70C6CDEC">
      <w:start w:val="1"/>
      <w:numFmt w:val="lowerRoman"/>
      <w:lvlText w:val="%9."/>
      <w:lvlJc w:val="right"/>
      <w:pPr>
        <w:ind w:left="6480" w:hanging="180"/>
      </w:pPr>
    </w:lvl>
  </w:abstractNum>
  <w:abstractNum w:abstractNumId="45" w15:restartNumberingAfterBreak="0">
    <w:nsid w:val="39F94D13"/>
    <w:multiLevelType w:val="hybridMultilevel"/>
    <w:tmpl w:val="D63EC7AC"/>
    <w:lvl w:ilvl="0" w:tplc="0809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6" w15:restartNumberingAfterBreak="0">
    <w:nsid w:val="3B9215F1"/>
    <w:multiLevelType w:val="multilevel"/>
    <w:tmpl w:val="C2364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BD34DBD"/>
    <w:multiLevelType w:val="hybridMultilevel"/>
    <w:tmpl w:val="F3D4A262"/>
    <w:lvl w:ilvl="0" w:tplc="1DDE1946">
      <w:start w:val="1"/>
      <w:numFmt w:val="lowerLetter"/>
      <w:pStyle w:val="Bulleta"/>
      <w:lvlText w:val="%1)"/>
      <w:lvlJc w:val="left"/>
      <w:pPr>
        <w:ind w:left="720" w:hanging="360"/>
      </w:pPr>
    </w:lvl>
    <w:lvl w:ilvl="1" w:tplc="FBF483B4">
      <w:start w:val="1"/>
      <w:numFmt w:val="lowerLetter"/>
      <w:lvlText w:val="%2."/>
      <w:lvlJc w:val="left"/>
      <w:pPr>
        <w:ind w:left="1440" w:hanging="360"/>
      </w:pPr>
    </w:lvl>
    <w:lvl w:ilvl="2" w:tplc="06BCA238">
      <w:start w:val="4"/>
      <w:numFmt w:val="bullet"/>
      <w:lvlText w:val="–"/>
      <w:lvlJc w:val="left"/>
      <w:pPr>
        <w:ind w:left="2700" w:hanging="720"/>
      </w:pPr>
      <w:rPr>
        <w:rFonts w:ascii="Avenir Nxt2 W1G" w:hAnsi="Avenir Nxt2 W1G" w:hint="default"/>
      </w:rPr>
    </w:lvl>
    <w:lvl w:ilvl="3" w:tplc="DC32E5F6">
      <w:start w:val="4"/>
      <w:numFmt w:val="bullet"/>
      <w:lvlText w:val="•"/>
      <w:lvlJc w:val="left"/>
      <w:pPr>
        <w:ind w:left="2880" w:hanging="360"/>
      </w:pPr>
      <w:rPr>
        <w:rFonts w:ascii="Avenir Nxt2 W1G" w:hAnsi="Avenir Nxt2 W1G" w:hint="default"/>
      </w:rPr>
    </w:lvl>
    <w:lvl w:ilvl="4" w:tplc="BD74C0BC" w:tentative="1">
      <w:start w:val="1"/>
      <w:numFmt w:val="lowerLetter"/>
      <w:lvlText w:val="%5."/>
      <w:lvlJc w:val="left"/>
      <w:pPr>
        <w:ind w:left="3600" w:hanging="360"/>
      </w:pPr>
    </w:lvl>
    <w:lvl w:ilvl="5" w:tplc="940E8936" w:tentative="1">
      <w:start w:val="1"/>
      <w:numFmt w:val="lowerRoman"/>
      <w:lvlText w:val="%6."/>
      <w:lvlJc w:val="right"/>
      <w:pPr>
        <w:ind w:left="4320" w:hanging="180"/>
      </w:pPr>
    </w:lvl>
    <w:lvl w:ilvl="6" w:tplc="5052ABF4" w:tentative="1">
      <w:start w:val="1"/>
      <w:numFmt w:val="decimal"/>
      <w:lvlText w:val="%7."/>
      <w:lvlJc w:val="left"/>
      <w:pPr>
        <w:ind w:left="5040" w:hanging="360"/>
      </w:pPr>
    </w:lvl>
    <w:lvl w:ilvl="7" w:tplc="2984216E" w:tentative="1">
      <w:start w:val="1"/>
      <w:numFmt w:val="lowerLetter"/>
      <w:lvlText w:val="%8."/>
      <w:lvlJc w:val="left"/>
      <w:pPr>
        <w:ind w:left="5760" w:hanging="360"/>
      </w:pPr>
    </w:lvl>
    <w:lvl w:ilvl="8" w:tplc="C804C0CE" w:tentative="1">
      <w:start w:val="1"/>
      <w:numFmt w:val="lowerRoman"/>
      <w:lvlText w:val="%9."/>
      <w:lvlJc w:val="right"/>
      <w:pPr>
        <w:ind w:left="6480" w:hanging="180"/>
      </w:pPr>
    </w:lvl>
  </w:abstractNum>
  <w:abstractNum w:abstractNumId="48" w15:restartNumberingAfterBreak="0">
    <w:nsid w:val="3C4C7020"/>
    <w:multiLevelType w:val="hybridMultilevel"/>
    <w:tmpl w:val="B5AC1F6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3D8BA894"/>
    <w:multiLevelType w:val="hybridMultilevel"/>
    <w:tmpl w:val="FFFFFFFF"/>
    <w:lvl w:ilvl="0" w:tplc="77F44642">
      <w:start w:val="1"/>
      <w:numFmt w:val="bullet"/>
      <w:lvlText w:val=""/>
      <w:lvlJc w:val="left"/>
      <w:pPr>
        <w:ind w:left="720" w:hanging="360"/>
      </w:pPr>
      <w:rPr>
        <w:rFonts w:ascii="Symbol" w:hAnsi="Symbol" w:hint="default"/>
      </w:rPr>
    </w:lvl>
    <w:lvl w:ilvl="1" w:tplc="9DD218CE">
      <w:start w:val="1"/>
      <w:numFmt w:val="bullet"/>
      <w:lvlText w:val="o"/>
      <w:lvlJc w:val="left"/>
      <w:pPr>
        <w:ind w:left="1440" w:hanging="360"/>
      </w:pPr>
      <w:rPr>
        <w:rFonts w:ascii="Courier New" w:hAnsi="Courier New" w:hint="default"/>
      </w:rPr>
    </w:lvl>
    <w:lvl w:ilvl="2" w:tplc="DE4E0BE6">
      <w:start w:val="1"/>
      <w:numFmt w:val="bullet"/>
      <w:lvlText w:val=""/>
      <w:lvlJc w:val="left"/>
      <w:pPr>
        <w:ind w:left="2160" w:hanging="360"/>
      </w:pPr>
      <w:rPr>
        <w:rFonts w:ascii="Wingdings" w:hAnsi="Wingdings" w:hint="default"/>
      </w:rPr>
    </w:lvl>
    <w:lvl w:ilvl="3" w:tplc="EE78FF7A">
      <w:start w:val="1"/>
      <w:numFmt w:val="bullet"/>
      <w:lvlText w:val=""/>
      <w:lvlJc w:val="left"/>
      <w:pPr>
        <w:ind w:left="2880" w:hanging="360"/>
      </w:pPr>
      <w:rPr>
        <w:rFonts w:ascii="Symbol" w:hAnsi="Symbol" w:hint="default"/>
      </w:rPr>
    </w:lvl>
    <w:lvl w:ilvl="4" w:tplc="894234F0">
      <w:start w:val="1"/>
      <w:numFmt w:val="bullet"/>
      <w:lvlText w:val="o"/>
      <w:lvlJc w:val="left"/>
      <w:pPr>
        <w:ind w:left="3600" w:hanging="360"/>
      </w:pPr>
      <w:rPr>
        <w:rFonts w:ascii="Courier New" w:hAnsi="Courier New" w:hint="default"/>
      </w:rPr>
    </w:lvl>
    <w:lvl w:ilvl="5" w:tplc="35F435BC">
      <w:start w:val="1"/>
      <w:numFmt w:val="bullet"/>
      <w:lvlText w:val=""/>
      <w:lvlJc w:val="left"/>
      <w:pPr>
        <w:ind w:left="4320" w:hanging="360"/>
      </w:pPr>
      <w:rPr>
        <w:rFonts w:ascii="Wingdings" w:hAnsi="Wingdings" w:hint="default"/>
      </w:rPr>
    </w:lvl>
    <w:lvl w:ilvl="6" w:tplc="D1FADD78">
      <w:start w:val="1"/>
      <w:numFmt w:val="bullet"/>
      <w:lvlText w:val=""/>
      <w:lvlJc w:val="left"/>
      <w:pPr>
        <w:ind w:left="5040" w:hanging="360"/>
      </w:pPr>
      <w:rPr>
        <w:rFonts w:ascii="Symbol" w:hAnsi="Symbol" w:hint="default"/>
      </w:rPr>
    </w:lvl>
    <w:lvl w:ilvl="7" w:tplc="F438D202">
      <w:start w:val="1"/>
      <w:numFmt w:val="bullet"/>
      <w:lvlText w:val="o"/>
      <w:lvlJc w:val="left"/>
      <w:pPr>
        <w:ind w:left="5760" w:hanging="360"/>
      </w:pPr>
      <w:rPr>
        <w:rFonts w:ascii="Courier New" w:hAnsi="Courier New" w:hint="default"/>
      </w:rPr>
    </w:lvl>
    <w:lvl w:ilvl="8" w:tplc="1E481A86">
      <w:start w:val="1"/>
      <w:numFmt w:val="bullet"/>
      <w:lvlText w:val=""/>
      <w:lvlJc w:val="left"/>
      <w:pPr>
        <w:ind w:left="6480" w:hanging="360"/>
      </w:pPr>
      <w:rPr>
        <w:rFonts w:ascii="Wingdings" w:hAnsi="Wingdings" w:hint="default"/>
      </w:rPr>
    </w:lvl>
  </w:abstractNum>
  <w:abstractNum w:abstractNumId="50" w15:restartNumberingAfterBreak="0">
    <w:nsid w:val="41506329"/>
    <w:multiLevelType w:val="multilevel"/>
    <w:tmpl w:val="E6CE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17443EA"/>
    <w:multiLevelType w:val="hybridMultilevel"/>
    <w:tmpl w:val="45CE7856"/>
    <w:lvl w:ilvl="0" w:tplc="FE303C7A">
      <w:start w:val="1"/>
      <w:numFmt w:val="bullet"/>
      <w:lvlText w:val=""/>
      <w:lvlJc w:val="left"/>
      <w:pPr>
        <w:ind w:left="720" w:hanging="360"/>
      </w:pPr>
      <w:rPr>
        <w:rFonts w:ascii="Symbol" w:hAnsi="Symbol" w:hint="default"/>
      </w:rPr>
    </w:lvl>
    <w:lvl w:ilvl="1" w:tplc="7EAACC5C">
      <w:start w:val="1"/>
      <w:numFmt w:val="bullet"/>
      <w:lvlText w:val="o"/>
      <w:lvlJc w:val="left"/>
      <w:pPr>
        <w:ind w:left="1440" w:hanging="360"/>
      </w:pPr>
      <w:rPr>
        <w:rFonts w:ascii="Courier New" w:hAnsi="Courier New" w:hint="default"/>
      </w:rPr>
    </w:lvl>
    <w:lvl w:ilvl="2" w:tplc="635AC8A0">
      <w:start w:val="1"/>
      <w:numFmt w:val="bullet"/>
      <w:lvlText w:val=""/>
      <w:lvlJc w:val="left"/>
      <w:pPr>
        <w:ind w:left="2160" w:hanging="360"/>
      </w:pPr>
      <w:rPr>
        <w:rFonts w:ascii="Wingdings" w:hAnsi="Wingdings" w:hint="default"/>
      </w:rPr>
    </w:lvl>
    <w:lvl w:ilvl="3" w:tplc="1AD83D2C">
      <w:start w:val="1"/>
      <w:numFmt w:val="bullet"/>
      <w:lvlText w:val=""/>
      <w:lvlJc w:val="left"/>
      <w:pPr>
        <w:ind w:left="2880" w:hanging="360"/>
      </w:pPr>
      <w:rPr>
        <w:rFonts w:ascii="Symbol" w:hAnsi="Symbol" w:hint="default"/>
      </w:rPr>
    </w:lvl>
    <w:lvl w:ilvl="4" w:tplc="0FD47D74" w:tentative="1">
      <w:start w:val="1"/>
      <w:numFmt w:val="bullet"/>
      <w:lvlText w:val="o"/>
      <w:lvlJc w:val="left"/>
      <w:pPr>
        <w:ind w:left="3600" w:hanging="360"/>
      </w:pPr>
      <w:rPr>
        <w:rFonts w:ascii="Courier New" w:hAnsi="Courier New" w:hint="default"/>
      </w:rPr>
    </w:lvl>
    <w:lvl w:ilvl="5" w:tplc="6440782C" w:tentative="1">
      <w:start w:val="1"/>
      <w:numFmt w:val="bullet"/>
      <w:lvlText w:val=""/>
      <w:lvlJc w:val="left"/>
      <w:pPr>
        <w:ind w:left="4320" w:hanging="360"/>
      </w:pPr>
      <w:rPr>
        <w:rFonts w:ascii="Wingdings" w:hAnsi="Wingdings" w:hint="default"/>
      </w:rPr>
    </w:lvl>
    <w:lvl w:ilvl="6" w:tplc="BC163326" w:tentative="1">
      <w:start w:val="1"/>
      <w:numFmt w:val="bullet"/>
      <w:lvlText w:val=""/>
      <w:lvlJc w:val="left"/>
      <w:pPr>
        <w:ind w:left="5040" w:hanging="360"/>
      </w:pPr>
      <w:rPr>
        <w:rFonts w:ascii="Symbol" w:hAnsi="Symbol" w:hint="default"/>
      </w:rPr>
    </w:lvl>
    <w:lvl w:ilvl="7" w:tplc="88767FDE" w:tentative="1">
      <w:start w:val="1"/>
      <w:numFmt w:val="bullet"/>
      <w:lvlText w:val="o"/>
      <w:lvlJc w:val="left"/>
      <w:pPr>
        <w:ind w:left="5760" w:hanging="360"/>
      </w:pPr>
      <w:rPr>
        <w:rFonts w:ascii="Courier New" w:hAnsi="Courier New" w:hint="default"/>
      </w:rPr>
    </w:lvl>
    <w:lvl w:ilvl="8" w:tplc="FCA6282A" w:tentative="1">
      <w:start w:val="1"/>
      <w:numFmt w:val="bullet"/>
      <w:lvlText w:val=""/>
      <w:lvlJc w:val="left"/>
      <w:pPr>
        <w:ind w:left="6480" w:hanging="360"/>
      </w:pPr>
      <w:rPr>
        <w:rFonts w:ascii="Wingdings" w:hAnsi="Wingdings" w:hint="default"/>
      </w:rPr>
    </w:lvl>
  </w:abstractNum>
  <w:abstractNum w:abstractNumId="52" w15:restartNumberingAfterBreak="0">
    <w:nsid w:val="42C03367"/>
    <w:multiLevelType w:val="multilevel"/>
    <w:tmpl w:val="FFFFFFFF"/>
    <w:lvl w:ilvl="0">
      <w:start w:val="7"/>
      <w:numFmt w:val="decimal"/>
      <w:lvlText w:val="%1."/>
      <w:lvlJc w:val="left"/>
      <w:pPr>
        <w:ind w:left="720" w:hanging="360"/>
      </w:pPr>
      <w:rPr>
        <w:rFonts w:ascii="Avenir Nxt2 W1G" w:hAnsi="Avenir Nxt2 W1G"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43039BE4"/>
    <w:multiLevelType w:val="multilevel"/>
    <w:tmpl w:val="301287A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4409412D"/>
    <w:multiLevelType w:val="multilevel"/>
    <w:tmpl w:val="278ED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589552D"/>
    <w:multiLevelType w:val="hybridMultilevel"/>
    <w:tmpl w:val="E1F6294E"/>
    <w:lvl w:ilvl="0" w:tplc="0DA020DE">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5F47B4"/>
    <w:multiLevelType w:val="hybridMultilevel"/>
    <w:tmpl w:val="FFFFFFFF"/>
    <w:lvl w:ilvl="0" w:tplc="3C9EC866">
      <w:start w:val="1"/>
      <w:numFmt w:val="decimal"/>
      <w:lvlText w:val="%1."/>
      <w:lvlJc w:val="left"/>
      <w:pPr>
        <w:ind w:left="720" w:hanging="360"/>
      </w:pPr>
      <w:rPr>
        <w:rFonts w:ascii="Avenir Nxt2 W1G" w:hAnsi="Avenir Nxt2 W1G" w:hint="default"/>
      </w:rPr>
    </w:lvl>
    <w:lvl w:ilvl="1" w:tplc="9EC8020E">
      <w:start w:val="1"/>
      <w:numFmt w:val="lowerLetter"/>
      <w:lvlText w:val="%2."/>
      <w:lvlJc w:val="left"/>
      <w:pPr>
        <w:ind w:left="1440" w:hanging="360"/>
      </w:pPr>
    </w:lvl>
    <w:lvl w:ilvl="2" w:tplc="365CE444">
      <w:start w:val="1"/>
      <w:numFmt w:val="lowerRoman"/>
      <w:lvlText w:val="%3."/>
      <w:lvlJc w:val="right"/>
      <w:pPr>
        <w:ind w:left="2160" w:hanging="180"/>
      </w:pPr>
    </w:lvl>
    <w:lvl w:ilvl="3" w:tplc="830844B2">
      <w:start w:val="1"/>
      <w:numFmt w:val="decimal"/>
      <w:lvlText w:val="%4."/>
      <w:lvlJc w:val="left"/>
      <w:pPr>
        <w:ind w:left="2880" w:hanging="360"/>
      </w:pPr>
    </w:lvl>
    <w:lvl w:ilvl="4" w:tplc="DE002D62">
      <w:start w:val="1"/>
      <w:numFmt w:val="lowerLetter"/>
      <w:lvlText w:val="%5."/>
      <w:lvlJc w:val="left"/>
      <w:pPr>
        <w:ind w:left="3600" w:hanging="360"/>
      </w:pPr>
    </w:lvl>
    <w:lvl w:ilvl="5" w:tplc="7ADA6D32">
      <w:start w:val="1"/>
      <w:numFmt w:val="lowerRoman"/>
      <w:lvlText w:val="%6."/>
      <w:lvlJc w:val="right"/>
      <w:pPr>
        <w:ind w:left="4320" w:hanging="180"/>
      </w:pPr>
    </w:lvl>
    <w:lvl w:ilvl="6" w:tplc="A35EDF46">
      <w:start w:val="1"/>
      <w:numFmt w:val="decimal"/>
      <w:lvlText w:val="%7."/>
      <w:lvlJc w:val="left"/>
      <w:pPr>
        <w:ind w:left="5040" w:hanging="360"/>
      </w:pPr>
    </w:lvl>
    <w:lvl w:ilvl="7" w:tplc="1DF808D0">
      <w:start w:val="1"/>
      <w:numFmt w:val="lowerLetter"/>
      <w:lvlText w:val="%8."/>
      <w:lvlJc w:val="left"/>
      <w:pPr>
        <w:ind w:left="5760" w:hanging="360"/>
      </w:pPr>
    </w:lvl>
    <w:lvl w:ilvl="8" w:tplc="6E040DD2">
      <w:start w:val="1"/>
      <w:numFmt w:val="lowerRoman"/>
      <w:lvlText w:val="%9."/>
      <w:lvlJc w:val="right"/>
      <w:pPr>
        <w:ind w:left="6480" w:hanging="180"/>
      </w:pPr>
    </w:lvl>
  </w:abstractNum>
  <w:abstractNum w:abstractNumId="57" w15:restartNumberingAfterBreak="0">
    <w:nsid w:val="4A015432"/>
    <w:multiLevelType w:val="hybridMultilevel"/>
    <w:tmpl w:val="7DB85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4A6B2F33"/>
    <w:multiLevelType w:val="hybridMultilevel"/>
    <w:tmpl w:val="D806ED76"/>
    <w:lvl w:ilvl="0" w:tplc="FFFFFFFF">
      <w:start w:val="1"/>
      <w:numFmt w:val="bullet"/>
      <w:lvlText w:val=""/>
      <w:lvlJc w:val="left"/>
      <w:pPr>
        <w:ind w:left="717" w:hanging="360"/>
      </w:pPr>
      <w:rPr>
        <w:rFonts w:ascii="Symbol" w:hAnsi="Symbol" w:hint="default"/>
      </w:rPr>
    </w:lvl>
    <w:lvl w:ilvl="1" w:tplc="08090001">
      <w:start w:val="1"/>
      <w:numFmt w:val="bullet"/>
      <w:lvlText w:val=""/>
      <w:lvlJc w:val="left"/>
      <w:pPr>
        <w:ind w:left="1437" w:hanging="360"/>
      </w:pPr>
      <w:rPr>
        <w:rFonts w:ascii="Symbol" w:hAnsi="Symbol" w:hint="default"/>
      </w:rPr>
    </w:lvl>
    <w:lvl w:ilvl="2" w:tplc="FFFFFFFF">
      <w:start w:val="1"/>
      <w:numFmt w:val="bullet"/>
      <w:lvlText w:val=""/>
      <w:lvlJc w:val="left"/>
      <w:pPr>
        <w:ind w:left="2157" w:hanging="360"/>
      </w:pPr>
      <w:rPr>
        <w:rFonts w:ascii="Wingdings" w:hAnsi="Wingdings" w:hint="default"/>
      </w:rPr>
    </w:lvl>
    <w:lvl w:ilvl="3" w:tplc="FFFFFFFF">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59" w15:restartNumberingAfterBreak="0">
    <w:nsid w:val="4D372256"/>
    <w:multiLevelType w:val="hybridMultilevel"/>
    <w:tmpl w:val="FFFFFFFF"/>
    <w:lvl w:ilvl="0" w:tplc="57C0DF10">
      <w:start w:val="1"/>
      <w:numFmt w:val="bullet"/>
      <w:lvlText w:val=""/>
      <w:lvlJc w:val="left"/>
      <w:pPr>
        <w:ind w:left="720" w:hanging="360"/>
      </w:pPr>
      <w:rPr>
        <w:rFonts w:ascii="Symbol" w:hAnsi="Symbol" w:hint="default"/>
      </w:rPr>
    </w:lvl>
    <w:lvl w:ilvl="1" w:tplc="0E94BB2A">
      <w:start w:val="1"/>
      <w:numFmt w:val="bullet"/>
      <w:lvlText w:val="o"/>
      <w:lvlJc w:val="left"/>
      <w:pPr>
        <w:ind w:left="1440" w:hanging="360"/>
      </w:pPr>
      <w:rPr>
        <w:rFonts w:ascii="Courier New" w:hAnsi="Courier New" w:hint="default"/>
      </w:rPr>
    </w:lvl>
    <w:lvl w:ilvl="2" w:tplc="A95E0E32">
      <w:start w:val="1"/>
      <w:numFmt w:val="bullet"/>
      <w:lvlText w:val=""/>
      <w:lvlJc w:val="left"/>
      <w:pPr>
        <w:ind w:left="2160" w:hanging="360"/>
      </w:pPr>
      <w:rPr>
        <w:rFonts w:ascii="Wingdings" w:hAnsi="Wingdings" w:hint="default"/>
      </w:rPr>
    </w:lvl>
    <w:lvl w:ilvl="3" w:tplc="E1FAD654">
      <w:start w:val="1"/>
      <w:numFmt w:val="bullet"/>
      <w:lvlText w:val=""/>
      <w:lvlJc w:val="left"/>
      <w:pPr>
        <w:ind w:left="2880" w:hanging="360"/>
      </w:pPr>
      <w:rPr>
        <w:rFonts w:ascii="Symbol" w:hAnsi="Symbol" w:hint="default"/>
      </w:rPr>
    </w:lvl>
    <w:lvl w:ilvl="4" w:tplc="CFEAE4FC">
      <w:start w:val="1"/>
      <w:numFmt w:val="bullet"/>
      <w:lvlText w:val="o"/>
      <w:lvlJc w:val="left"/>
      <w:pPr>
        <w:ind w:left="3600" w:hanging="360"/>
      </w:pPr>
      <w:rPr>
        <w:rFonts w:ascii="Courier New" w:hAnsi="Courier New" w:hint="default"/>
      </w:rPr>
    </w:lvl>
    <w:lvl w:ilvl="5" w:tplc="378C6E4A">
      <w:start w:val="1"/>
      <w:numFmt w:val="bullet"/>
      <w:lvlText w:val=""/>
      <w:lvlJc w:val="left"/>
      <w:pPr>
        <w:ind w:left="4320" w:hanging="360"/>
      </w:pPr>
      <w:rPr>
        <w:rFonts w:ascii="Wingdings" w:hAnsi="Wingdings" w:hint="default"/>
      </w:rPr>
    </w:lvl>
    <w:lvl w:ilvl="6" w:tplc="999C75B8">
      <w:start w:val="1"/>
      <w:numFmt w:val="bullet"/>
      <w:lvlText w:val=""/>
      <w:lvlJc w:val="left"/>
      <w:pPr>
        <w:ind w:left="5040" w:hanging="360"/>
      </w:pPr>
      <w:rPr>
        <w:rFonts w:ascii="Symbol" w:hAnsi="Symbol" w:hint="default"/>
      </w:rPr>
    </w:lvl>
    <w:lvl w:ilvl="7" w:tplc="82961440">
      <w:start w:val="1"/>
      <w:numFmt w:val="bullet"/>
      <w:lvlText w:val="o"/>
      <w:lvlJc w:val="left"/>
      <w:pPr>
        <w:ind w:left="5760" w:hanging="360"/>
      </w:pPr>
      <w:rPr>
        <w:rFonts w:ascii="Courier New" w:hAnsi="Courier New" w:hint="default"/>
      </w:rPr>
    </w:lvl>
    <w:lvl w:ilvl="8" w:tplc="3E34DB22">
      <w:start w:val="1"/>
      <w:numFmt w:val="bullet"/>
      <w:lvlText w:val=""/>
      <w:lvlJc w:val="left"/>
      <w:pPr>
        <w:ind w:left="6480" w:hanging="360"/>
      </w:pPr>
      <w:rPr>
        <w:rFonts w:ascii="Wingdings" w:hAnsi="Wingdings" w:hint="default"/>
      </w:rPr>
    </w:lvl>
  </w:abstractNum>
  <w:abstractNum w:abstractNumId="60" w15:restartNumberingAfterBreak="0">
    <w:nsid w:val="4E3746AB"/>
    <w:multiLevelType w:val="hybridMultilevel"/>
    <w:tmpl w:val="AD1A6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F19348D"/>
    <w:multiLevelType w:val="hybridMultilevel"/>
    <w:tmpl w:val="8D3E05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FE559D5"/>
    <w:multiLevelType w:val="hybridMultilevel"/>
    <w:tmpl w:val="E0BAF15A"/>
    <w:lvl w:ilvl="0" w:tplc="D2CEB158">
      <w:start w:val="1"/>
      <w:numFmt w:val="bullet"/>
      <w:pStyle w:val="Tablelist"/>
      <w:lvlText w:val=""/>
      <w:lvlJc w:val="left"/>
      <w:pPr>
        <w:ind w:left="360" w:hanging="360"/>
      </w:pPr>
      <w:rPr>
        <w:rFonts w:ascii="Symbol" w:hAnsi="Symbol" w:hint="default"/>
      </w:rPr>
    </w:lvl>
    <w:lvl w:ilvl="1" w:tplc="3828AC4C" w:tentative="1">
      <w:start w:val="1"/>
      <w:numFmt w:val="bullet"/>
      <w:lvlText w:val="o"/>
      <w:lvlJc w:val="left"/>
      <w:pPr>
        <w:ind w:left="1080" w:hanging="360"/>
      </w:pPr>
      <w:rPr>
        <w:rFonts w:ascii="Courier New" w:hAnsi="Courier New" w:hint="default"/>
      </w:rPr>
    </w:lvl>
    <w:lvl w:ilvl="2" w:tplc="6068ECF8" w:tentative="1">
      <w:start w:val="1"/>
      <w:numFmt w:val="bullet"/>
      <w:lvlText w:val=""/>
      <w:lvlJc w:val="left"/>
      <w:pPr>
        <w:ind w:left="1800" w:hanging="360"/>
      </w:pPr>
      <w:rPr>
        <w:rFonts w:ascii="Wingdings" w:hAnsi="Wingdings" w:hint="default"/>
      </w:rPr>
    </w:lvl>
    <w:lvl w:ilvl="3" w:tplc="882A394C" w:tentative="1">
      <w:start w:val="1"/>
      <w:numFmt w:val="bullet"/>
      <w:lvlText w:val=""/>
      <w:lvlJc w:val="left"/>
      <w:pPr>
        <w:ind w:left="2520" w:hanging="360"/>
      </w:pPr>
      <w:rPr>
        <w:rFonts w:ascii="Symbol" w:hAnsi="Symbol" w:hint="default"/>
      </w:rPr>
    </w:lvl>
    <w:lvl w:ilvl="4" w:tplc="8CD2B700" w:tentative="1">
      <w:start w:val="1"/>
      <w:numFmt w:val="bullet"/>
      <w:lvlText w:val="o"/>
      <w:lvlJc w:val="left"/>
      <w:pPr>
        <w:ind w:left="3240" w:hanging="360"/>
      </w:pPr>
      <w:rPr>
        <w:rFonts w:ascii="Courier New" w:hAnsi="Courier New" w:hint="default"/>
      </w:rPr>
    </w:lvl>
    <w:lvl w:ilvl="5" w:tplc="167CE7BE" w:tentative="1">
      <w:start w:val="1"/>
      <w:numFmt w:val="bullet"/>
      <w:lvlText w:val=""/>
      <w:lvlJc w:val="left"/>
      <w:pPr>
        <w:ind w:left="3960" w:hanging="360"/>
      </w:pPr>
      <w:rPr>
        <w:rFonts w:ascii="Wingdings" w:hAnsi="Wingdings" w:hint="default"/>
      </w:rPr>
    </w:lvl>
    <w:lvl w:ilvl="6" w:tplc="24DA2E68" w:tentative="1">
      <w:start w:val="1"/>
      <w:numFmt w:val="bullet"/>
      <w:lvlText w:val=""/>
      <w:lvlJc w:val="left"/>
      <w:pPr>
        <w:ind w:left="4680" w:hanging="360"/>
      </w:pPr>
      <w:rPr>
        <w:rFonts w:ascii="Symbol" w:hAnsi="Symbol" w:hint="default"/>
      </w:rPr>
    </w:lvl>
    <w:lvl w:ilvl="7" w:tplc="B7E8DE9C" w:tentative="1">
      <w:start w:val="1"/>
      <w:numFmt w:val="bullet"/>
      <w:lvlText w:val="o"/>
      <w:lvlJc w:val="left"/>
      <w:pPr>
        <w:ind w:left="5400" w:hanging="360"/>
      </w:pPr>
      <w:rPr>
        <w:rFonts w:ascii="Courier New" w:hAnsi="Courier New" w:hint="default"/>
      </w:rPr>
    </w:lvl>
    <w:lvl w:ilvl="8" w:tplc="B8842E24" w:tentative="1">
      <w:start w:val="1"/>
      <w:numFmt w:val="bullet"/>
      <w:lvlText w:val=""/>
      <w:lvlJc w:val="left"/>
      <w:pPr>
        <w:ind w:left="6120" w:hanging="360"/>
      </w:pPr>
      <w:rPr>
        <w:rFonts w:ascii="Wingdings" w:hAnsi="Wingdings" w:hint="default"/>
      </w:rPr>
    </w:lvl>
  </w:abstractNum>
  <w:abstractNum w:abstractNumId="63" w15:restartNumberingAfterBreak="0">
    <w:nsid w:val="507F5A21"/>
    <w:multiLevelType w:val="hybridMultilevel"/>
    <w:tmpl w:val="A5369168"/>
    <w:styleLink w:val="CurrentList1"/>
    <w:lvl w:ilvl="0" w:tplc="FFFFFFFF">
      <w:start w:val="1"/>
      <w:numFmt w:val="decimal"/>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50C55610"/>
    <w:multiLevelType w:val="hybridMultilevel"/>
    <w:tmpl w:val="E528C2D0"/>
    <w:lvl w:ilvl="0" w:tplc="FFFFFFFF">
      <w:start w:val="1"/>
      <w:numFmt w:val="decimal"/>
      <w:lvlText w:val="%1."/>
      <w:lvlJc w:val="left"/>
      <w:pPr>
        <w:ind w:left="720" w:hanging="360"/>
      </w:pPr>
      <w:rPr>
        <w:b/>
        <w:bCs/>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1625A22"/>
    <w:multiLevelType w:val="hybridMultilevel"/>
    <w:tmpl w:val="044E7C74"/>
    <w:lvl w:ilvl="0" w:tplc="F86ABA12">
      <w:start w:val="1"/>
      <w:numFmt w:val="bullet"/>
      <w:pStyle w:val="Bulletlist"/>
      <w:lvlText w:val=""/>
      <w:lvlJc w:val="left"/>
      <w:pPr>
        <w:ind w:left="720" w:hanging="360"/>
      </w:pPr>
      <w:rPr>
        <w:rFonts w:ascii="Symbol" w:hAnsi="Symbol" w:hint="default"/>
      </w:rPr>
    </w:lvl>
    <w:lvl w:ilvl="1" w:tplc="B1242E82">
      <w:start w:val="1"/>
      <w:numFmt w:val="bullet"/>
      <w:lvlText w:val="o"/>
      <w:lvlJc w:val="left"/>
      <w:pPr>
        <w:ind w:left="1440" w:hanging="360"/>
      </w:pPr>
      <w:rPr>
        <w:rFonts w:ascii="Courier New" w:hAnsi="Courier New" w:hint="default"/>
      </w:rPr>
    </w:lvl>
    <w:lvl w:ilvl="2" w:tplc="92CE69BA">
      <w:start w:val="1"/>
      <w:numFmt w:val="bullet"/>
      <w:lvlText w:val=""/>
      <w:lvlJc w:val="left"/>
      <w:pPr>
        <w:ind w:left="2160" w:hanging="360"/>
      </w:pPr>
      <w:rPr>
        <w:rFonts w:ascii="Wingdings" w:hAnsi="Wingdings" w:hint="default"/>
      </w:rPr>
    </w:lvl>
    <w:lvl w:ilvl="3" w:tplc="923C992E" w:tentative="1">
      <w:start w:val="1"/>
      <w:numFmt w:val="bullet"/>
      <w:lvlText w:val=""/>
      <w:lvlJc w:val="left"/>
      <w:pPr>
        <w:ind w:left="2880" w:hanging="360"/>
      </w:pPr>
      <w:rPr>
        <w:rFonts w:ascii="Symbol" w:hAnsi="Symbol" w:hint="default"/>
      </w:rPr>
    </w:lvl>
    <w:lvl w:ilvl="4" w:tplc="E7BA5332" w:tentative="1">
      <w:start w:val="1"/>
      <w:numFmt w:val="bullet"/>
      <w:lvlText w:val="o"/>
      <w:lvlJc w:val="left"/>
      <w:pPr>
        <w:ind w:left="3600" w:hanging="360"/>
      </w:pPr>
      <w:rPr>
        <w:rFonts w:ascii="Courier New" w:hAnsi="Courier New" w:hint="default"/>
      </w:rPr>
    </w:lvl>
    <w:lvl w:ilvl="5" w:tplc="0FA80F5E" w:tentative="1">
      <w:start w:val="1"/>
      <w:numFmt w:val="bullet"/>
      <w:lvlText w:val=""/>
      <w:lvlJc w:val="left"/>
      <w:pPr>
        <w:ind w:left="4320" w:hanging="360"/>
      </w:pPr>
      <w:rPr>
        <w:rFonts w:ascii="Wingdings" w:hAnsi="Wingdings" w:hint="default"/>
      </w:rPr>
    </w:lvl>
    <w:lvl w:ilvl="6" w:tplc="D6506A2A" w:tentative="1">
      <w:start w:val="1"/>
      <w:numFmt w:val="bullet"/>
      <w:lvlText w:val=""/>
      <w:lvlJc w:val="left"/>
      <w:pPr>
        <w:ind w:left="5040" w:hanging="360"/>
      </w:pPr>
      <w:rPr>
        <w:rFonts w:ascii="Symbol" w:hAnsi="Symbol" w:hint="default"/>
      </w:rPr>
    </w:lvl>
    <w:lvl w:ilvl="7" w:tplc="504839D6" w:tentative="1">
      <w:start w:val="1"/>
      <w:numFmt w:val="bullet"/>
      <w:lvlText w:val="o"/>
      <w:lvlJc w:val="left"/>
      <w:pPr>
        <w:ind w:left="5760" w:hanging="360"/>
      </w:pPr>
      <w:rPr>
        <w:rFonts w:ascii="Courier New" w:hAnsi="Courier New" w:hint="default"/>
      </w:rPr>
    </w:lvl>
    <w:lvl w:ilvl="8" w:tplc="25521D66" w:tentative="1">
      <w:start w:val="1"/>
      <w:numFmt w:val="bullet"/>
      <w:lvlText w:val=""/>
      <w:lvlJc w:val="left"/>
      <w:pPr>
        <w:ind w:left="6480" w:hanging="360"/>
      </w:pPr>
      <w:rPr>
        <w:rFonts w:ascii="Wingdings" w:hAnsi="Wingdings" w:hint="default"/>
      </w:rPr>
    </w:lvl>
  </w:abstractNum>
  <w:abstractNum w:abstractNumId="66" w15:restartNumberingAfterBreak="0">
    <w:nsid w:val="53842E5D"/>
    <w:multiLevelType w:val="multilevel"/>
    <w:tmpl w:val="DD1E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4B45461"/>
    <w:multiLevelType w:val="multilevel"/>
    <w:tmpl w:val="6CE05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50D1D7F"/>
    <w:multiLevelType w:val="hybridMultilevel"/>
    <w:tmpl w:val="79DA04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55BD6FAA"/>
    <w:multiLevelType w:val="multilevel"/>
    <w:tmpl w:val="510A585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8EE7054"/>
    <w:multiLevelType w:val="hybridMultilevel"/>
    <w:tmpl w:val="DC24CB8A"/>
    <w:lvl w:ilvl="0" w:tplc="194CFB48">
      <w:start w:val="1"/>
      <w:numFmt w:val="decimal"/>
      <w:pStyle w:val="AnnexHeading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A023D8E"/>
    <w:multiLevelType w:val="multilevel"/>
    <w:tmpl w:val="DA882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5A083586"/>
    <w:multiLevelType w:val="multilevel"/>
    <w:tmpl w:val="1076E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A0E5D41"/>
    <w:multiLevelType w:val="multilevel"/>
    <w:tmpl w:val="FFFFFFFF"/>
    <w:lvl w:ilvl="0">
      <w:start w:val="1"/>
      <w:numFmt w:val="lowerLetter"/>
      <w:lvlText w:val="%1."/>
      <w:lvlJc w:val="left"/>
      <w:pPr>
        <w:ind w:left="720" w:hanging="360"/>
      </w:pPr>
      <w:rPr>
        <w:rFonts w:ascii="Avenir Nxt2 W1G" w:hAnsi="Avenir Nxt2 W1G"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5BBCE2F3"/>
    <w:multiLevelType w:val="multilevel"/>
    <w:tmpl w:val="FFFFFFFF"/>
    <w:lvl w:ilvl="0">
      <w:start w:val="6"/>
      <w:numFmt w:val="decimal"/>
      <w:lvlText w:val="%1."/>
      <w:lvlJc w:val="left"/>
      <w:pPr>
        <w:ind w:left="720" w:hanging="360"/>
      </w:pPr>
      <w:rPr>
        <w:rFonts w:ascii="Avenir Nxt2 W1G" w:hAnsi="Avenir Nxt2 W1G"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5F82537C"/>
    <w:multiLevelType w:val="multilevel"/>
    <w:tmpl w:val="EA1E3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1084040"/>
    <w:multiLevelType w:val="hybridMultilevel"/>
    <w:tmpl w:val="BCA0DDBA"/>
    <w:lvl w:ilvl="0" w:tplc="08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7" w15:restartNumberingAfterBreak="0">
    <w:nsid w:val="6971C480"/>
    <w:multiLevelType w:val="hybridMultilevel"/>
    <w:tmpl w:val="FAC4EE02"/>
    <w:lvl w:ilvl="0" w:tplc="7AB4AE00">
      <w:start w:val="1"/>
      <w:numFmt w:val="decimal"/>
      <w:pStyle w:val="ListParagraph"/>
      <w:lvlText w:val="%1."/>
      <w:lvlJc w:val="left"/>
      <w:pPr>
        <w:ind w:left="720" w:hanging="360"/>
      </w:pPr>
      <w:rPr>
        <w:rFonts w:hint="default"/>
      </w:rPr>
    </w:lvl>
    <w:lvl w:ilvl="1" w:tplc="AC663F1C">
      <w:start w:val="1"/>
      <w:numFmt w:val="lowerLetter"/>
      <w:lvlText w:val="%2."/>
      <w:lvlJc w:val="left"/>
      <w:pPr>
        <w:ind w:left="1440" w:hanging="360"/>
      </w:pPr>
    </w:lvl>
    <w:lvl w:ilvl="2" w:tplc="891C7182">
      <w:start w:val="1"/>
      <w:numFmt w:val="lowerRoman"/>
      <w:lvlText w:val="%3."/>
      <w:lvlJc w:val="right"/>
      <w:pPr>
        <w:ind w:left="2160" w:hanging="180"/>
      </w:pPr>
    </w:lvl>
    <w:lvl w:ilvl="3" w:tplc="23F845DC">
      <w:start w:val="1"/>
      <w:numFmt w:val="decimal"/>
      <w:lvlText w:val="%4."/>
      <w:lvlJc w:val="left"/>
      <w:pPr>
        <w:ind w:left="2880" w:hanging="360"/>
      </w:pPr>
    </w:lvl>
    <w:lvl w:ilvl="4" w:tplc="6E2048E8">
      <w:start w:val="1"/>
      <w:numFmt w:val="lowerLetter"/>
      <w:lvlText w:val="%5."/>
      <w:lvlJc w:val="left"/>
      <w:pPr>
        <w:ind w:left="3600" w:hanging="360"/>
      </w:pPr>
    </w:lvl>
    <w:lvl w:ilvl="5" w:tplc="5CC0BCCE">
      <w:start w:val="1"/>
      <w:numFmt w:val="lowerRoman"/>
      <w:lvlText w:val="%6."/>
      <w:lvlJc w:val="right"/>
      <w:pPr>
        <w:ind w:left="4320" w:hanging="180"/>
      </w:pPr>
    </w:lvl>
    <w:lvl w:ilvl="6" w:tplc="D722AB1C">
      <w:start w:val="1"/>
      <w:numFmt w:val="decimal"/>
      <w:lvlText w:val="%7."/>
      <w:lvlJc w:val="left"/>
      <w:pPr>
        <w:ind w:left="5040" w:hanging="360"/>
      </w:pPr>
    </w:lvl>
    <w:lvl w:ilvl="7" w:tplc="D806136A">
      <w:start w:val="1"/>
      <w:numFmt w:val="lowerLetter"/>
      <w:lvlText w:val="%8."/>
      <w:lvlJc w:val="left"/>
      <w:pPr>
        <w:ind w:left="5760" w:hanging="360"/>
      </w:pPr>
    </w:lvl>
    <w:lvl w:ilvl="8" w:tplc="41FE1332">
      <w:start w:val="1"/>
      <w:numFmt w:val="lowerRoman"/>
      <w:lvlText w:val="%9."/>
      <w:lvlJc w:val="right"/>
      <w:pPr>
        <w:ind w:left="6480" w:hanging="180"/>
      </w:pPr>
    </w:lvl>
  </w:abstractNum>
  <w:abstractNum w:abstractNumId="78" w15:restartNumberingAfterBreak="0">
    <w:nsid w:val="6A6B4C63"/>
    <w:multiLevelType w:val="multilevel"/>
    <w:tmpl w:val="009CD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B555A0E"/>
    <w:multiLevelType w:val="hybridMultilevel"/>
    <w:tmpl w:val="18EA2236"/>
    <w:lvl w:ilvl="0" w:tplc="BFF6BB5A">
      <w:start w:val="1"/>
      <w:numFmt w:val="decimal"/>
      <w:lvlText w:val="%1."/>
      <w:lvlJc w:val="left"/>
      <w:pPr>
        <w:ind w:left="1490" w:hanging="11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CE32896"/>
    <w:multiLevelType w:val="multilevel"/>
    <w:tmpl w:val="FFFFFFFF"/>
    <w:lvl w:ilvl="0">
      <w:start w:val="3"/>
      <w:numFmt w:val="decimal"/>
      <w:lvlText w:val="%1."/>
      <w:lvlJc w:val="left"/>
      <w:pPr>
        <w:ind w:left="720" w:hanging="360"/>
      </w:pPr>
      <w:rPr>
        <w:rFonts w:ascii="Avenir Nxt2 W1G" w:hAnsi="Avenir Nxt2 W1G"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719412D7"/>
    <w:multiLevelType w:val="multilevel"/>
    <w:tmpl w:val="DA882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734E368B"/>
    <w:multiLevelType w:val="hybridMultilevel"/>
    <w:tmpl w:val="45DEA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3C80085"/>
    <w:multiLevelType w:val="multilevel"/>
    <w:tmpl w:val="F08A9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4530AD0"/>
    <w:multiLevelType w:val="multilevel"/>
    <w:tmpl w:val="FFFFFFFF"/>
    <w:lvl w:ilvl="0">
      <w:start w:val="1"/>
      <w:numFmt w:val="decimal"/>
      <w:lvlText w:val="%1."/>
      <w:lvlJc w:val="left"/>
      <w:pPr>
        <w:ind w:left="720" w:hanging="360"/>
      </w:pPr>
      <w:rPr>
        <w:rFonts w:ascii="Avenir Nxt2 W1G" w:hAnsi="Avenir Nxt2 W1G"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B88E79D"/>
    <w:multiLevelType w:val="hybridMultilevel"/>
    <w:tmpl w:val="D6FC1D4C"/>
    <w:lvl w:ilvl="0" w:tplc="56E87C8C">
      <w:start w:val="1"/>
      <w:numFmt w:val="lowerLetter"/>
      <w:lvlText w:val="%1."/>
      <w:lvlJc w:val="left"/>
      <w:pPr>
        <w:ind w:left="720" w:hanging="360"/>
      </w:pPr>
    </w:lvl>
    <w:lvl w:ilvl="1" w:tplc="99609586">
      <w:start w:val="1"/>
      <w:numFmt w:val="lowerLetter"/>
      <w:lvlText w:val="%2."/>
      <w:lvlJc w:val="left"/>
      <w:pPr>
        <w:ind w:left="1440" w:hanging="360"/>
      </w:pPr>
    </w:lvl>
    <w:lvl w:ilvl="2" w:tplc="A4280BF8">
      <w:start w:val="1"/>
      <w:numFmt w:val="lowerRoman"/>
      <w:lvlText w:val="%3."/>
      <w:lvlJc w:val="right"/>
      <w:pPr>
        <w:ind w:left="2160" w:hanging="180"/>
      </w:pPr>
    </w:lvl>
    <w:lvl w:ilvl="3" w:tplc="776C0712">
      <w:start w:val="1"/>
      <w:numFmt w:val="decimal"/>
      <w:lvlText w:val="%4."/>
      <w:lvlJc w:val="left"/>
      <w:pPr>
        <w:ind w:left="2880" w:hanging="360"/>
      </w:pPr>
    </w:lvl>
    <w:lvl w:ilvl="4" w:tplc="AC6E70F2">
      <w:start w:val="1"/>
      <w:numFmt w:val="lowerLetter"/>
      <w:lvlText w:val="%5."/>
      <w:lvlJc w:val="left"/>
      <w:pPr>
        <w:ind w:left="3600" w:hanging="360"/>
      </w:pPr>
    </w:lvl>
    <w:lvl w:ilvl="5" w:tplc="917251E8">
      <w:start w:val="1"/>
      <w:numFmt w:val="lowerRoman"/>
      <w:lvlText w:val="%6."/>
      <w:lvlJc w:val="right"/>
      <w:pPr>
        <w:ind w:left="4320" w:hanging="180"/>
      </w:pPr>
    </w:lvl>
    <w:lvl w:ilvl="6" w:tplc="86109380">
      <w:start w:val="1"/>
      <w:numFmt w:val="decimal"/>
      <w:lvlText w:val="%7."/>
      <w:lvlJc w:val="left"/>
      <w:pPr>
        <w:ind w:left="5040" w:hanging="360"/>
      </w:pPr>
    </w:lvl>
    <w:lvl w:ilvl="7" w:tplc="16505068">
      <w:start w:val="1"/>
      <w:numFmt w:val="lowerLetter"/>
      <w:lvlText w:val="%8."/>
      <w:lvlJc w:val="left"/>
      <w:pPr>
        <w:ind w:left="5760" w:hanging="360"/>
      </w:pPr>
    </w:lvl>
    <w:lvl w:ilvl="8" w:tplc="260C221A">
      <w:start w:val="1"/>
      <w:numFmt w:val="lowerRoman"/>
      <w:lvlText w:val="%9."/>
      <w:lvlJc w:val="right"/>
      <w:pPr>
        <w:ind w:left="6480" w:hanging="180"/>
      </w:pPr>
    </w:lvl>
  </w:abstractNum>
  <w:abstractNum w:abstractNumId="86" w15:restartNumberingAfterBreak="0">
    <w:nsid w:val="7EF768B5"/>
    <w:multiLevelType w:val="hybridMultilevel"/>
    <w:tmpl w:val="FFFFFFFF"/>
    <w:lvl w:ilvl="0" w:tplc="FE3874CE">
      <w:start w:val="1"/>
      <w:numFmt w:val="decimal"/>
      <w:lvlText w:val="%1."/>
      <w:lvlJc w:val="left"/>
      <w:pPr>
        <w:ind w:left="720" w:hanging="360"/>
      </w:pPr>
    </w:lvl>
    <w:lvl w:ilvl="1" w:tplc="750CE236">
      <w:start w:val="1"/>
      <w:numFmt w:val="lowerLetter"/>
      <w:lvlText w:val="%2."/>
      <w:lvlJc w:val="left"/>
      <w:pPr>
        <w:ind w:left="1440" w:hanging="360"/>
      </w:pPr>
    </w:lvl>
    <w:lvl w:ilvl="2" w:tplc="C1BCBFF6">
      <w:start w:val="1"/>
      <w:numFmt w:val="lowerRoman"/>
      <w:lvlText w:val="%3."/>
      <w:lvlJc w:val="right"/>
      <w:pPr>
        <w:ind w:left="2160" w:hanging="180"/>
      </w:pPr>
    </w:lvl>
    <w:lvl w:ilvl="3" w:tplc="E8FA4E08">
      <w:start w:val="1"/>
      <w:numFmt w:val="decimal"/>
      <w:lvlText w:val="%4."/>
      <w:lvlJc w:val="left"/>
      <w:pPr>
        <w:ind w:left="2880" w:hanging="360"/>
      </w:pPr>
    </w:lvl>
    <w:lvl w:ilvl="4" w:tplc="1116DA5E">
      <w:start w:val="1"/>
      <w:numFmt w:val="lowerLetter"/>
      <w:lvlText w:val="%5."/>
      <w:lvlJc w:val="left"/>
      <w:pPr>
        <w:ind w:left="3600" w:hanging="360"/>
      </w:pPr>
    </w:lvl>
    <w:lvl w:ilvl="5" w:tplc="E478844C">
      <w:start w:val="1"/>
      <w:numFmt w:val="lowerRoman"/>
      <w:lvlText w:val="%6."/>
      <w:lvlJc w:val="right"/>
      <w:pPr>
        <w:ind w:left="4320" w:hanging="180"/>
      </w:pPr>
    </w:lvl>
    <w:lvl w:ilvl="6" w:tplc="BB2876FE">
      <w:start w:val="1"/>
      <w:numFmt w:val="decimal"/>
      <w:lvlText w:val="%7."/>
      <w:lvlJc w:val="left"/>
      <w:pPr>
        <w:ind w:left="5040" w:hanging="360"/>
      </w:pPr>
    </w:lvl>
    <w:lvl w:ilvl="7" w:tplc="8DB02ED6">
      <w:start w:val="1"/>
      <w:numFmt w:val="lowerLetter"/>
      <w:lvlText w:val="%8."/>
      <w:lvlJc w:val="left"/>
      <w:pPr>
        <w:ind w:left="5760" w:hanging="360"/>
      </w:pPr>
    </w:lvl>
    <w:lvl w:ilvl="8" w:tplc="2758C2E8">
      <w:start w:val="1"/>
      <w:numFmt w:val="lowerRoman"/>
      <w:lvlText w:val="%9."/>
      <w:lvlJc w:val="right"/>
      <w:pPr>
        <w:ind w:left="6480" w:hanging="180"/>
      </w:pPr>
    </w:lvl>
  </w:abstractNum>
  <w:num w:numId="1" w16cid:durableId="821848429">
    <w:abstractNumId w:val="70"/>
  </w:num>
  <w:num w:numId="2" w16cid:durableId="57363552">
    <w:abstractNumId w:val="47"/>
  </w:num>
  <w:num w:numId="3" w16cid:durableId="460803774">
    <w:abstractNumId w:val="62"/>
  </w:num>
  <w:num w:numId="4" w16cid:durableId="2028024136">
    <w:abstractNumId w:val="65"/>
  </w:num>
  <w:num w:numId="5" w16cid:durableId="679045145">
    <w:abstractNumId w:val="51"/>
  </w:num>
  <w:num w:numId="6" w16cid:durableId="1110663453">
    <w:abstractNumId w:val="56"/>
  </w:num>
  <w:num w:numId="7" w16cid:durableId="1519737824">
    <w:abstractNumId w:val="49"/>
  </w:num>
  <w:num w:numId="8" w16cid:durableId="56369836">
    <w:abstractNumId w:val="59"/>
  </w:num>
  <w:num w:numId="9" w16cid:durableId="1696733488">
    <w:abstractNumId w:val="77"/>
  </w:num>
  <w:num w:numId="10" w16cid:durableId="1144927542">
    <w:abstractNumId w:val="33"/>
  </w:num>
  <w:num w:numId="11" w16cid:durableId="1050764177">
    <w:abstractNumId w:val="52"/>
  </w:num>
  <w:num w:numId="12" w16cid:durableId="435754369">
    <w:abstractNumId w:val="41"/>
  </w:num>
  <w:num w:numId="13" w16cid:durableId="57023181">
    <w:abstractNumId w:val="73"/>
  </w:num>
  <w:num w:numId="14" w16cid:durableId="1477726716">
    <w:abstractNumId w:val="74"/>
  </w:num>
  <w:num w:numId="15" w16cid:durableId="1267614423">
    <w:abstractNumId w:val="19"/>
  </w:num>
  <w:num w:numId="16" w16cid:durableId="2090230253">
    <w:abstractNumId w:val="25"/>
  </w:num>
  <w:num w:numId="17" w16cid:durableId="1673725937">
    <w:abstractNumId w:val="80"/>
  </w:num>
  <w:num w:numId="18" w16cid:durableId="776563813">
    <w:abstractNumId w:val="13"/>
  </w:num>
  <w:num w:numId="19" w16cid:durableId="1740981420">
    <w:abstractNumId w:val="84"/>
  </w:num>
  <w:num w:numId="20" w16cid:durableId="521287874">
    <w:abstractNumId w:val="86"/>
  </w:num>
  <w:num w:numId="21" w16cid:durableId="655037225">
    <w:abstractNumId w:val="31"/>
  </w:num>
  <w:num w:numId="22" w16cid:durableId="859389097">
    <w:abstractNumId w:val="75"/>
  </w:num>
  <w:num w:numId="23" w16cid:durableId="1258515391">
    <w:abstractNumId w:val="21"/>
  </w:num>
  <w:num w:numId="24" w16cid:durableId="2090419108">
    <w:abstractNumId w:val="54"/>
  </w:num>
  <w:num w:numId="25" w16cid:durableId="2034576157">
    <w:abstractNumId w:val="24"/>
  </w:num>
  <w:num w:numId="26" w16cid:durableId="967857696">
    <w:abstractNumId w:val="46"/>
  </w:num>
  <w:num w:numId="27" w16cid:durableId="1709142444">
    <w:abstractNumId w:val="14"/>
  </w:num>
  <w:num w:numId="28" w16cid:durableId="1323001802">
    <w:abstractNumId w:val="27"/>
  </w:num>
  <w:num w:numId="29" w16cid:durableId="1806311974">
    <w:abstractNumId w:val="0"/>
  </w:num>
  <w:num w:numId="30" w16cid:durableId="239483976">
    <w:abstractNumId w:val="60"/>
  </w:num>
  <w:num w:numId="31" w16cid:durableId="274558052">
    <w:abstractNumId w:val="6"/>
  </w:num>
  <w:num w:numId="32" w16cid:durableId="1450319482">
    <w:abstractNumId w:val="72"/>
  </w:num>
  <w:num w:numId="33" w16cid:durableId="734163299">
    <w:abstractNumId w:val="66"/>
  </w:num>
  <w:num w:numId="34" w16cid:durableId="1843473919">
    <w:abstractNumId w:val="42"/>
  </w:num>
  <w:num w:numId="35" w16cid:durableId="1323662667">
    <w:abstractNumId w:val="50"/>
  </w:num>
  <w:num w:numId="36" w16cid:durableId="621617193">
    <w:abstractNumId w:val="1"/>
  </w:num>
  <w:num w:numId="37" w16cid:durableId="173082471">
    <w:abstractNumId w:val="3"/>
  </w:num>
  <w:num w:numId="38" w16cid:durableId="1463110829">
    <w:abstractNumId w:val="15"/>
  </w:num>
  <w:num w:numId="39" w16cid:durableId="825509526">
    <w:abstractNumId w:val="7"/>
  </w:num>
  <w:num w:numId="40" w16cid:durableId="1794251467">
    <w:abstractNumId w:val="34"/>
  </w:num>
  <w:num w:numId="41" w16cid:durableId="108669408">
    <w:abstractNumId w:val="32"/>
  </w:num>
  <w:num w:numId="42" w16cid:durableId="2061635407">
    <w:abstractNumId w:val="81"/>
  </w:num>
  <w:num w:numId="43" w16cid:durableId="1355614086">
    <w:abstractNumId w:val="71"/>
  </w:num>
  <w:num w:numId="44" w16cid:durableId="1581480168">
    <w:abstractNumId w:val="53"/>
  </w:num>
  <w:num w:numId="45" w16cid:durableId="478764314">
    <w:abstractNumId w:val="23"/>
  </w:num>
  <w:num w:numId="46" w16cid:durableId="1076902712">
    <w:abstractNumId w:val="35"/>
  </w:num>
  <w:num w:numId="47" w16cid:durableId="1962151191">
    <w:abstractNumId w:val="61"/>
  </w:num>
  <w:num w:numId="48" w16cid:durableId="1540897696">
    <w:abstractNumId w:val="28"/>
  </w:num>
  <w:num w:numId="49" w16cid:durableId="293098491">
    <w:abstractNumId w:val="16"/>
  </w:num>
  <w:num w:numId="50" w16cid:durableId="1459763515">
    <w:abstractNumId w:val="30"/>
  </w:num>
  <w:num w:numId="51" w16cid:durableId="427506165">
    <w:abstractNumId w:val="29"/>
  </w:num>
  <w:num w:numId="52" w16cid:durableId="394814775">
    <w:abstractNumId w:val="2"/>
  </w:num>
  <w:num w:numId="53" w16cid:durableId="852232847">
    <w:abstractNumId w:val="40"/>
  </w:num>
  <w:num w:numId="54" w16cid:durableId="1401514758">
    <w:abstractNumId w:val="37"/>
  </w:num>
  <w:num w:numId="55" w16cid:durableId="289092872">
    <w:abstractNumId w:val="17"/>
  </w:num>
  <w:num w:numId="56" w16cid:durableId="129443663">
    <w:abstractNumId w:val="43"/>
  </w:num>
  <w:num w:numId="57" w16cid:durableId="1451045894">
    <w:abstractNumId w:val="36"/>
  </w:num>
  <w:num w:numId="58" w16cid:durableId="1728916266">
    <w:abstractNumId w:val="8"/>
  </w:num>
  <w:num w:numId="59" w16cid:durableId="1856580417">
    <w:abstractNumId w:val="26"/>
  </w:num>
  <w:num w:numId="60" w16cid:durableId="2011829415">
    <w:abstractNumId w:val="18"/>
  </w:num>
  <w:num w:numId="61" w16cid:durableId="1330912712">
    <w:abstractNumId w:val="5"/>
  </w:num>
  <w:num w:numId="62" w16cid:durableId="1628510391">
    <w:abstractNumId w:val="58"/>
  </w:num>
  <w:num w:numId="63" w16cid:durableId="1270745980">
    <w:abstractNumId w:val="67"/>
  </w:num>
  <w:num w:numId="64" w16cid:durableId="654378124">
    <w:abstractNumId w:val="85"/>
  </w:num>
  <w:num w:numId="65" w16cid:durableId="2106346136">
    <w:abstractNumId w:val="10"/>
  </w:num>
  <w:num w:numId="66" w16cid:durableId="1944530051">
    <w:abstractNumId w:val="63"/>
  </w:num>
  <w:num w:numId="67" w16cid:durableId="1534807057">
    <w:abstractNumId w:val="44"/>
  </w:num>
  <w:num w:numId="68" w16cid:durableId="178282146">
    <w:abstractNumId w:val="48"/>
  </w:num>
  <w:num w:numId="69" w16cid:durableId="93405126">
    <w:abstractNumId w:val="68"/>
  </w:num>
  <w:num w:numId="70" w16cid:durableId="1086001565">
    <w:abstractNumId w:val="82"/>
  </w:num>
  <w:num w:numId="71" w16cid:durableId="218900141">
    <w:abstractNumId w:val="45"/>
  </w:num>
  <w:num w:numId="72" w16cid:durableId="1669866725">
    <w:abstractNumId w:val="22"/>
  </w:num>
  <w:num w:numId="73" w16cid:durableId="1156457360">
    <w:abstractNumId w:val="78"/>
  </w:num>
  <w:num w:numId="74" w16cid:durableId="1653409249">
    <w:abstractNumId w:val="64"/>
  </w:num>
  <w:num w:numId="75" w16cid:durableId="1295987031">
    <w:abstractNumId w:val="9"/>
  </w:num>
  <w:num w:numId="76" w16cid:durableId="474955431">
    <w:abstractNumId w:val="79"/>
  </w:num>
  <w:num w:numId="77" w16cid:durableId="401564636">
    <w:abstractNumId w:val="38"/>
  </w:num>
  <w:num w:numId="78" w16cid:durableId="755319354">
    <w:abstractNumId w:val="83"/>
  </w:num>
  <w:num w:numId="79" w16cid:durableId="1886332541">
    <w:abstractNumId w:val="57"/>
  </w:num>
  <w:num w:numId="80" w16cid:durableId="1341859409">
    <w:abstractNumId w:val="39"/>
  </w:num>
  <w:num w:numId="81" w16cid:durableId="1881164261">
    <w:abstractNumId w:val="20"/>
  </w:num>
  <w:num w:numId="82" w16cid:durableId="1215505833">
    <w:abstractNumId w:val="11"/>
  </w:num>
  <w:num w:numId="83" w16cid:durableId="1373459975">
    <w:abstractNumId w:val="4"/>
  </w:num>
  <w:num w:numId="84" w16cid:durableId="775640687">
    <w:abstractNumId w:val="69"/>
  </w:num>
  <w:num w:numId="85" w16cid:durableId="1615747851">
    <w:abstractNumId w:val="12"/>
  </w:num>
  <w:num w:numId="86" w16cid:durableId="2010713864">
    <w:abstractNumId w:val="55"/>
  </w:num>
  <w:num w:numId="87" w16cid:durableId="434788139">
    <w:abstractNumId w:val="7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A45"/>
    <w:rsid w:val="000210D4"/>
    <w:rsid w:val="000220F4"/>
    <w:rsid w:val="00052262"/>
    <w:rsid w:val="0006007D"/>
    <w:rsid w:val="00063016"/>
    <w:rsid w:val="00066795"/>
    <w:rsid w:val="00076AF6"/>
    <w:rsid w:val="00085CF2"/>
    <w:rsid w:val="00087B0A"/>
    <w:rsid w:val="00092349"/>
    <w:rsid w:val="00097560"/>
    <w:rsid w:val="00097B2C"/>
    <w:rsid w:val="000A132C"/>
    <w:rsid w:val="000A45BE"/>
    <w:rsid w:val="000B1705"/>
    <w:rsid w:val="000D75B2"/>
    <w:rsid w:val="000E372C"/>
    <w:rsid w:val="000F1722"/>
    <w:rsid w:val="000F5DDB"/>
    <w:rsid w:val="00100199"/>
    <w:rsid w:val="001121F5"/>
    <w:rsid w:val="001139B7"/>
    <w:rsid w:val="00124FF9"/>
    <w:rsid w:val="001274E0"/>
    <w:rsid w:val="0013359E"/>
    <w:rsid w:val="00137F28"/>
    <w:rsid w:val="001400DC"/>
    <w:rsid w:val="00140CE1"/>
    <w:rsid w:val="0015189A"/>
    <w:rsid w:val="0017539C"/>
    <w:rsid w:val="00175AC2"/>
    <w:rsid w:val="0017609F"/>
    <w:rsid w:val="00176F47"/>
    <w:rsid w:val="00180FCC"/>
    <w:rsid w:val="00183A17"/>
    <w:rsid w:val="00185A91"/>
    <w:rsid w:val="001A3154"/>
    <w:rsid w:val="001A7D1D"/>
    <w:rsid w:val="001B51DD"/>
    <w:rsid w:val="001C628E"/>
    <w:rsid w:val="001C6D87"/>
    <w:rsid w:val="001E0F7B"/>
    <w:rsid w:val="001F5569"/>
    <w:rsid w:val="0020487B"/>
    <w:rsid w:val="00210F71"/>
    <w:rsid w:val="002119FD"/>
    <w:rsid w:val="002130E0"/>
    <w:rsid w:val="00221F46"/>
    <w:rsid w:val="00232537"/>
    <w:rsid w:val="00244FCE"/>
    <w:rsid w:val="00247576"/>
    <w:rsid w:val="002567B3"/>
    <w:rsid w:val="00264425"/>
    <w:rsid w:val="00265875"/>
    <w:rsid w:val="0027303B"/>
    <w:rsid w:val="00277DEA"/>
    <w:rsid w:val="0028109B"/>
    <w:rsid w:val="0028413A"/>
    <w:rsid w:val="002916B4"/>
    <w:rsid w:val="002A0615"/>
    <w:rsid w:val="002A133E"/>
    <w:rsid w:val="002A2188"/>
    <w:rsid w:val="002A3002"/>
    <w:rsid w:val="002B020F"/>
    <w:rsid w:val="002B1F58"/>
    <w:rsid w:val="002C1C7A"/>
    <w:rsid w:val="002C3F32"/>
    <w:rsid w:val="002C54E2"/>
    <w:rsid w:val="002D55C4"/>
    <w:rsid w:val="002E5E1E"/>
    <w:rsid w:val="0030160F"/>
    <w:rsid w:val="00320223"/>
    <w:rsid w:val="00322D0D"/>
    <w:rsid w:val="003344D0"/>
    <w:rsid w:val="003517A7"/>
    <w:rsid w:val="00361465"/>
    <w:rsid w:val="003713C3"/>
    <w:rsid w:val="00383C23"/>
    <w:rsid w:val="003877F5"/>
    <w:rsid w:val="003936D3"/>
    <w:rsid w:val="003942D4"/>
    <w:rsid w:val="003958A8"/>
    <w:rsid w:val="003969E7"/>
    <w:rsid w:val="003B29C2"/>
    <w:rsid w:val="003B4FAF"/>
    <w:rsid w:val="003C2533"/>
    <w:rsid w:val="003D0CA4"/>
    <w:rsid w:val="003D5A7F"/>
    <w:rsid w:val="003F0228"/>
    <w:rsid w:val="003F611D"/>
    <w:rsid w:val="0040435A"/>
    <w:rsid w:val="00416A24"/>
    <w:rsid w:val="00431D9E"/>
    <w:rsid w:val="00433CE8"/>
    <w:rsid w:val="00434A5C"/>
    <w:rsid w:val="004457C5"/>
    <w:rsid w:val="00453079"/>
    <w:rsid w:val="004544D9"/>
    <w:rsid w:val="0046236F"/>
    <w:rsid w:val="00465C35"/>
    <w:rsid w:val="00465C5A"/>
    <w:rsid w:val="004719A7"/>
    <w:rsid w:val="00472BAD"/>
    <w:rsid w:val="00484009"/>
    <w:rsid w:val="00490E72"/>
    <w:rsid w:val="00491157"/>
    <w:rsid w:val="00491BA9"/>
    <w:rsid w:val="004921C8"/>
    <w:rsid w:val="0049369C"/>
    <w:rsid w:val="00495615"/>
    <w:rsid w:val="00495B0B"/>
    <w:rsid w:val="00496EC9"/>
    <w:rsid w:val="004A1B8B"/>
    <w:rsid w:val="004B1406"/>
    <w:rsid w:val="004C7ADD"/>
    <w:rsid w:val="004D1851"/>
    <w:rsid w:val="004D25A7"/>
    <w:rsid w:val="004D599D"/>
    <w:rsid w:val="004E1E98"/>
    <w:rsid w:val="004E2EA5"/>
    <w:rsid w:val="004E3AEB"/>
    <w:rsid w:val="0050223C"/>
    <w:rsid w:val="00504C91"/>
    <w:rsid w:val="00512087"/>
    <w:rsid w:val="005243FF"/>
    <w:rsid w:val="00534BBC"/>
    <w:rsid w:val="00564FBC"/>
    <w:rsid w:val="00567356"/>
    <w:rsid w:val="005800BC"/>
    <w:rsid w:val="00582442"/>
    <w:rsid w:val="00583DB2"/>
    <w:rsid w:val="005866BC"/>
    <w:rsid w:val="005A0629"/>
    <w:rsid w:val="005B3A6E"/>
    <w:rsid w:val="005D0CF3"/>
    <w:rsid w:val="005D7BA7"/>
    <w:rsid w:val="005E67F6"/>
    <w:rsid w:val="005F0DC6"/>
    <w:rsid w:val="005F3269"/>
    <w:rsid w:val="0061071E"/>
    <w:rsid w:val="006142D1"/>
    <w:rsid w:val="00617FC9"/>
    <w:rsid w:val="00623AE3"/>
    <w:rsid w:val="00631667"/>
    <w:rsid w:val="0064737F"/>
    <w:rsid w:val="006535F1"/>
    <w:rsid w:val="00654DB7"/>
    <w:rsid w:val="0065557D"/>
    <w:rsid w:val="00660D50"/>
    <w:rsid w:val="00662984"/>
    <w:rsid w:val="00663F4B"/>
    <w:rsid w:val="006716BB"/>
    <w:rsid w:val="00680DEB"/>
    <w:rsid w:val="006A2F4B"/>
    <w:rsid w:val="006B1859"/>
    <w:rsid w:val="006B6680"/>
    <w:rsid w:val="006B6DCC"/>
    <w:rsid w:val="006B77F1"/>
    <w:rsid w:val="006D6A16"/>
    <w:rsid w:val="006E0EB8"/>
    <w:rsid w:val="006E493B"/>
    <w:rsid w:val="00702DEF"/>
    <w:rsid w:val="00706861"/>
    <w:rsid w:val="00722551"/>
    <w:rsid w:val="0073239D"/>
    <w:rsid w:val="0075051B"/>
    <w:rsid w:val="00762977"/>
    <w:rsid w:val="00765C89"/>
    <w:rsid w:val="00770041"/>
    <w:rsid w:val="0077110E"/>
    <w:rsid w:val="00771531"/>
    <w:rsid w:val="00787E43"/>
    <w:rsid w:val="00793188"/>
    <w:rsid w:val="00794D34"/>
    <w:rsid w:val="007A26F4"/>
    <w:rsid w:val="007A3FCD"/>
    <w:rsid w:val="007B19CF"/>
    <w:rsid w:val="007B6BC2"/>
    <w:rsid w:val="007C2E6D"/>
    <w:rsid w:val="007D01AF"/>
    <w:rsid w:val="007E37B6"/>
    <w:rsid w:val="00813E5E"/>
    <w:rsid w:val="008342DC"/>
    <w:rsid w:val="0083581B"/>
    <w:rsid w:val="00840A2C"/>
    <w:rsid w:val="0084546D"/>
    <w:rsid w:val="00852BF0"/>
    <w:rsid w:val="00863874"/>
    <w:rsid w:val="00864AFF"/>
    <w:rsid w:val="00865925"/>
    <w:rsid w:val="008A136A"/>
    <w:rsid w:val="008B4A6A"/>
    <w:rsid w:val="008C7E27"/>
    <w:rsid w:val="008D17AC"/>
    <w:rsid w:val="008D7526"/>
    <w:rsid w:val="008E54DA"/>
    <w:rsid w:val="008F7448"/>
    <w:rsid w:val="0090147A"/>
    <w:rsid w:val="00904D01"/>
    <w:rsid w:val="0091596C"/>
    <w:rsid w:val="009173EF"/>
    <w:rsid w:val="00927109"/>
    <w:rsid w:val="00932906"/>
    <w:rsid w:val="00954C49"/>
    <w:rsid w:val="00961B0B"/>
    <w:rsid w:val="00962D33"/>
    <w:rsid w:val="009842A1"/>
    <w:rsid w:val="009845D4"/>
    <w:rsid w:val="00995AFA"/>
    <w:rsid w:val="009A1871"/>
    <w:rsid w:val="009A76A8"/>
    <w:rsid w:val="009B38C3"/>
    <w:rsid w:val="009B404E"/>
    <w:rsid w:val="009D6AAB"/>
    <w:rsid w:val="009E17BD"/>
    <w:rsid w:val="009E485A"/>
    <w:rsid w:val="00A04CEC"/>
    <w:rsid w:val="00A109AF"/>
    <w:rsid w:val="00A27F92"/>
    <w:rsid w:val="00A32257"/>
    <w:rsid w:val="00A36D20"/>
    <w:rsid w:val="00A404CB"/>
    <w:rsid w:val="00A514A4"/>
    <w:rsid w:val="00A55622"/>
    <w:rsid w:val="00A81DED"/>
    <w:rsid w:val="00A83502"/>
    <w:rsid w:val="00A94535"/>
    <w:rsid w:val="00A94BAB"/>
    <w:rsid w:val="00AD15B3"/>
    <w:rsid w:val="00AD3606"/>
    <w:rsid w:val="00AD4A3D"/>
    <w:rsid w:val="00AD517B"/>
    <w:rsid w:val="00AF6E49"/>
    <w:rsid w:val="00B02F45"/>
    <w:rsid w:val="00B04A67"/>
    <w:rsid w:val="00B0583C"/>
    <w:rsid w:val="00B16294"/>
    <w:rsid w:val="00B17647"/>
    <w:rsid w:val="00B40A81"/>
    <w:rsid w:val="00B44910"/>
    <w:rsid w:val="00B72267"/>
    <w:rsid w:val="00B76EB6"/>
    <w:rsid w:val="00B7737B"/>
    <w:rsid w:val="00B824C8"/>
    <w:rsid w:val="00B84B9D"/>
    <w:rsid w:val="00B9131F"/>
    <w:rsid w:val="00B917AE"/>
    <w:rsid w:val="00BA1EC8"/>
    <w:rsid w:val="00BB0646"/>
    <w:rsid w:val="00BC251A"/>
    <w:rsid w:val="00BC4A20"/>
    <w:rsid w:val="00BC7ABA"/>
    <w:rsid w:val="00BD032B"/>
    <w:rsid w:val="00BE01C6"/>
    <w:rsid w:val="00BE2640"/>
    <w:rsid w:val="00BE5F23"/>
    <w:rsid w:val="00BF1FDE"/>
    <w:rsid w:val="00BF2E5F"/>
    <w:rsid w:val="00BF3228"/>
    <w:rsid w:val="00C01090"/>
    <w:rsid w:val="00C01189"/>
    <w:rsid w:val="00C0458D"/>
    <w:rsid w:val="00C374DE"/>
    <w:rsid w:val="00C47AD4"/>
    <w:rsid w:val="00C52D81"/>
    <w:rsid w:val="00C55198"/>
    <w:rsid w:val="00C55BE6"/>
    <w:rsid w:val="00C5605F"/>
    <w:rsid w:val="00C6520B"/>
    <w:rsid w:val="00C703DD"/>
    <w:rsid w:val="00C86879"/>
    <w:rsid w:val="00CA0A45"/>
    <w:rsid w:val="00CA6393"/>
    <w:rsid w:val="00CA7995"/>
    <w:rsid w:val="00CB18FF"/>
    <w:rsid w:val="00CC53C9"/>
    <w:rsid w:val="00CC63DB"/>
    <w:rsid w:val="00CD0C08"/>
    <w:rsid w:val="00CD60B0"/>
    <w:rsid w:val="00CE03FB"/>
    <w:rsid w:val="00CE433C"/>
    <w:rsid w:val="00CE721E"/>
    <w:rsid w:val="00CF0161"/>
    <w:rsid w:val="00CF33F3"/>
    <w:rsid w:val="00CF4A2B"/>
    <w:rsid w:val="00D024CA"/>
    <w:rsid w:val="00D06183"/>
    <w:rsid w:val="00D1139E"/>
    <w:rsid w:val="00D22C42"/>
    <w:rsid w:val="00D50A71"/>
    <w:rsid w:val="00D54881"/>
    <w:rsid w:val="00D61959"/>
    <w:rsid w:val="00D62158"/>
    <w:rsid w:val="00D64312"/>
    <w:rsid w:val="00D65041"/>
    <w:rsid w:val="00D66857"/>
    <w:rsid w:val="00D81F57"/>
    <w:rsid w:val="00DB1936"/>
    <w:rsid w:val="00DB384B"/>
    <w:rsid w:val="00DD139B"/>
    <w:rsid w:val="00DE25F8"/>
    <w:rsid w:val="00DE532B"/>
    <w:rsid w:val="00DF0189"/>
    <w:rsid w:val="00E04A1C"/>
    <w:rsid w:val="00E06FD5"/>
    <w:rsid w:val="00E10E80"/>
    <w:rsid w:val="00E124F0"/>
    <w:rsid w:val="00E225A0"/>
    <w:rsid w:val="00E227F3"/>
    <w:rsid w:val="00E4099F"/>
    <w:rsid w:val="00E45006"/>
    <w:rsid w:val="00E47C0E"/>
    <w:rsid w:val="00E545C6"/>
    <w:rsid w:val="00E5678E"/>
    <w:rsid w:val="00E60F04"/>
    <w:rsid w:val="00E656D1"/>
    <w:rsid w:val="00E65B24"/>
    <w:rsid w:val="00E854E4"/>
    <w:rsid w:val="00E86DBF"/>
    <w:rsid w:val="00E969AF"/>
    <w:rsid w:val="00EB0D6F"/>
    <w:rsid w:val="00EB2232"/>
    <w:rsid w:val="00EC5337"/>
    <w:rsid w:val="00EE49E8"/>
    <w:rsid w:val="00F16BAB"/>
    <w:rsid w:val="00F20852"/>
    <w:rsid w:val="00F2150A"/>
    <w:rsid w:val="00F231D8"/>
    <w:rsid w:val="00F24353"/>
    <w:rsid w:val="00F44C00"/>
    <w:rsid w:val="00F45D2C"/>
    <w:rsid w:val="00F46C5F"/>
    <w:rsid w:val="00F521BF"/>
    <w:rsid w:val="00F632C0"/>
    <w:rsid w:val="00F641E1"/>
    <w:rsid w:val="00F665DA"/>
    <w:rsid w:val="00F675AD"/>
    <w:rsid w:val="00F67613"/>
    <w:rsid w:val="00F717C5"/>
    <w:rsid w:val="00F733CF"/>
    <w:rsid w:val="00F94A63"/>
    <w:rsid w:val="00FA1C28"/>
    <w:rsid w:val="00FB1279"/>
    <w:rsid w:val="00FB6B76"/>
    <w:rsid w:val="00FB7596"/>
    <w:rsid w:val="00FD3C3A"/>
    <w:rsid w:val="00FE0F40"/>
    <w:rsid w:val="00FE4077"/>
    <w:rsid w:val="00FE500D"/>
    <w:rsid w:val="00FE77D2"/>
    <w:rsid w:val="00FF39B1"/>
    <w:rsid w:val="12FC2AA8"/>
    <w:rsid w:val="2A39FE07"/>
    <w:rsid w:val="2DC15084"/>
    <w:rsid w:val="3938DD28"/>
    <w:rsid w:val="445E947D"/>
    <w:rsid w:val="44882D90"/>
    <w:rsid w:val="448A2F35"/>
    <w:rsid w:val="44FB7738"/>
    <w:rsid w:val="4E8C173D"/>
    <w:rsid w:val="7E6EE6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563810"/>
  <w15:docId w15:val="{124549CB-6204-47DE-8DD0-3F124525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4E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link w:val="Heading1Char"/>
    <w:uiPriority w:val="9"/>
    <w:qFormat/>
    <w:rsid w:val="00B9131F"/>
    <w:pPr>
      <w:keepNext/>
      <w:keepLines/>
      <w:spacing w:before="360"/>
      <w:ind w:left="567" w:hanging="567"/>
      <w:outlineLvl w:val="0"/>
    </w:pPr>
    <w:rPr>
      <w:b/>
      <w:sz w:val="28"/>
    </w:rPr>
  </w:style>
  <w:style w:type="paragraph" w:styleId="Heading2">
    <w:name w:val="heading 2"/>
    <w:basedOn w:val="Heading1"/>
    <w:next w:val="Normal"/>
    <w:link w:val="Heading2Char"/>
    <w:uiPriority w:val="9"/>
    <w:qFormat/>
    <w:rsid w:val="00B9131F"/>
    <w:pPr>
      <w:spacing w:before="240"/>
      <w:outlineLvl w:val="1"/>
    </w:pPr>
    <w:rPr>
      <w:sz w:val="24"/>
    </w:rPr>
  </w:style>
  <w:style w:type="paragraph" w:styleId="Heading3">
    <w:name w:val="heading 3"/>
    <w:basedOn w:val="Heading1"/>
    <w:next w:val="Normal"/>
    <w:link w:val="Heading3Char"/>
    <w:uiPriority w:val="9"/>
    <w:qFormat/>
    <w:rsid w:val="00B9131F"/>
    <w:pPr>
      <w:spacing w:before="200"/>
      <w:outlineLvl w:val="2"/>
    </w:pPr>
    <w:rPr>
      <w:sz w:val="24"/>
    </w:rPr>
  </w:style>
  <w:style w:type="paragraph" w:styleId="Heading4">
    <w:name w:val="heading 4"/>
    <w:basedOn w:val="Heading3"/>
    <w:next w:val="Normal"/>
    <w:link w:val="Heading4Char"/>
    <w:uiPriority w:val="9"/>
    <w:qFormat/>
    <w:rsid w:val="00B9131F"/>
    <w:pPr>
      <w:ind w:left="1134" w:hanging="1134"/>
      <w:outlineLvl w:val="3"/>
    </w:pPr>
  </w:style>
  <w:style w:type="paragraph" w:styleId="Heading5">
    <w:name w:val="heading 5"/>
    <w:basedOn w:val="Heading4"/>
    <w:next w:val="Normal"/>
    <w:link w:val="Heading5Char"/>
    <w:uiPriority w:val="9"/>
    <w:qFormat/>
    <w:rsid w:val="00B9131F"/>
    <w:pPr>
      <w:outlineLvl w:val="4"/>
    </w:pPr>
  </w:style>
  <w:style w:type="paragraph" w:styleId="Heading6">
    <w:name w:val="heading 6"/>
    <w:basedOn w:val="Heading4"/>
    <w:next w:val="Normal"/>
    <w:link w:val="Heading6Char"/>
    <w:uiPriority w:val="9"/>
    <w:qFormat/>
    <w:rsid w:val="00B9131F"/>
    <w:pPr>
      <w:outlineLvl w:val="5"/>
    </w:pPr>
  </w:style>
  <w:style w:type="paragraph" w:styleId="Heading7">
    <w:name w:val="heading 7"/>
    <w:basedOn w:val="Heading4"/>
    <w:next w:val="Normal"/>
    <w:link w:val="Heading7Char"/>
    <w:uiPriority w:val="9"/>
    <w:qFormat/>
    <w:rsid w:val="00813E5E"/>
    <w:pPr>
      <w:ind w:left="1701" w:hanging="1701"/>
      <w:outlineLvl w:val="6"/>
    </w:pPr>
  </w:style>
  <w:style w:type="paragraph" w:styleId="Heading8">
    <w:name w:val="heading 8"/>
    <w:basedOn w:val="Heading4"/>
    <w:next w:val="Normal"/>
    <w:link w:val="Heading8Char"/>
    <w:uiPriority w:val="9"/>
    <w:qFormat/>
    <w:rsid w:val="00B9131F"/>
    <w:pPr>
      <w:ind w:left="1701" w:hanging="1701"/>
      <w:outlineLvl w:val="7"/>
    </w:pPr>
  </w:style>
  <w:style w:type="paragraph" w:styleId="Heading9">
    <w:name w:val="heading 9"/>
    <w:basedOn w:val="Heading4"/>
    <w:next w:val="Normal"/>
    <w:link w:val="Heading9Char"/>
    <w:uiPriority w:val="9"/>
    <w:qFormat/>
    <w:rsid w:val="00B9131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uiPriority w:val="39"/>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uiPriority w:val="39"/>
    <w:rsid w:val="00813E5E"/>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uiPriority w:val="39"/>
    <w:rsid w:val="002E5E1E"/>
    <w:pPr>
      <w:tabs>
        <w:tab w:val="clear" w:pos="567"/>
        <w:tab w:val="clear" w:pos="1134"/>
        <w:tab w:val="clear" w:pos="1701"/>
        <w:tab w:val="clear" w:pos="2268"/>
        <w:tab w:val="clear" w:pos="2835"/>
        <w:tab w:val="left" w:leader="dot" w:pos="8789"/>
        <w:tab w:val="right" w:pos="9639"/>
      </w:tabs>
      <w:ind w:left="964" w:firstLine="29"/>
    </w:pPr>
    <w:rPr>
      <w:noProof/>
    </w:rPr>
  </w:style>
  <w:style w:type="paragraph" w:styleId="TOC2">
    <w:name w:val="toc 2"/>
    <w:basedOn w:val="Normal"/>
    <w:next w:val="Normal"/>
    <w:uiPriority w:val="39"/>
    <w:rsid w:val="003F611D"/>
    <w:pPr>
      <w:tabs>
        <w:tab w:val="clear" w:pos="1134"/>
        <w:tab w:val="clear" w:pos="1701"/>
        <w:tab w:val="clear" w:pos="2268"/>
        <w:tab w:val="clear" w:pos="2835"/>
        <w:tab w:val="left" w:leader="dot" w:pos="8789"/>
        <w:tab w:val="right" w:pos="9639"/>
      </w:tabs>
      <w:ind w:left="964" w:hanging="397"/>
    </w:pPr>
    <w:rPr>
      <w:noProof/>
    </w:rPr>
  </w:style>
  <w:style w:type="paragraph" w:styleId="TOC1">
    <w:name w:val="toc 1"/>
    <w:basedOn w:val="Normal"/>
    <w:uiPriority w:val="39"/>
    <w:rsid w:val="00813E5E"/>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TOC7">
    <w:name w:val="toc 7"/>
    <w:basedOn w:val="Normal"/>
    <w:next w:val="Normal"/>
    <w:uiPriority w:val="39"/>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uiPriority w:val="39"/>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uiPriority w:val="39"/>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Index7">
    <w:name w:val="index 7"/>
    <w:basedOn w:val="Normal"/>
    <w:next w:val="Normal"/>
    <w:rsid w:val="004D1851"/>
    <w:pPr>
      <w:ind w:left="1698"/>
    </w:pPr>
  </w:style>
  <w:style w:type="paragraph" w:styleId="Index6">
    <w:name w:val="index 6"/>
    <w:basedOn w:val="Normal"/>
    <w:next w:val="Normal"/>
    <w:rsid w:val="004D1851"/>
    <w:pPr>
      <w:ind w:left="1415"/>
    </w:pPr>
  </w:style>
  <w:style w:type="paragraph" w:styleId="Index5">
    <w:name w:val="index 5"/>
    <w:basedOn w:val="Normal"/>
    <w:next w:val="Normal"/>
    <w:rsid w:val="004D1851"/>
    <w:pPr>
      <w:ind w:left="1132"/>
    </w:pPr>
  </w:style>
  <w:style w:type="paragraph" w:styleId="Index4">
    <w:name w:val="index 4"/>
    <w:basedOn w:val="Normal"/>
    <w:next w:val="Normal"/>
    <w:rsid w:val="004D1851"/>
    <w:pPr>
      <w:ind w:left="849"/>
    </w:pPr>
  </w:style>
  <w:style w:type="paragraph" w:styleId="Index3">
    <w:name w:val="index 3"/>
    <w:basedOn w:val="Normal"/>
    <w:next w:val="Normal"/>
    <w:rsid w:val="004D1851"/>
    <w:pPr>
      <w:ind w:left="566"/>
    </w:pPr>
  </w:style>
  <w:style w:type="paragraph" w:styleId="Index2">
    <w:name w:val="index 2"/>
    <w:basedOn w:val="Normal"/>
    <w:next w:val="Normal"/>
    <w:rsid w:val="004D1851"/>
    <w:pPr>
      <w:ind w:left="283"/>
    </w:pPr>
  </w:style>
  <w:style w:type="paragraph" w:styleId="Index1">
    <w:name w:val="index 1"/>
    <w:basedOn w:val="Normal"/>
    <w:next w:val="Normal"/>
    <w:rsid w:val="004D1851"/>
  </w:style>
  <w:style w:type="character" w:styleId="LineNumber">
    <w:name w:val="line number"/>
    <w:basedOn w:val="DefaultParagraphFont"/>
    <w:rsid w:val="00B9131F"/>
    <w:rPr>
      <w:rFonts w:asciiTheme="minorHAnsi" w:hAnsiTheme="minorHAnsi"/>
      <w:sz w:val="24"/>
    </w:rPr>
  </w:style>
  <w:style w:type="paragraph" w:styleId="IndexHeading">
    <w:name w:val="index heading"/>
    <w:basedOn w:val="Normal"/>
    <w:next w:val="Index1"/>
    <w:rsid w:val="004D1851"/>
  </w:style>
  <w:style w:type="paragraph" w:styleId="Footer">
    <w:name w:val="footer"/>
    <w:basedOn w:val="Normal"/>
    <w:link w:val="FooterChar"/>
    <w:uiPriority w:val="99"/>
    <w:rsid w:val="00813E5E"/>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5800BC"/>
    <w:pPr>
      <w:tabs>
        <w:tab w:val="clear" w:pos="567"/>
        <w:tab w:val="clear" w:pos="1134"/>
        <w:tab w:val="clear" w:pos="1701"/>
        <w:tab w:val="clear" w:pos="2268"/>
        <w:tab w:val="clear" w:pos="2835"/>
      </w:tabs>
      <w:spacing w:before="0"/>
      <w:jc w:val="center"/>
    </w:pPr>
    <w:rPr>
      <w:color w:val="7F7F7F" w:themeColor="text1" w:themeTint="80"/>
      <w:sz w:val="18"/>
    </w:rPr>
  </w:style>
  <w:style w:type="character" w:styleId="FootnoteReference">
    <w:name w:val="footnote reference"/>
    <w:basedOn w:val="DefaultParagraphFont"/>
    <w:uiPriority w:val="99"/>
    <w:rsid w:val="00813E5E"/>
    <w:rPr>
      <w:rFonts w:ascii="Calibri" w:hAnsi="Calibri"/>
      <w:position w:val="6"/>
      <w:sz w:val="16"/>
    </w:rPr>
  </w:style>
  <w:style w:type="paragraph" w:styleId="FootnoteText">
    <w:name w:val="footnote text"/>
    <w:basedOn w:val="Normal"/>
    <w:link w:val="FootnoteTextChar"/>
    <w:uiPriority w:val="99"/>
    <w:rsid w:val="00D024CA"/>
    <w:pPr>
      <w:keepLines/>
      <w:tabs>
        <w:tab w:val="left" w:pos="284"/>
      </w:tabs>
      <w:ind w:left="284" w:hanging="284"/>
    </w:pPr>
    <w:rPr>
      <w:sz w:val="22"/>
    </w:rPr>
  </w:style>
  <w:style w:type="paragraph" w:styleId="NormalIndent">
    <w:name w:val="Normal Indent"/>
    <w:basedOn w:val="Normal"/>
    <w:rsid w:val="00813E5E"/>
    <w:pPr>
      <w:ind w:left="567"/>
    </w:pPr>
  </w:style>
  <w:style w:type="paragraph" w:customStyle="1" w:styleId="enumlev1">
    <w:name w:val="enumlev1"/>
    <w:basedOn w:val="Normal"/>
    <w:qFormat/>
    <w:rsid w:val="001A3154"/>
    <w:pPr>
      <w:spacing w:before="80"/>
      <w:ind w:left="567" w:hanging="567"/>
    </w:pPr>
  </w:style>
  <w:style w:type="paragraph" w:customStyle="1" w:styleId="enumlev2">
    <w:name w:val="enumlev2"/>
    <w:basedOn w:val="enumlev1"/>
    <w:qFormat/>
    <w:rsid w:val="001A3154"/>
    <w:pPr>
      <w:ind w:left="1134"/>
    </w:pPr>
  </w:style>
  <w:style w:type="paragraph" w:customStyle="1" w:styleId="enumlev3">
    <w:name w:val="enumlev3"/>
    <w:basedOn w:val="enumlev2"/>
    <w:qFormat/>
    <w:rsid w:val="00813E5E"/>
    <w:pPr>
      <w:ind w:left="1701"/>
    </w:pPr>
  </w:style>
  <w:style w:type="paragraph" w:customStyle="1" w:styleId="Normalaftertitle">
    <w:name w:val="Normal after title"/>
    <w:basedOn w:val="Normal"/>
    <w:next w:val="Normal"/>
    <w:rsid w:val="00813E5E"/>
    <w:pPr>
      <w:spacing w:before="240"/>
    </w:pPr>
  </w:style>
  <w:style w:type="character" w:customStyle="1" w:styleId="HeaderChar">
    <w:name w:val="Header Char"/>
    <w:basedOn w:val="DefaultParagraphFont"/>
    <w:link w:val="Header"/>
    <w:uiPriority w:val="99"/>
    <w:rsid w:val="005800BC"/>
    <w:rPr>
      <w:rFonts w:ascii="Calibri" w:hAnsi="Calibri"/>
      <w:color w:val="7F7F7F" w:themeColor="text1" w:themeTint="80"/>
      <w:sz w:val="18"/>
      <w:lang w:val="en-GB" w:eastAsia="en-US"/>
    </w:rPr>
  </w:style>
  <w:style w:type="paragraph" w:customStyle="1" w:styleId="Head">
    <w:name w:val="Head"/>
    <w:basedOn w:val="Normal"/>
    <w:rsid w:val="004D1851"/>
    <w:pPr>
      <w:tabs>
        <w:tab w:val="left" w:pos="6663"/>
      </w:tabs>
      <w:overflowPunct/>
      <w:autoSpaceDE/>
      <w:autoSpaceDN/>
      <w:adjustRightInd/>
      <w:spacing w:before="0"/>
      <w:textAlignment w:val="auto"/>
    </w:pPr>
  </w:style>
  <w:style w:type="paragraph" w:customStyle="1" w:styleId="toc0">
    <w:name w:val="toc 0"/>
    <w:basedOn w:val="Normal"/>
    <w:next w:val="TOC1"/>
    <w:rsid w:val="00813E5E"/>
    <w:pPr>
      <w:tabs>
        <w:tab w:val="clear" w:pos="567"/>
        <w:tab w:val="clear" w:pos="1134"/>
        <w:tab w:val="clear" w:pos="1701"/>
        <w:tab w:val="clear" w:pos="2268"/>
        <w:tab w:val="clear" w:pos="2835"/>
        <w:tab w:val="right" w:pos="9781"/>
      </w:tabs>
    </w:pPr>
    <w:rPr>
      <w:b/>
    </w:rPr>
  </w:style>
  <w:style w:type="paragraph" w:styleId="List">
    <w:name w:val="List"/>
    <w:basedOn w:val="Normal"/>
    <w:rsid w:val="004D1851"/>
    <w:pPr>
      <w:tabs>
        <w:tab w:val="left" w:pos="2127"/>
      </w:tabs>
      <w:ind w:left="2127" w:hanging="2127"/>
    </w:pPr>
  </w:style>
  <w:style w:type="paragraph" w:customStyle="1" w:styleId="Part">
    <w:name w:val="Part"/>
    <w:basedOn w:val="Normal"/>
    <w:next w:val="Normal"/>
    <w:rsid w:val="00813E5E"/>
    <w:pPr>
      <w:tabs>
        <w:tab w:val="clear" w:pos="567"/>
        <w:tab w:val="clear" w:pos="1134"/>
        <w:tab w:val="clear" w:pos="1701"/>
        <w:tab w:val="clear" w:pos="2268"/>
        <w:tab w:val="clear" w:pos="2835"/>
      </w:tabs>
      <w:spacing w:before="600"/>
      <w:jc w:val="center"/>
    </w:pPr>
    <w:rPr>
      <w:caps/>
      <w:sz w:val="28"/>
    </w:rPr>
  </w:style>
  <w:style w:type="paragraph" w:customStyle="1" w:styleId="Source">
    <w:name w:val="Source"/>
    <w:basedOn w:val="Normal"/>
    <w:next w:val="Title1"/>
    <w:autoRedefine/>
    <w:rsid w:val="00052262"/>
    <w:pPr>
      <w:framePr w:hSpace="181" w:wrap="around" w:hAnchor="margin" w:y="-492"/>
      <w:spacing w:before="240" w:after="240"/>
      <w:jc w:val="center"/>
    </w:pPr>
    <w:rPr>
      <w:b/>
      <w:sz w:val="28"/>
      <w:szCs w:val="28"/>
    </w:rPr>
  </w:style>
  <w:style w:type="paragraph" w:customStyle="1" w:styleId="meeting">
    <w:name w:val="meeting"/>
    <w:basedOn w:val="Head"/>
    <w:next w:val="Head"/>
    <w:rsid w:val="004D1851"/>
    <w:pPr>
      <w:tabs>
        <w:tab w:val="left" w:pos="7371"/>
      </w:tabs>
      <w:spacing w:after="567"/>
    </w:pPr>
  </w:style>
  <w:style w:type="paragraph" w:customStyle="1" w:styleId="Subject">
    <w:name w:val="Subject"/>
    <w:basedOn w:val="Normal"/>
    <w:next w:val="Source"/>
    <w:rsid w:val="004D1851"/>
    <w:pPr>
      <w:spacing w:before="0"/>
      <w:ind w:left="1134" w:hanging="1134"/>
    </w:pPr>
  </w:style>
  <w:style w:type="paragraph" w:customStyle="1" w:styleId="Object">
    <w:name w:val="Object"/>
    <w:basedOn w:val="Subject"/>
    <w:next w:val="Subject"/>
    <w:rsid w:val="004D1851"/>
  </w:style>
  <w:style w:type="paragraph" w:customStyle="1" w:styleId="Data">
    <w:name w:val="Data"/>
    <w:basedOn w:val="Subject"/>
    <w:next w:val="Subject"/>
    <w:rsid w:val="004D1851"/>
  </w:style>
  <w:style w:type="table" w:styleId="TableGrid">
    <w:name w:val="Table Grid"/>
    <w:basedOn w:val="TableNormal"/>
    <w:uiPriority w:val="39"/>
    <w:rsid w:val="00AD360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F611D"/>
    <w:rPr>
      <w:color w:val="4F81BD" w:themeColor="accent1"/>
      <w:u w:val="single"/>
    </w:rPr>
  </w:style>
  <w:style w:type="paragraph" w:customStyle="1" w:styleId="FirstFooter">
    <w:name w:val="FirstFooter"/>
    <w:basedOn w:val="Footer"/>
    <w:rsid w:val="00813E5E"/>
    <w:rPr>
      <w:caps w:val="0"/>
    </w:rPr>
  </w:style>
  <w:style w:type="paragraph" w:customStyle="1" w:styleId="Note">
    <w:name w:val="Note"/>
    <w:basedOn w:val="Normal"/>
    <w:rsid w:val="00813E5E"/>
    <w:pPr>
      <w:tabs>
        <w:tab w:val="clear" w:pos="567"/>
        <w:tab w:val="left" w:pos="851"/>
      </w:tabs>
    </w:pPr>
  </w:style>
  <w:style w:type="paragraph" w:styleId="TOC9">
    <w:name w:val="toc 9"/>
    <w:basedOn w:val="TOC4"/>
    <w:uiPriority w:val="39"/>
    <w:rsid w:val="004D1851"/>
  </w:style>
  <w:style w:type="paragraph" w:customStyle="1" w:styleId="Headingb">
    <w:name w:val="Heading_b"/>
    <w:basedOn w:val="Heading3"/>
    <w:next w:val="Normal"/>
    <w:rsid w:val="00B9131F"/>
    <w:pPr>
      <w:spacing w:before="160"/>
      <w:ind w:left="0" w:firstLine="0"/>
      <w:outlineLvl w:val="0"/>
    </w:pPr>
  </w:style>
  <w:style w:type="character" w:styleId="FollowedHyperlink">
    <w:name w:val="FollowedHyperlink"/>
    <w:basedOn w:val="DefaultParagraphFont"/>
    <w:uiPriority w:val="99"/>
    <w:rsid w:val="00813E5E"/>
    <w:rPr>
      <w:color w:val="800080"/>
      <w:u w:val="single"/>
    </w:rPr>
  </w:style>
  <w:style w:type="paragraph" w:customStyle="1" w:styleId="Title1">
    <w:name w:val="Title 1"/>
    <w:basedOn w:val="Source"/>
    <w:next w:val="Title2"/>
    <w:rsid w:val="002C54E2"/>
    <w:pPr>
      <w:framePr w:wrap="around"/>
    </w:pPr>
    <w:rPr>
      <w:b w:val="0"/>
    </w:rPr>
  </w:style>
  <w:style w:type="paragraph" w:customStyle="1" w:styleId="Title2">
    <w:name w:val="Title 2"/>
    <w:basedOn w:val="Source"/>
    <w:next w:val="Title3"/>
    <w:rsid w:val="00813E5E"/>
    <w:pPr>
      <w:framePr w:wrap="around"/>
    </w:pPr>
    <w:rPr>
      <w:b w:val="0"/>
      <w:caps/>
    </w:rPr>
  </w:style>
  <w:style w:type="paragraph" w:customStyle="1" w:styleId="Title3">
    <w:name w:val="Title 3"/>
    <w:basedOn w:val="Title2"/>
    <w:next w:val="Normalaftertitle"/>
    <w:rsid w:val="00813E5E"/>
    <w:pPr>
      <w:framePr w:wrap="around"/>
    </w:pPr>
    <w:rPr>
      <w:caps w:val="0"/>
    </w:rPr>
  </w:style>
  <w:style w:type="paragraph" w:customStyle="1" w:styleId="Title4">
    <w:name w:val="Title 4"/>
    <w:basedOn w:val="Title3"/>
    <w:next w:val="Heading1"/>
    <w:rsid w:val="004D1851"/>
    <w:pPr>
      <w:framePr w:wrap="around"/>
    </w:pPr>
    <w:rPr>
      <w:b/>
    </w:rPr>
  </w:style>
  <w:style w:type="paragraph" w:customStyle="1" w:styleId="dnum">
    <w:name w:val="dnum"/>
    <w:basedOn w:val="Normal"/>
    <w:rsid w:val="004D1851"/>
    <w:pPr>
      <w:framePr w:hSpace="181" w:wrap="around" w:vAnchor="page" w:hAnchor="margin" w:y="852"/>
      <w:shd w:val="solid" w:color="FFFFFF" w:fill="FFFFFF"/>
      <w:tabs>
        <w:tab w:val="left" w:pos="1871"/>
      </w:tabs>
    </w:pPr>
    <w:rPr>
      <w:b/>
      <w:bCs/>
    </w:rPr>
  </w:style>
  <w:style w:type="paragraph" w:customStyle="1" w:styleId="ddate">
    <w:name w:val="ddate"/>
    <w:basedOn w:val="Normal"/>
    <w:rsid w:val="004D1851"/>
    <w:pPr>
      <w:framePr w:hSpace="181" w:wrap="around" w:vAnchor="page" w:hAnchor="margin" w:y="852"/>
      <w:shd w:val="solid" w:color="FFFFFF" w:fill="FFFFFF"/>
      <w:tabs>
        <w:tab w:val="left" w:pos="1871"/>
      </w:tabs>
      <w:spacing w:before="0"/>
    </w:pPr>
    <w:rPr>
      <w:b/>
      <w:bCs/>
    </w:rPr>
  </w:style>
  <w:style w:type="paragraph" w:customStyle="1" w:styleId="dorlang">
    <w:name w:val="dorlang"/>
    <w:basedOn w:val="Normal"/>
    <w:rsid w:val="004D1851"/>
    <w:pPr>
      <w:framePr w:hSpace="181" w:wrap="around" w:vAnchor="page" w:hAnchor="margin" w:y="852"/>
      <w:shd w:val="solid" w:color="FFFFFF" w:fill="FFFFFF"/>
      <w:tabs>
        <w:tab w:val="left" w:pos="1871"/>
      </w:tabs>
      <w:spacing w:before="0"/>
    </w:pPr>
    <w:rPr>
      <w:b/>
      <w:bCs/>
    </w:rPr>
  </w:style>
  <w:style w:type="paragraph" w:customStyle="1" w:styleId="AnnexNo">
    <w:name w:val="Annex_No"/>
    <w:basedOn w:val="Normal"/>
    <w:next w:val="Annexref"/>
    <w:qFormat/>
    <w:rsid w:val="00221F46"/>
    <w:pPr>
      <w:keepNext/>
      <w:keepLines/>
      <w:spacing w:before="720"/>
      <w:jc w:val="center"/>
    </w:pPr>
    <w:rPr>
      <w:caps/>
      <w:sz w:val="28"/>
    </w:rPr>
  </w:style>
  <w:style w:type="paragraph" w:customStyle="1" w:styleId="Annextitle">
    <w:name w:val="Annex_title"/>
    <w:basedOn w:val="Normal"/>
    <w:next w:val="Normal"/>
    <w:qFormat/>
    <w:rsid w:val="00221F46"/>
    <w:pPr>
      <w:keepNext/>
      <w:keepLines/>
      <w:spacing w:after="240"/>
      <w:jc w:val="center"/>
    </w:pPr>
    <w:rPr>
      <w:b/>
      <w:sz w:val="28"/>
    </w:rPr>
  </w:style>
  <w:style w:type="paragraph" w:customStyle="1" w:styleId="Annexref">
    <w:name w:val="Annex_ref"/>
    <w:basedOn w:val="Normal"/>
    <w:next w:val="Annextitle"/>
    <w:qFormat/>
    <w:rsid w:val="00221F46"/>
    <w:pPr>
      <w:keepNext/>
      <w:keepLines/>
      <w:jc w:val="center"/>
    </w:pPr>
  </w:style>
  <w:style w:type="paragraph" w:customStyle="1" w:styleId="Call">
    <w:name w:val="Call"/>
    <w:basedOn w:val="Normal"/>
    <w:next w:val="Normal"/>
    <w:qFormat/>
    <w:rsid w:val="00F641E1"/>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Title1"/>
    <w:qFormat/>
    <w:rsid w:val="00176F47"/>
    <w:pPr>
      <w:framePr w:wrap="around" w:hAnchor="page" w:x="1821" w:y="2317"/>
      <w:spacing w:before="120" w:after="120"/>
    </w:pPr>
    <w:rPr>
      <w:sz w:val="32"/>
      <w:szCs w:val="32"/>
    </w:rPr>
  </w:style>
  <w:style w:type="paragraph" w:customStyle="1" w:styleId="Figure">
    <w:name w:val="Figure"/>
    <w:basedOn w:val="Normal"/>
    <w:next w:val="Figuretitle"/>
    <w:qFormat/>
    <w:rsid w:val="001A3154"/>
    <w:pPr>
      <w:spacing w:after="240"/>
      <w:jc w:val="center"/>
    </w:pPr>
  </w:style>
  <w:style w:type="paragraph" w:customStyle="1" w:styleId="Figuretitle">
    <w:name w:val="Figure_title"/>
    <w:basedOn w:val="Tabletitle"/>
    <w:next w:val="Normalaftertitle"/>
    <w:qFormat/>
    <w:rsid w:val="001A3154"/>
    <w:pPr>
      <w:spacing w:before="120" w:after="0"/>
    </w:pPr>
  </w:style>
  <w:style w:type="paragraph" w:customStyle="1" w:styleId="Tabletitle">
    <w:name w:val="Table_title"/>
    <w:basedOn w:val="TableNo"/>
    <w:next w:val="Tabletext"/>
    <w:rsid w:val="00813E5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813E5E"/>
    <w:pPr>
      <w:keepNext/>
      <w:spacing w:before="560" w:after="120"/>
      <w:jc w:val="center"/>
    </w:pPr>
    <w:rPr>
      <w:caps/>
    </w:rPr>
  </w:style>
  <w:style w:type="paragraph" w:customStyle="1" w:styleId="Tabletext">
    <w:name w:val="Table_text"/>
    <w:basedOn w:val="Normal"/>
    <w:rsid w:val="00813E5E"/>
    <w:pPr>
      <w:tabs>
        <w:tab w:val="clear" w:pos="567"/>
        <w:tab w:val="clear" w:pos="1134"/>
        <w:tab w:val="clear" w:pos="1701"/>
        <w:tab w:val="clear" w:pos="2268"/>
        <w:tab w:val="clear" w:pos="2835"/>
      </w:tabs>
      <w:spacing w:before="60" w:after="60"/>
    </w:pPr>
    <w:rPr>
      <w:sz w:val="22"/>
    </w:rPr>
  </w:style>
  <w:style w:type="paragraph" w:customStyle="1" w:styleId="Figurelegend">
    <w:name w:val="Figure_legend"/>
    <w:basedOn w:val="Normal"/>
    <w:qFormat/>
    <w:rsid w:val="00B9131F"/>
    <w:pPr>
      <w:spacing w:before="20" w:after="240"/>
    </w:pPr>
    <w:rPr>
      <w:sz w:val="20"/>
    </w:rPr>
  </w:style>
  <w:style w:type="paragraph" w:customStyle="1" w:styleId="FigureNo">
    <w:name w:val="Figure_No"/>
    <w:basedOn w:val="Normal"/>
    <w:next w:val="Figuretitle"/>
    <w:qFormat/>
    <w:rsid w:val="001A3154"/>
    <w:pPr>
      <w:keepNext/>
      <w:keepLines/>
      <w:spacing w:before="480"/>
      <w:jc w:val="center"/>
    </w:pPr>
    <w:rPr>
      <w:caps/>
    </w:rPr>
  </w:style>
  <w:style w:type="paragraph" w:customStyle="1" w:styleId="Figurewithouttitle">
    <w:name w:val="Figure_without_title"/>
    <w:basedOn w:val="Figure"/>
    <w:next w:val="Normalaftertitle"/>
    <w:rsid w:val="001A3154"/>
  </w:style>
  <w:style w:type="paragraph" w:customStyle="1" w:styleId="Headingi">
    <w:name w:val="Heading_i"/>
    <w:basedOn w:val="Heading3"/>
    <w:next w:val="Normal"/>
    <w:rsid w:val="00B9131F"/>
    <w:pPr>
      <w:spacing w:before="160"/>
      <w:ind w:left="0" w:firstLine="0"/>
      <w:outlineLvl w:val="0"/>
    </w:pPr>
    <w:rPr>
      <w:rFonts w:asciiTheme="minorHAnsi" w:hAnsiTheme="minorHAnsi"/>
      <w:b w:val="0"/>
      <w:i/>
    </w:rPr>
  </w:style>
  <w:style w:type="character" w:styleId="PageNumber">
    <w:name w:val="page number"/>
    <w:basedOn w:val="DefaultParagraphFont"/>
    <w:rsid w:val="00813E5E"/>
    <w:rPr>
      <w:rFonts w:ascii="Calibri" w:hAnsi="Calibri"/>
    </w:rPr>
  </w:style>
  <w:style w:type="paragraph" w:customStyle="1" w:styleId="PartNo">
    <w:name w:val="Part_No"/>
    <w:basedOn w:val="AnnexNo"/>
    <w:next w:val="Parttitle"/>
    <w:rsid w:val="004D1851"/>
  </w:style>
  <w:style w:type="paragraph" w:customStyle="1" w:styleId="Parttitle">
    <w:name w:val="Part_title"/>
    <w:basedOn w:val="Annextitle"/>
    <w:next w:val="Partref"/>
    <w:rsid w:val="004D1851"/>
  </w:style>
  <w:style w:type="paragraph" w:customStyle="1" w:styleId="Partref">
    <w:name w:val="Part_ref"/>
    <w:basedOn w:val="Annexref"/>
    <w:next w:val="Normalaftertitle"/>
    <w:rsid w:val="004D1851"/>
  </w:style>
  <w:style w:type="paragraph" w:customStyle="1" w:styleId="RecNo">
    <w:name w:val="Rec_No"/>
    <w:basedOn w:val="Normal"/>
    <w:next w:val="Rectitle"/>
    <w:rsid w:val="00813E5E"/>
    <w:pPr>
      <w:spacing w:before="720"/>
      <w:jc w:val="center"/>
    </w:pPr>
    <w:rPr>
      <w:caps/>
      <w:sz w:val="28"/>
    </w:rPr>
  </w:style>
  <w:style w:type="paragraph" w:customStyle="1" w:styleId="Rectitle">
    <w:name w:val="Rec_title"/>
    <w:basedOn w:val="Normal"/>
    <w:next w:val="Heading1"/>
    <w:rsid w:val="00813E5E"/>
    <w:pPr>
      <w:spacing w:before="240"/>
      <w:jc w:val="center"/>
    </w:pPr>
    <w:rPr>
      <w:b/>
      <w:sz w:val="28"/>
    </w:rPr>
  </w:style>
  <w:style w:type="paragraph" w:customStyle="1" w:styleId="Recref">
    <w:name w:val="Rec_ref"/>
    <w:basedOn w:val="Rectitle"/>
    <w:next w:val="Recdate"/>
    <w:rsid w:val="004D1851"/>
    <w:pPr>
      <w:spacing w:before="120"/>
    </w:pPr>
    <w:rPr>
      <w:rFonts w:ascii="Times New Roman" w:hAnsi="Times New Roman"/>
      <w:b w:val="0"/>
      <w:sz w:val="24"/>
    </w:rPr>
  </w:style>
  <w:style w:type="paragraph" w:customStyle="1" w:styleId="Recdate">
    <w:name w:val="Rec_date"/>
    <w:basedOn w:val="Recref"/>
    <w:next w:val="Normalaftertitle"/>
    <w:rsid w:val="004D1851"/>
    <w:pPr>
      <w:jc w:val="right"/>
    </w:pPr>
    <w:rPr>
      <w:sz w:val="22"/>
    </w:rPr>
  </w:style>
  <w:style w:type="paragraph" w:customStyle="1" w:styleId="Questiondate">
    <w:name w:val="Question_date"/>
    <w:basedOn w:val="Recdate"/>
    <w:next w:val="Normalaftertitle"/>
    <w:rsid w:val="004D1851"/>
  </w:style>
  <w:style w:type="paragraph" w:customStyle="1" w:styleId="QuestionNo">
    <w:name w:val="Question_No"/>
    <w:basedOn w:val="RecNo"/>
    <w:next w:val="Questiontitle"/>
    <w:rsid w:val="004D1851"/>
  </w:style>
  <w:style w:type="paragraph" w:customStyle="1" w:styleId="Questionref">
    <w:name w:val="Question_ref"/>
    <w:basedOn w:val="Recref"/>
    <w:next w:val="Questiondate"/>
    <w:rsid w:val="004D1851"/>
  </w:style>
  <w:style w:type="paragraph" w:customStyle="1" w:styleId="Questiontitle">
    <w:name w:val="Question_title"/>
    <w:basedOn w:val="Rectitle"/>
    <w:next w:val="Questionref"/>
    <w:rsid w:val="004D1851"/>
  </w:style>
  <w:style w:type="paragraph" w:customStyle="1" w:styleId="Reftext">
    <w:name w:val="Ref_text"/>
    <w:basedOn w:val="Normal"/>
    <w:rsid w:val="00813E5E"/>
    <w:pPr>
      <w:ind w:left="567" w:hanging="567"/>
    </w:pPr>
  </w:style>
  <w:style w:type="paragraph" w:customStyle="1" w:styleId="Reftitle">
    <w:name w:val="Ref_title"/>
    <w:basedOn w:val="Normal"/>
    <w:next w:val="Reftext"/>
    <w:rsid w:val="00813E5E"/>
    <w:pPr>
      <w:spacing w:before="480"/>
      <w:jc w:val="center"/>
    </w:pPr>
    <w:rPr>
      <w:caps/>
      <w:sz w:val="28"/>
    </w:rPr>
  </w:style>
  <w:style w:type="paragraph" w:customStyle="1" w:styleId="Resdate">
    <w:name w:val="Res_date"/>
    <w:basedOn w:val="Recdate"/>
    <w:next w:val="Normalaftertitle"/>
    <w:rsid w:val="004D1851"/>
  </w:style>
  <w:style w:type="paragraph" w:customStyle="1" w:styleId="ResNo">
    <w:name w:val="Res_No"/>
    <w:basedOn w:val="AnnexNo"/>
    <w:next w:val="Restitle"/>
    <w:rsid w:val="00813E5E"/>
  </w:style>
  <w:style w:type="paragraph" w:customStyle="1" w:styleId="Restitle">
    <w:name w:val="Res_title"/>
    <w:basedOn w:val="Annextitle"/>
    <w:next w:val="Normal"/>
    <w:rsid w:val="00813E5E"/>
  </w:style>
  <w:style w:type="paragraph" w:customStyle="1" w:styleId="Resref">
    <w:name w:val="Res_ref"/>
    <w:basedOn w:val="Recref"/>
    <w:next w:val="Resdate"/>
    <w:rsid w:val="004D1851"/>
  </w:style>
  <w:style w:type="paragraph" w:customStyle="1" w:styleId="SectionNo">
    <w:name w:val="Section_No"/>
    <w:basedOn w:val="AnnexNo"/>
    <w:next w:val="Sectiontitle"/>
    <w:rsid w:val="004D1851"/>
  </w:style>
  <w:style w:type="paragraph" w:customStyle="1" w:styleId="Sectiontitle">
    <w:name w:val="Section_title"/>
    <w:basedOn w:val="Normal"/>
    <w:next w:val="Normalaftertitle"/>
    <w:rsid w:val="004D1851"/>
    <w:rPr>
      <w:sz w:val="28"/>
    </w:rPr>
  </w:style>
  <w:style w:type="paragraph" w:customStyle="1" w:styleId="Tablehead">
    <w:name w:val="Table_head"/>
    <w:basedOn w:val="Tabletext"/>
    <w:rsid w:val="00813E5E"/>
    <w:pPr>
      <w:spacing w:before="120" w:after="120"/>
      <w:jc w:val="center"/>
    </w:pPr>
    <w:rPr>
      <w:b/>
    </w:rPr>
  </w:style>
  <w:style w:type="paragraph" w:customStyle="1" w:styleId="Tablelegend">
    <w:name w:val="Table_legend"/>
    <w:basedOn w:val="Tabletext"/>
    <w:rsid w:val="00813E5E"/>
    <w:pPr>
      <w:spacing w:before="120"/>
    </w:pPr>
  </w:style>
  <w:style w:type="paragraph" w:customStyle="1" w:styleId="Tableref">
    <w:name w:val="Table_ref"/>
    <w:basedOn w:val="Normal"/>
    <w:next w:val="Tabletitle"/>
    <w:rsid w:val="004D1851"/>
    <w:pPr>
      <w:keepNext/>
      <w:spacing w:before="567"/>
      <w:jc w:val="center"/>
    </w:pPr>
  </w:style>
  <w:style w:type="paragraph" w:customStyle="1" w:styleId="Artheading">
    <w:name w:val="Art_heading"/>
    <w:basedOn w:val="Normal"/>
    <w:next w:val="Normalaftertitle"/>
    <w:qFormat/>
    <w:rsid w:val="00F641E1"/>
    <w:pPr>
      <w:keepNext/>
      <w:keepLines/>
      <w:tabs>
        <w:tab w:val="clear" w:pos="567"/>
        <w:tab w:val="clear" w:pos="1134"/>
        <w:tab w:val="clear" w:pos="1701"/>
        <w:tab w:val="clear" w:pos="2268"/>
        <w:tab w:val="clear" w:pos="2835"/>
      </w:tabs>
      <w:spacing w:before="360"/>
      <w:jc w:val="center"/>
    </w:pPr>
    <w:rPr>
      <w:b/>
    </w:rPr>
  </w:style>
  <w:style w:type="paragraph" w:customStyle="1" w:styleId="ArtNo">
    <w:name w:val="Art_No"/>
    <w:basedOn w:val="Normal"/>
    <w:next w:val="Arttitle"/>
    <w:qFormat/>
    <w:rsid w:val="00F641E1"/>
    <w:pPr>
      <w:keepNext/>
      <w:keepLines/>
      <w:tabs>
        <w:tab w:val="clear" w:pos="567"/>
        <w:tab w:val="clear" w:pos="1134"/>
        <w:tab w:val="clear" w:pos="1701"/>
        <w:tab w:val="clear" w:pos="2268"/>
        <w:tab w:val="clear" w:pos="2835"/>
      </w:tabs>
      <w:spacing w:before="480"/>
      <w:jc w:val="center"/>
    </w:pPr>
    <w:rPr>
      <w:caps/>
      <w:sz w:val="28"/>
    </w:rPr>
  </w:style>
  <w:style w:type="paragraph" w:customStyle="1" w:styleId="Arttitle">
    <w:name w:val="Art_title"/>
    <w:basedOn w:val="Normal"/>
    <w:next w:val="Normal"/>
    <w:qFormat/>
    <w:rsid w:val="00F641E1"/>
    <w:pPr>
      <w:keepNext/>
      <w:keepLines/>
      <w:tabs>
        <w:tab w:val="clear" w:pos="567"/>
        <w:tab w:val="clear" w:pos="1134"/>
        <w:tab w:val="clear" w:pos="1701"/>
        <w:tab w:val="clear" w:pos="2268"/>
        <w:tab w:val="clear" w:pos="2835"/>
      </w:tabs>
      <w:spacing w:after="240"/>
      <w:jc w:val="center"/>
    </w:pPr>
    <w:rPr>
      <w:b/>
      <w:sz w:val="28"/>
    </w:rPr>
  </w:style>
  <w:style w:type="paragraph" w:customStyle="1" w:styleId="ChapNo">
    <w:name w:val="Chap_No"/>
    <w:basedOn w:val="ArtNo"/>
    <w:next w:val="Chaptitle"/>
    <w:qFormat/>
    <w:rsid w:val="00813E5E"/>
  </w:style>
  <w:style w:type="paragraph" w:customStyle="1" w:styleId="Chaptitle">
    <w:name w:val="Chap_title"/>
    <w:basedOn w:val="Arttitle"/>
    <w:next w:val="Normal"/>
    <w:qFormat/>
    <w:rsid w:val="001A3154"/>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CA7995"/>
    <w:rPr>
      <w:color w:val="666666"/>
    </w:rPr>
  </w:style>
  <w:style w:type="paragraph" w:customStyle="1" w:styleId="Reasons">
    <w:name w:val="Reasons"/>
    <w:basedOn w:val="Normal"/>
    <w:qFormat/>
    <w:rsid w:val="007A3FCD"/>
    <w:pPr>
      <w:tabs>
        <w:tab w:val="clear" w:pos="567"/>
        <w:tab w:val="clear" w:pos="1134"/>
        <w:tab w:val="clear" w:pos="1701"/>
        <w:tab w:val="clear" w:pos="2268"/>
        <w:tab w:val="clear" w:pos="2835"/>
      </w:tabs>
      <w:overflowPunct/>
      <w:autoSpaceDE/>
      <w:autoSpaceDN/>
      <w:adjustRightInd/>
      <w:spacing w:before="0"/>
      <w:textAlignment w:val="auto"/>
    </w:pPr>
    <w:rPr>
      <w:rFonts w:ascii="Times New Roman" w:hAnsi="Times New Roman"/>
      <w:lang w:val="en-US"/>
    </w:rPr>
  </w:style>
  <w:style w:type="character" w:customStyle="1" w:styleId="FootnoteTextChar">
    <w:name w:val="Footnote Text Char"/>
    <w:basedOn w:val="DefaultParagraphFont"/>
    <w:link w:val="FootnoteText"/>
    <w:uiPriority w:val="99"/>
    <w:rsid w:val="00617FC9"/>
    <w:rPr>
      <w:rFonts w:ascii="Calibri" w:hAnsi="Calibri"/>
      <w:sz w:val="22"/>
      <w:lang w:val="en-GB" w:eastAsia="en-US"/>
    </w:rPr>
  </w:style>
  <w:style w:type="paragraph" w:customStyle="1" w:styleId="Tablefin">
    <w:name w:val="Table_fin"/>
    <w:basedOn w:val="Tabletext"/>
    <w:rsid w:val="00617FC9"/>
    <w:pPr>
      <w:spacing w:before="0" w:after="0"/>
    </w:pPr>
    <w:rPr>
      <w:rFonts w:eastAsia="SimSun" w:cstheme="minorBidi"/>
      <w:szCs w:val="22"/>
    </w:rPr>
  </w:style>
  <w:style w:type="paragraph" w:styleId="NormalWeb">
    <w:name w:val="Normal (Web)"/>
    <w:basedOn w:val="Normal"/>
    <w:uiPriority w:val="99"/>
    <w:semiHidden/>
    <w:unhideWhenUsed/>
    <w:rsid w:val="00617FC9"/>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ascii="Times New Roman" w:hAnsi="Times New Roman"/>
      <w:szCs w:val="24"/>
      <w:lang w:eastAsia="en-GB"/>
    </w:rPr>
  </w:style>
  <w:style w:type="character" w:customStyle="1" w:styleId="Heading1Char">
    <w:name w:val="Heading 1 Char"/>
    <w:basedOn w:val="DefaultParagraphFont"/>
    <w:link w:val="Heading1"/>
    <w:uiPriority w:val="9"/>
    <w:rsid w:val="00617FC9"/>
    <w:rPr>
      <w:rFonts w:ascii="Calibri" w:hAnsi="Calibri"/>
      <w:b/>
      <w:sz w:val="28"/>
      <w:lang w:val="en-GB" w:eastAsia="en-US"/>
    </w:rPr>
  </w:style>
  <w:style w:type="character" w:customStyle="1" w:styleId="Heading2Char">
    <w:name w:val="Heading 2 Char"/>
    <w:basedOn w:val="DefaultParagraphFont"/>
    <w:link w:val="Heading2"/>
    <w:uiPriority w:val="9"/>
    <w:rsid w:val="00617FC9"/>
    <w:rPr>
      <w:rFonts w:ascii="Calibri" w:hAnsi="Calibri"/>
      <w:b/>
      <w:sz w:val="24"/>
      <w:lang w:val="en-GB" w:eastAsia="en-US"/>
    </w:rPr>
  </w:style>
  <w:style w:type="character" w:customStyle="1" w:styleId="Heading3Char">
    <w:name w:val="Heading 3 Char"/>
    <w:basedOn w:val="DefaultParagraphFont"/>
    <w:link w:val="Heading3"/>
    <w:uiPriority w:val="9"/>
    <w:rsid w:val="00617FC9"/>
    <w:rPr>
      <w:rFonts w:ascii="Calibri" w:hAnsi="Calibri"/>
      <w:b/>
      <w:sz w:val="24"/>
      <w:lang w:val="en-GB" w:eastAsia="en-US"/>
    </w:rPr>
  </w:style>
  <w:style w:type="character" w:customStyle="1" w:styleId="Heading4Char">
    <w:name w:val="Heading 4 Char"/>
    <w:basedOn w:val="DefaultParagraphFont"/>
    <w:link w:val="Heading4"/>
    <w:uiPriority w:val="9"/>
    <w:rsid w:val="00617FC9"/>
    <w:rPr>
      <w:rFonts w:ascii="Calibri" w:hAnsi="Calibri"/>
      <w:b/>
      <w:sz w:val="24"/>
      <w:lang w:val="en-GB" w:eastAsia="en-US"/>
    </w:rPr>
  </w:style>
  <w:style w:type="character" w:customStyle="1" w:styleId="Heading5Char">
    <w:name w:val="Heading 5 Char"/>
    <w:basedOn w:val="DefaultParagraphFont"/>
    <w:link w:val="Heading5"/>
    <w:uiPriority w:val="9"/>
    <w:rsid w:val="00617FC9"/>
    <w:rPr>
      <w:rFonts w:ascii="Calibri" w:hAnsi="Calibri"/>
      <w:b/>
      <w:sz w:val="24"/>
      <w:lang w:val="en-GB" w:eastAsia="en-US"/>
    </w:rPr>
  </w:style>
  <w:style w:type="character" w:customStyle="1" w:styleId="Heading6Char">
    <w:name w:val="Heading 6 Char"/>
    <w:basedOn w:val="DefaultParagraphFont"/>
    <w:link w:val="Heading6"/>
    <w:uiPriority w:val="9"/>
    <w:rsid w:val="00617FC9"/>
    <w:rPr>
      <w:rFonts w:ascii="Calibri" w:hAnsi="Calibri"/>
      <w:b/>
      <w:sz w:val="24"/>
      <w:lang w:val="en-GB" w:eastAsia="en-US"/>
    </w:rPr>
  </w:style>
  <w:style w:type="character" w:customStyle="1" w:styleId="Heading7Char">
    <w:name w:val="Heading 7 Char"/>
    <w:basedOn w:val="DefaultParagraphFont"/>
    <w:link w:val="Heading7"/>
    <w:uiPriority w:val="9"/>
    <w:rsid w:val="00617FC9"/>
    <w:rPr>
      <w:rFonts w:ascii="Calibri" w:hAnsi="Calibri"/>
      <w:b/>
      <w:sz w:val="24"/>
      <w:lang w:val="en-GB" w:eastAsia="en-US"/>
    </w:rPr>
  </w:style>
  <w:style w:type="character" w:customStyle="1" w:styleId="Heading8Char">
    <w:name w:val="Heading 8 Char"/>
    <w:basedOn w:val="DefaultParagraphFont"/>
    <w:link w:val="Heading8"/>
    <w:uiPriority w:val="9"/>
    <w:rsid w:val="00617FC9"/>
    <w:rPr>
      <w:rFonts w:ascii="Calibri" w:hAnsi="Calibri"/>
      <w:b/>
      <w:sz w:val="24"/>
      <w:lang w:val="en-GB" w:eastAsia="en-US"/>
    </w:rPr>
  </w:style>
  <w:style w:type="character" w:customStyle="1" w:styleId="Heading9Char">
    <w:name w:val="Heading 9 Char"/>
    <w:basedOn w:val="DefaultParagraphFont"/>
    <w:link w:val="Heading9"/>
    <w:uiPriority w:val="9"/>
    <w:rsid w:val="00617FC9"/>
    <w:rPr>
      <w:rFonts w:ascii="Calibri" w:hAnsi="Calibri"/>
      <w:b/>
      <w:sz w:val="24"/>
      <w:lang w:val="en-GB" w:eastAsia="en-US"/>
    </w:rPr>
  </w:style>
  <w:style w:type="paragraph" w:styleId="Title">
    <w:name w:val="Title"/>
    <w:basedOn w:val="Normal"/>
    <w:next w:val="Normal"/>
    <w:link w:val="TitleChar"/>
    <w:uiPriority w:val="10"/>
    <w:qFormat/>
    <w:rsid w:val="00617FC9"/>
    <w:pPr>
      <w:tabs>
        <w:tab w:val="clear" w:pos="567"/>
        <w:tab w:val="clear" w:pos="1134"/>
        <w:tab w:val="clear" w:pos="1701"/>
        <w:tab w:val="clear" w:pos="2268"/>
        <w:tab w:val="clear" w:pos="2835"/>
      </w:tabs>
      <w:overflowPunct/>
      <w:autoSpaceDE/>
      <w:autoSpaceDN/>
      <w:adjustRightInd/>
      <w:spacing w:before="240"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17FC9"/>
    <w:rPr>
      <w:rFonts w:asciiTheme="majorHAnsi" w:eastAsiaTheme="majorEastAsia" w:hAnsiTheme="majorHAnsi" w:cstheme="majorBidi"/>
      <w:spacing w:val="-10"/>
      <w:kern w:val="28"/>
      <w:sz w:val="56"/>
      <w:szCs w:val="56"/>
      <w:lang w:val="en-GB" w:eastAsia="en-US"/>
      <w14:ligatures w14:val="standardContextual"/>
    </w:rPr>
  </w:style>
  <w:style w:type="paragraph" w:styleId="Subtitle0">
    <w:name w:val="Subtitle"/>
    <w:basedOn w:val="Normal"/>
    <w:next w:val="Normal"/>
    <w:link w:val="SubtitleChar"/>
    <w:uiPriority w:val="11"/>
    <w:qFormat/>
    <w:rsid w:val="00617FC9"/>
    <w:pPr>
      <w:keepNext/>
      <w:tabs>
        <w:tab w:val="clear" w:pos="567"/>
        <w:tab w:val="clear" w:pos="1134"/>
        <w:tab w:val="clear" w:pos="1701"/>
        <w:tab w:val="clear" w:pos="2268"/>
        <w:tab w:val="clear" w:pos="2835"/>
      </w:tabs>
      <w:overflowPunct/>
      <w:autoSpaceDE/>
      <w:autoSpaceDN/>
      <w:adjustRightInd/>
      <w:spacing w:before="240" w:after="240"/>
      <w:textAlignment w:val="auto"/>
    </w:pPr>
    <w:rPr>
      <w:rFonts w:ascii="Avenir Nxt2 W1G" w:eastAsia="Aptos" w:hAnsi="Avenir Nxt2 W1G" w:cs="Arial"/>
      <w:b/>
      <w:bCs/>
      <w:kern w:val="2"/>
      <w:sz w:val="22"/>
      <w:szCs w:val="22"/>
      <w:lang w:eastAsia="en-GB"/>
      <w14:ligatures w14:val="standardContextual"/>
    </w:rPr>
  </w:style>
  <w:style w:type="character" w:customStyle="1" w:styleId="SubtitleChar">
    <w:name w:val="Subtitle Char"/>
    <w:basedOn w:val="DefaultParagraphFont"/>
    <w:link w:val="Subtitle0"/>
    <w:uiPriority w:val="11"/>
    <w:rsid w:val="00617FC9"/>
    <w:rPr>
      <w:rFonts w:ascii="Avenir Nxt2 W1G" w:eastAsia="Aptos" w:hAnsi="Avenir Nxt2 W1G" w:cs="Arial"/>
      <w:b/>
      <w:bCs/>
      <w:kern w:val="2"/>
      <w:sz w:val="22"/>
      <w:szCs w:val="22"/>
      <w:lang w:val="en-GB" w:eastAsia="en-GB"/>
      <w14:ligatures w14:val="standardContextual"/>
    </w:rPr>
  </w:style>
  <w:style w:type="paragraph" w:styleId="Quote">
    <w:name w:val="Quote"/>
    <w:basedOn w:val="Normal"/>
    <w:next w:val="Normal"/>
    <w:link w:val="QuoteChar"/>
    <w:uiPriority w:val="29"/>
    <w:qFormat/>
    <w:rsid w:val="00617FC9"/>
    <w:pPr>
      <w:tabs>
        <w:tab w:val="clear" w:pos="567"/>
        <w:tab w:val="clear" w:pos="1134"/>
        <w:tab w:val="clear" w:pos="1701"/>
        <w:tab w:val="clear" w:pos="2268"/>
        <w:tab w:val="clear" w:pos="2835"/>
      </w:tabs>
      <w:overflowPunct/>
      <w:autoSpaceDE/>
      <w:autoSpaceDN/>
      <w:adjustRightInd/>
      <w:spacing w:before="160" w:after="240"/>
      <w:jc w:val="center"/>
      <w:textAlignment w:val="auto"/>
    </w:pPr>
    <w:rPr>
      <w:rFonts w:ascii="Avenir Nxt2 W1G" w:eastAsia="Aptos" w:hAnsi="Avenir Nxt2 W1G" w:cs="Arial"/>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617FC9"/>
    <w:rPr>
      <w:rFonts w:ascii="Avenir Nxt2 W1G" w:eastAsia="Aptos" w:hAnsi="Avenir Nxt2 W1G" w:cs="Arial"/>
      <w:i/>
      <w:iCs/>
      <w:color w:val="404040" w:themeColor="text1" w:themeTint="BF"/>
      <w:kern w:val="2"/>
      <w:sz w:val="22"/>
      <w:szCs w:val="22"/>
      <w:lang w:val="en-GB" w:eastAsia="en-US"/>
      <w14:ligatures w14:val="standardContextual"/>
    </w:rPr>
  </w:style>
  <w:style w:type="paragraph" w:styleId="ListParagraph">
    <w:name w:val="List Paragraph"/>
    <w:basedOn w:val="Normal"/>
    <w:link w:val="ListParagraphChar"/>
    <w:uiPriority w:val="34"/>
    <w:qFormat/>
    <w:rsid w:val="00617FC9"/>
    <w:pPr>
      <w:numPr>
        <w:numId w:val="9"/>
      </w:numPr>
      <w:tabs>
        <w:tab w:val="clear" w:pos="567"/>
        <w:tab w:val="clear" w:pos="1134"/>
        <w:tab w:val="clear" w:pos="1701"/>
        <w:tab w:val="clear" w:pos="2268"/>
        <w:tab w:val="clear" w:pos="2835"/>
      </w:tabs>
      <w:overflowPunct/>
      <w:autoSpaceDE/>
      <w:autoSpaceDN/>
      <w:adjustRightInd/>
      <w:spacing w:before="240" w:after="240"/>
      <w:contextualSpacing/>
      <w:textAlignment w:val="auto"/>
    </w:pPr>
    <w:rPr>
      <w:rFonts w:ascii="Avenir Nxt2 W1G" w:eastAsia="Aptos" w:hAnsi="Avenir Nxt2 W1G" w:cs="Arial"/>
      <w:kern w:val="2"/>
      <w:sz w:val="22"/>
      <w:szCs w:val="22"/>
      <w14:ligatures w14:val="standardContextual"/>
    </w:rPr>
  </w:style>
  <w:style w:type="character" w:styleId="IntenseEmphasis">
    <w:name w:val="Intense Emphasis"/>
    <w:basedOn w:val="DefaultParagraphFont"/>
    <w:uiPriority w:val="21"/>
    <w:qFormat/>
    <w:rsid w:val="00617FC9"/>
    <w:rPr>
      <w:i/>
      <w:iCs/>
      <w:color w:val="365F91" w:themeColor="accent1" w:themeShade="BF"/>
    </w:rPr>
  </w:style>
  <w:style w:type="paragraph" w:styleId="IntenseQuote">
    <w:name w:val="Intense Quote"/>
    <w:basedOn w:val="Normal"/>
    <w:next w:val="Normal"/>
    <w:link w:val="IntenseQuoteChar"/>
    <w:uiPriority w:val="30"/>
    <w:qFormat/>
    <w:rsid w:val="00617FC9"/>
    <w:pPr>
      <w:pBdr>
        <w:top w:val="single" w:sz="4" w:space="10" w:color="365F91" w:themeColor="accent1" w:themeShade="BF"/>
        <w:bottom w:val="single" w:sz="4" w:space="10" w:color="365F91" w:themeColor="accent1" w:themeShade="BF"/>
      </w:pBdr>
      <w:tabs>
        <w:tab w:val="clear" w:pos="567"/>
        <w:tab w:val="clear" w:pos="1134"/>
        <w:tab w:val="clear" w:pos="1701"/>
        <w:tab w:val="clear" w:pos="2268"/>
        <w:tab w:val="clear" w:pos="2835"/>
      </w:tabs>
      <w:overflowPunct/>
      <w:autoSpaceDE/>
      <w:autoSpaceDN/>
      <w:adjustRightInd/>
      <w:spacing w:before="360" w:after="360"/>
      <w:ind w:left="864" w:right="864"/>
      <w:jc w:val="center"/>
      <w:textAlignment w:val="auto"/>
    </w:pPr>
    <w:rPr>
      <w:rFonts w:ascii="Avenir Nxt2 W1G" w:eastAsia="Aptos" w:hAnsi="Avenir Nxt2 W1G" w:cs="Arial"/>
      <w:i/>
      <w:iCs/>
      <w:color w:val="365F9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617FC9"/>
    <w:rPr>
      <w:rFonts w:ascii="Avenir Nxt2 W1G" w:eastAsia="Aptos" w:hAnsi="Avenir Nxt2 W1G" w:cs="Arial"/>
      <w:i/>
      <w:iCs/>
      <w:color w:val="365F91" w:themeColor="accent1" w:themeShade="BF"/>
      <w:kern w:val="2"/>
      <w:sz w:val="22"/>
      <w:szCs w:val="22"/>
      <w:lang w:val="en-GB" w:eastAsia="en-US"/>
      <w14:ligatures w14:val="standardContextual"/>
    </w:rPr>
  </w:style>
  <w:style w:type="character" w:styleId="IntenseReference">
    <w:name w:val="Intense Reference"/>
    <w:basedOn w:val="DefaultParagraphFont"/>
    <w:uiPriority w:val="32"/>
    <w:qFormat/>
    <w:rsid w:val="00617FC9"/>
    <w:rPr>
      <w:b/>
      <w:bCs/>
      <w:smallCaps/>
      <w:color w:val="365F91" w:themeColor="accent1" w:themeShade="BF"/>
      <w:spacing w:val="5"/>
    </w:rPr>
  </w:style>
  <w:style w:type="character" w:styleId="CommentReference">
    <w:name w:val="annotation reference"/>
    <w:basedOn w:val="DefaultParagraphFont"/>
    <w:uiPriority w:val="99"/>
    <w:semiHidden/>
    <w:unhideWhenUsed/>
    <w:rsid w:val="00617FC9"/>
    <w:rPr>
      <w:sz w:val="16"/>
      <w:szCs w:val="16"/>
    </w:rPr>
  </w:style>
  <w:style w:type="paragraph" w:styleId="CommentText">
    <w:name w:val="annotation text"/>
    <w:basedOn w:val="Normal"/>
    <w:link w:val="CommentTextChar"/>
    <w:uiPriority w:val="99"/>
    <w:unhideWhenUsed/>
    <w:rsid w:val="00617FC9"/>
    <w:pPr>
      <w:tabs>
        <w:tab w:val="clear" w:pos="567"/>
        <w:tab w:val="clear" w:pos="1134"/>
        <w:tab w:val="clear" w:pos="1701"/>
        <w:tab w:val="clear" w:pos="2268"/>
        <w:tab w:val="clear" w:pos="2835"/>
      </w:tabs>
      <w:overflowPunct/>
      <w:autoSpaceDE/>
      <w:autoSpaceDN/>
      <w:adjustRightInd/>
      <w:spacing w:before="240" w:after="240"/>
      <w:textAlignment w:val="auto"/>
    </w:pPr>
    <w:rPr>
      <w:rFonts w:ascii="Avenir Nxt2 W1G" w:eastAsia="Aptos" w:hAnsi="Avenir Nxt2 W1G" w:cs="Arial"/>
      <w:kern w:val="2"/>
      <w:sz w:val="20"/>
      <w14:ligatures w14:val="standardContextual"/>
    </w:rPr>
  </w:style>
  <w:style w:type="character" w:customStyle="1" w:styleId="CommentTextChar">
    <w:name w:val="Comment Text Char"/>
    <w:basedOn w:val="DefaultParagraphFont"/>
    <w:link w:val="CommentText"/>
    <w:uiPriority w:val="99"/>
    <w:rsid w:val="00617FC9"/>
    <w:rPr>
      <w:rFonts w:ascii="Avenir Nxt2 W1G" w:eastAsia="Aptos" w:hAnsi="Avenir Nxt2 W1G" w:cs="Arial"/>
      <w:kern w:val="2"/>
      <w:lang w:val="en-GB" w:eastAsia="en-US"/>
      <w14:ligatures w14:val="standardContextual"/>
    </w:rPr>
  </w:style>
  <w:style w:type="paragraph" w:styleId="CommentSubject">
    <w:name w:val="annotation subject"/>
    <w:basedOn w:val="CommentText"/>
    <w:next w:val="CommentText"/>
    <w:link w:val="CommentSubjectChar"/>
    <w:uiPriority w:val="99"/>
    <w:semiHidden/>
    <w:unhideWhenUsed/>
    <w:rsid w:val="00617FC9"/>
    <w:rPr>
      <w:b/>
      <w:bCs/>
    </w:rPr>
  </w:style>
  <w:style w:type="character" w:customStyle="1" w:styleId="CommentSubjectChar">
    <w:name w:val="Comment Subject Char"/>
    <w:basedOn w:val="CommentTextChar"/>
    <w:link w:val="CommentSubject"/>
    <w:uiPriority w:val="99"/>
    <w:semiHidden/>
    <w:rsid w:val="00617FC9"/>
    <w:rPr>
      <w:rFonts w:ascii="Avenir Nxt2 W1G" w:eastAsia="Aptos" w:hAnsi="Avenir Nxt2 W1G" w:cs="Arial"/>
      <w:b/>
      <w:bCs/>
      <w:kern w:val="2"/>
      <w:lang w:val="en-GB" w:eastAsia="en-US"/>
      <w14:ligatures w14:val="standardContextual"/>
    </w:rPr>
  </w:style>
  <w:style w:type="character" w:customStyle="1" w:styleId="FooterChar">
    <w:name w:val="Footer Char"/>
    <w:basedOn w:val="DefaultParagraphFont"/>
    <w:link w:val="Footer"/>
    <w:uiPriority w:val="99"/>
    <w:rsid w:val="00617FC9"/>
    <w:rPr>
      <w:rFonts w:ascii="Calibri" w:hAnsi="Calibri"/>
      <w:caps/>
      <w:noProof/>
      <w:sz w:val="16"/>
      <w:lang w:val="en-GB" w:eastAsia="en-US"/>
    </w:rPr>
  </w:style>
  <w:style w:type="paragraph" w:customStyle="1" w:styleId="xmsonormal">
    <w:name w:val="x_msonormal"/>
    <w:basedOn w:val="Normal"/>
    <w:uiPriority w:val="1"/>
    <w:rsid w:val="00617FC9"/>
    <w:pPr>
      <w:tabs>
        <w:tab w:val="clear" w:pos="567"/>
        <w:tab w:val="clear" w:pos="1134"/>
        <w:tab w:val="clear" w:pos="1701"/>
        <w:tab w:val="clear" w:pos="2268"/>
        <w:tab w:val="clear" w:pos="2835"/>
      </w:tabs>
      <w:overflowPunct/>
      <w:autoSpaceDE/>
      <w:autoSpaceDN/>
      <w:adjustRightInd/>
      <w:textAlignment w:val="auto"/>
    </w:pPr>
    <w:rPr>
      <w:rFonts w:ascii="Avenir Nxt2 W1G" w:eastAsiaTheme="minorEastAsia" w:hAnsi="Avenir Nxt2 W1G" w:cs="Arial"/>
      <w:kern w:val="2"/>
      <w:sz w:val="22"/>
      <w:szCs w:val="22"/>
      <w:lang w:eastAsia="en-GB"/>
      <w14:ligatures w14:val="standardContextual"/>
    </w:rPr>
  </w:style>
  <w:style w:type="paragraph" w:customStyle="1" w:styleId="xtablehead">
    <w:name w:val="x_tablehead"/>
    <w:basedOn w:val="Normal"/>
    <w:uiPriority w:val="1"/>
    <w:rsid w:val="00617FC9"/>
    <w:pPr>
      <w:tabs>
        <w:tab w:val="clear" w:pos="567"/>
        <w:tab w:val="clear" w:pos="1134"/>
        <w:tab w:val="clear" w:pos="1701"/>
        <w:tab w:val="clear" w:pos="2268"/>
        <w:tab w:val="clear" w:pos="2835"/>
      </w:tabs>
      <w:overflowPunct/>
      <w:autoSpaceDE/>
      <w:autoSpaceDN/>
      <w:adjustRightInd/>
      <w:spacing w:before="40" w:after="40"/>
      <w:textAlignment w:val="auto"/>
    </w:pPr>
    <w:rPr>
      <w:rFonts w:ascii="Avenir Nxt2 W1G" w:eastAsiaTheme="minorEastAsia" w:hAnsi="Avenir Nxt2 W1G" w:cs="Arial"/>
      <w:kern w:val="2"/>
      <w:sz w:val="22"/>
      <w:szCs w:val="22"/>
      <w:lang w:eastAsia="en-GB"/>
      <w14:ligatures w14:val="standardContextual"/>
    </w:rPr>
  </w:style>
  <w:style w:type="paragraph" w:customStyle="1" w:styleId="xtabletext">
    <w:name w:val="x_tabletext"/>
    <w:basedOn w:val="Normal"/>
    <w:uiPriority w:val="1"/>
    <w:rsid w:val="00617FC9"/>
    <w:pPr>
      <w:tabs>
        <w:tab w:val="clear" w:pos="567"/>
        <w:tab w:val="clear" w:pos="1134"/>
        <w:tab w:val="clear" w:pos="1701"/>
        <w:tab w:val="clear" w:pos="2268"/>
        <w:tab w:val="clear" w:pos="2835"/>
      </w:tabs>
      <w:overflowPunct/>
      <w:autoSpaceDE/>
      <w:autoSpaceDN/>
      <w:adjustRightInd/>
      <w:spacing w:before="40" w:after="40"/>
      <w:textAlignment w:val="auto"/>
    </w:pPr>
    <w:rPr>
      <w:rFonts w:ascii="Avenir Nxt2 W1G" w:eastAsiaTheme="minorEastAsia" w:hAnsi="Avenir Nxt2 W1G" w:cs="Arial"/>
      <w:kern w:val="2"/>
      <w:sz w:val="22"/>
      <w:szCs w:val="22"/>
      <w:lang w:eastAsia="en-GB"/>
      <w14:ligatures w14:val="standardContextual"/>
    </w:rPr>
  </w:style>
  <w:style w:type="paragraph" w:customStyle="1" w:styleId="paragraph">
    <w:name w:val="paragraph"/>
    <w:basedOn w:val="Normal"/>
    <w:link w:val="paragraphChar"/>
    <w:rsid w:val="00617FC9"/>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ascii="Times New Roman" w:hAnsi="Times New Roman"/>
      <w:sz w:val="22"/>
      <w:szCs w:val="22"/>
      <w:lang w:eastAsia="en-GB"/>
    </w:rPr>
  </w:style>
  <w:style w:type="character" w:customStyle="1" w:styleId="eop">
    <w:name w:val="eop"/>
    <w:basedOn w:val="DefaultParagraphFont"/>
    <w:rsid w:val="00617FC9"/>
  </w:style>
  <w:style w:type="character" w:customStyle="1" w:styleId="tabchar">
    <w:name w:val="tabchar"/>
    <w:basedOn w:val="DefaultParagraphFont"/>
    <w:rsid w:val="00617FC9"/>
  </w:style>
  <w:style w:type="character" w:styleId="Mention">
    <w:name w:val="Mention"/>
    <w:basedOn w:val="DefaultParagraphFont"/>
    <w:uiPriority w:val="99"/>
    <w:unhideWhenUsed/>
    <w:rsid w:val="00617FC9"/>
    <w:rPr>
      <w:color w:val="2B579A"/>
      <w:shd w:val="clear" w:color="auto" w:fill="E1DFDD"/>
    </w:rPr>
  </w:style>
  <w:style w:type="paragraph" w:styleId="Revision">
    <w:name w:val="Revision"/>
    <w:hidden/>
    <w:uiPriority w:val="99"/>
    <w:semiHidden/>
    <w:rsid w:val="00617FC9"/>
    <w:rPr>
      <w:rFonts w:asciiTheme="minorHAnsi" w:eastAsiaTheme="minorHAnsi" w:hAnsiTheme="minorHAnsi" w:cstheme="minorBidi"/>
      <w:kern w:val="2"/>
      <w:sz w:val="24"/>
      <w:szCs w:val="24"/>
      <w:lang w:val="en-GB" w:eastAsia="en-US"/>
      <w14:ligatures w14:val="standardContextual"/>
    </w:rPr>
  </w:style>
  <w:style w:type="table" w:styleId="PlainTable1">
    <w:name w:val="Plain Table 1"/>
    <w:basedOn w:val="TableNormal"/>
    <w:uiPriority w:val="41"/>
    <w:rsid w:val="00617FC9"/>
    <w:rPr>
      <w:rFonts w:asciiTheme="minorHAnsi" w:eastAsiaTheme="minorHAnsi" w:hAnsiTheme="minorHAnsi" w:cstheme="minorBidi"/>
      <w:kern w:val="2"/>
      <w:sz w:val="24"/>
      <w:szCs w:val="24"/>
      <w:lang w:val="en-GB" w:eastAsia="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617FC9"/>
    <w:rPr>
      <w:rFonts w:asciiTheme="minorHAnsi" w:eastAsiaTheme="minorHAnsi" w:hAnsiTheme="minorHAnsi" w:cstheme="minorBidi"/>
      <w:kern w:val="2"/>
      <w:sz w:val="24"/>
      <w:szCs w:val="24"/>
      <w:lang w:val="en-GB" w:eastAsia="en-US"/>
      <w14:ligatures w14:val="standardContextual"/>
    </w:rPr>
  </w:style>
  <w:style w:type="table" w:styleId="GridTable5Dark-Accent1">
    <w:name w:val="Grid Table 5 Dark Accent 1"/>
    <w:basedOn w:val="TableNormal"/>
    <w:uiPriority w:val="50"/>
    <w:rsid w:val="00617FC9"/>
    <w:rPr>
      <w:rFonts w:asciiTheme="minorHAnsi" w:eastAsiaTheme="minorHAnsi" w:hAnsiTheme="minorHAnsi" w:cstheme="minorBidi"/>
      <w:kern w:val="2"/>
      <w:sz w:val="24"/>
      <w:szCs w:val="24"/>
      <w:lang w:val="en-GB" w:eastAsia="en-US"/>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4">
    <w:name w:val="Grid Table 4 Accent 4"/>
    <w:basedOn w:val="TableNormal"/>
    <w:uiPriority w:val="49"/>
    <w:rsid w:val="00617FC9"/>
    <w:rPr>
      <w:rFonts w:asciiTheme="minorHAnsi" w:eastAsiaTheme="minorHAnsi" w:hAnsiTheme="minorHAnsi" w:cstheme="minorBidi"/>
      <w:kern w:val="2"/>
      <w:sz w:val="24"/>
      <w:szCs w:val="24"/>
      <w:lang w:val="en-GB" w:eastAsia="en-US"/>
      <w14:ligatures w14:val="standardContextual"/>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3-Accent41">
    <w:name w:val="List Table 3 - Accent 41"/>
    <w:basedOn w:val="TableNormal"/>
    <w:next w:val="ListTable3-Accent4"/>
    <w:uiPriority w:val="48"/>
    <w:rsid w:val="00617FC9"/>
    <w:rPr>
      <w:rFonts w:asciiTheme="minorHAnsi" w:eastAsiaTheme="minorHAnsi" w:hAnsiTheme="minorHAnsi" w:cstheme="minorBidi"/>
      <w:kern w:val="2"/>
      <w:sz w:val="24"/>
      <w:szCs w:val="24"/>
      <w:lang w:val="en-GB" w:eastAsia="en-US"/>
      <w14:ligatures w14:val="standardContextual"/>
    </w:rPr>
    <w:tblPr>
      <w:tblStyleRowBandSize w:val="1"/>
      <w:tblStyleColBandSize w:val="1"/>
      <w:tblBorders>
        <w:top w:val="single" w:sz="4" w:space="0" w:color="0F9ED5"/>
        <w:left w:val="single" w:sz="4" w:space="0" w:color="0F9ED5"/>
        <w:bottom w:val="single" w:sz="4" w:space="0" w:color="0F9ED5"/>
        <w:right w:val="single" w:sz="4" w:space="0" w:color="0F9ED5"/>
      </w:tblBorders>
    </w:tblPr>
    <w:tblStylePr w:type="firstRow">
      <w:rPr>
        <w:b/>
        <w:bCs/>
        <w:color w:val="FFFFFF"/>
      </w:rPr>
      <w:tblPr/>
      <w:tcPr>
        <w:shd w:val="clear" w:color="auto" w:fill="0F9ED5"/>
      </w:tcPr>
    </w:tblStylePr>
    <w:tblStylePr w:type="lastRow">
      <w:rPr>
        <w:b/>
        <w:bCs/>
      </w:rPr>
      <w:tblPr/>
      <w:tcPr>
        <w:tcBorders>
          <w:top w:val="double" w:sz="4" w:space="0" w:color="0F9E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9ED5"/>
          <w:right w:val="single" w:sz="4" w:space="0" w:color="0F9ED5"/>
        </w:tcBorders>
      </w:tcPr>
    </w:tblStylePr>
    <w:tblStylePr w:type="band1Horz">
      <w:tblPr/>
      <w:tcPr>
        <w:tcBorders>
          <w:top w:val="single" w:sz="4" w:space="0" w:color="0F9ED5"/>
          <w:bottom w:val="single" w:sz="4" w:space="0" w:color="0F9E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left w:val="nil"/>
        </w:tcBorders>
      </w:tcPr>
    </w:tblStylePr>
    <w:tblStylePr w:type="swCell">
      <w:tblPr/>
      <w:tcPr>
        <w:tcBorders>
          <w:top w:val="double" w:sz="4" w:space="0" w:color="0F9ED5"/>
          <w:right w:val="nil"/>
        </w:tcBorders>
      </w:tcPr>
    </w:tblStylePr>
  </w:style>
  <w:style w:type="table" w:styleId="ListTable3-Accent4">
    <w:name w:val="List Table 3 Accent 4"/>
    <w:basedOn w:val="TableNormal"/>
    <w:uiPriority w:val="48"/>
    <w:rsid w:val="00617FC9"/>
    <w:rPr>
      <w:rFonts w:asciiTheme="minorHAnsi" w:eastAsiaTheme="minorHAnsi" w:hAnsiTheme="minorHAnsi" w:cstheme="minorBidi"/>
      <w:kern w:val="2"/>
      <w:sz w:val="24"/>
      <w:szCs w:val="24"/>
      <w:lang w:val="en-GB" w:eastAsia="en-US"/>
      <w14:ligatures w14:val="standardContextual"/>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GridTable5Dark-Accent11">
    <w:name w:val="Grid Table 5 Dark - Accent 11"/>
    <w:basedOn w:val="TableNormal"/>
    <w:next w:val="GridTable5Dark-Accent1"/>
    <w:uiPriority w:val="50"/>
    <w:rsid w:val="00617FC9"/>
    <w:rPr>
      <w:rFonts w:asciiTheme="minorHAnsi" w:eastAsia="Batang" w:hAnsiTheme="minorHAnsi" w:cstheme="minorBidi"/>
      <w:kern w:val="2"/>
      <w:sz w:val="24"/>
      <w:szCs w:val="24"/>
      <w:lang w:val="en-GB" w:eastAsia="en-US"/>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paragraph" w:customStyle="1" w:styleId="CommentText1">
    <w:name w:val="Comment Text1"/>
    <w:basedOn w:val="Normal"/>
    <w:uiPriority w:val="99"/>
    <w:unhideWhenUsed/>
    <w:rsid w:val="00617FC9"/>
    <w:pPr>
      <w:tabs>
        <w:tab w:val="clear" w:pos="567"/>
        <w:tab w:val="clear" w:pos="1134"/>
        <w:tab w:val="clear" w:pos="1701"/>
        <w:tab w:val="clear" w:pos="2268"/>
        <w:tab w:val="clear" w:pos="2835"/>
      </w:tabs>
      <w:overflowPunct/>
      <w:autoSpaceDE/>
      <w:autoSpaceDN/>
      <w:adjustRightInd/>
      <w:spacing w:before="240" w:after="240"/>
      <w:textAlignment w:val="auto"/>
    </w:pPr>
    <w:rPr>
      <w:rFonts w:ascii="Avenir Nxt2 W1G" w:eastAsia="Aptos" w:hAnsi="Avenir Nxt2 W1G" w:cs="Arial"/>
      <w:kern w:val="2"/>
      <w:sz w:val="20"/>
      <w14:ligatures w14:val="standardContextual"/>
    </w:rPr>
  </w:style>
  <w:style w:type="character" w:customStyle="1" w:styleId="CommentTextChar1">
    <w:name w:val="Comment Text Char1"/>
    <w:basedOn w:val="DefaultParagraphFont"/>
    <w:uiPriority w:val="99"/>
    <w:rsid w:val="00617FC9"/>
    <w:rPr>
      <w:sz w:val="20"/>
      <w:szCs w:val="20"/>
    </w:rPr>
  </w:style>
  <w:style w:type="table" w:customStyle="1" w:styleId="TableGrid1">
    <w:name w:val="Table Grid1"/>
    <w:basedOn w:val="TableNormal"/>
    <w:next w:val="TableGrid"/>
    <w:uiPriority w:val="59"/>
    <w:rsid w:val="00617FC9"/>
    <w:rPr>
      <w:rFonts w:asciiTheme="minorHAnsi" w:eastAsiaTheme="minorHAnsi" w:hAnsiTheme="minorHAnsi" w:cstheme="minorBidi"/>
      <w:kern w:val="2"/>
      <w:sz w:val="24"/>
      <w:szCs w:val="24"/>
      <w:lang w:val="en-GB" w:eastAsia="en-US"/>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CurrentList1">
    <w:name w:val="Current List1"/>
    <w:uiPriority w:val="99"/>
    <w:rsid w:val="00617FC9"/>
    <w:pPr>
      <w:numPr>
        <w:numId w:val="66"/>
      </w:numPr>
    </w:pPr>
  </w:style>
  <w:style w:type="paragraph" w:customStyle="1" w:styleId="AnnexHeading1">
    <w:name w:val="Annex Heading 1"/>
    <w:basedOn w:val="Heading2"/>
    <w:link w:val="AnnexHeading1Char"/>
    <w:qFormat/>
    <w:rsid w:val="00617FC9"/>
    <w:pPr>
      <w:numPr>
        <w:ilvl w:val="1"/>
      </w:numPr>
      <w:tabs>
        <w:tab w:val="clear" w:pos="567"/>
        <w:tab w:val="clear" w:pos="1134"/>
        <w:tab w:val="clear" w:pos="1701"/>
        <w:tab w:val="clear" w:pos="2268"/>
        <w:tab w:val="clear" w:pos="2835"/>
      </w:tabs>
      <w:overflowPunct/>
      <w:autoSpaceDE/>
      <w:autoSpaceDN/>
      <w:adjustRightInd/>
      <w:spacing w:before="360" w:after="240"/>
      <w:ind w:left="567" w:hanging="567"/>
      <w:jc w:val="both"/>
      <w:textAlignment w:val="auto"/>
    </w:pPr>
    <w:rPr>
      <w:rFonts w:ascii="Avenir Nxt2 W1G" w:eastAsiaTheme="majorEastAsia" w:hAnsi="Avenir Nxt2 W1G" w:cstheme="majorBidi"/>
      <w:b w:val="0"/>
      <w:color w:val="5F497A" w:themeColor="accent4" w:themeShade="BF"/>
      <w:kern w:val="2"/>
      <w:sz w:val="22"/>
      <w:szCs w:val="22"/>
      <w14:ligatures w14:val="standardContextual"/>
    </w:rPr>
  </w:style>
  <w:style w:type="character" w:customStyle="1" w:styleId="AnnexHeading1Char">
    <w:name w:val="Annex Heading 1 Char"/>
    <w:basedOn w:val="Heading4Char"/>
    <w:link w:val="AnnexHeading1"/>
    <w:rsid w:val="00617FC9"/>
    <w:rPr>
      <w:rFonts w:ascii="Avenir Nxt2 W1G" w:eastAsiaTheme="majorEastAsia" w:hAnsi="Avenir Nxt2 W1G" w:cstheme="majorBidi"/>
      <w:b w:val="0"/>
      <w:color w:val="5F497A" w:themeColor="accent4" w:themeShade="BF"/>
      <w:kern w:val="2"/>
      <w:sz w:val="22"/>
      <w:szCs w:val="22"/>
      <w:lang w:val="en-GB" w:eastAsia="en-US"/>
      <w14:ligatures w14:val="standardContextual"/>
    </w:rPr>
  </w:style>
  <w:style w:type="paragraph" w:customStyle="1" w:styleId="AnnexHeading2">
    <w:name w:val="Annex Heading 2"/>
    <w:basedOn w:val="Heading3"/>
    <w:link w:val="AnnexHeading2Char"/>
    <w:qFormat/>
    <w:rsid w:val="00617FC9"/>
    <w:pPr>
      <w:numPr>
        <w:ilvl w:val="2"/>
      </w:numPr>
      <w:tabs>
        <w:tab w:val="clear" w:pos="567"/>
        <w:tab w:val="clear" w:pos="1134"/>
        <w:tab w:val="clear" w:pos="1701"/>
        <w:tab w:val="clear" w:pos="2268"/>
        <w:tab w:val="clear" w:pos="2835"/>
      </w:tabs>
      <w:overflowPunct/>
      <w:autoSpaceDE/>
      <w:autoSpaceDN/>
      <w:adjustRightInd/>
      <w:spacing w:before="360" w:after="240"/>
      <w:ind w:left="544" w:hanging="544"/>
      <w:jc w:val="both"/>
      <w:textAlignment w:val="auto"/>
    </w:pPr>
    <w:rPr>
      <w:rFonts w:ascii="Avenir Nxt2 W1G" w:eastAsiaTheme="majorEastAsia" w:hAnsi="Avenir Nxt2 W1G" w:cstheme="majorBidi"/>
      <w:color w:val="00B0F0"/>
      <w:kern w:val="2"/>
      <w:sz w:val="22"/>
      <w:szCs w:val="22"/>
      <w14:ligatures w14:val="standardContextual"/>
    </w:rPr>
  </w:style>
  <w:style w:type="character" w:customStyle="1" w:styleId="AnnexHeading2Char">
    <w:name w:val="Annex Heading 2 Char"/>
    <w:basedOn w:val="Heading4Char"/>
    <w:link w:val="AnnexHeading2"/>
    <w:rsid w:val="00617FC9"/>
    <w:rPr>
      <w:rFonts w:ascii="Avenir Nxt2 W1G" w:eastAsiaTheme="majorEastAsia" w:hAnsi="Avenir Nxt2 W1G" w:cstheme="majorBidi"/>
      <w:b/>
      <w:color w:val="00B0F0"/>
      <w:kern w:val="2"/>
      <w:sz w:val="22"/>
      <w:szCs w:val="22"/>
      <w:lang w:val="en-GB" w:eastAsia="en-US"/>
      <w14:ligatures w14:val="standardContextual"/>
    </w:rPr>
  </w:style>
  <w:style w:type="paragraph" w:customStyle="1" w:styleId="AnnexHeading3">
    <w:name w:val="Annex Heading 3"/>
    <w:basedOn w:val="Heading3"/>
    <w:link w:val="AnnexHeading3Char"/>
    <w:qFormat/>
    <w:rsid w:val="00617FC9"/>
    <w:pPr>
      <w:numPr>
        <w:ilvl w:val="2"/>
        <w:numId w:val="72"/>
      </w:numPr>
      <w:tabs>
        <w:tab w:val="clear" w:pos="567"/>
        <w:tab w:val="clear" w:pos="1134"/>
        <w:tab w:val="clear" w:pos="1701"/>
        <w:tab w:val="clear" w:pos="2268"/>
        <w:tab w:val="clear" w:pos="2835"/>
      </w:tabs>
      <w:overflowPunct/>
      <w:autoSpaceDE/>
      <w:autoSpaceDN/>
      <w:adjustRightInd/>
      <w:spacing w:before="360" w:after="240"/>
      <w:jc w:val="both"/>
      <w:textAlignment w:val="auto"/>
    </w:pPr>
    <w:rPr>
      <w:rFonts w:ascii="Avenir Nxt2 W1G" w:eastAsiaTheme="majorEastAsia" w:hAnsi="Avenir Nxt2 W1G" w:cstheme="majorBidi"/>
      <w:color w:val="00B0F0"/>
      <w:kern w:val="2"/>
      <w:sz w:val="22"/>
      <w:szCs w:val="22"/>
      <w14:ligatures w14:val="standardContextual"/>
    </w:rPr>
  </w:style>
  <w:style w:type="character" w:customStyle="1" w:styleId="AnnexHeading3Char">
    <w:name w:val="Annex Heading 3 Char"/>
    <w:basedOn w:val="AnnexHeading1Char"/>
    <w:link w:val="AnnexHeading3"/>
    <w:rsid w:val="00617FC9"/>
    <w:rPr>
      <w:rFonts w:ascii="Avenir Nxt2 W1G" w:eastAsiaTheme="majorEastAsia" w:hAnsi="Avenir Nxt2 W1G" w:cstheme="majorBidi"/>
      <w:b/>
      <w:color w:val="00B0F0"/>
      <w:kern w:val="2"/>
      <w:sz w:val="22"/>
      <w:szCs w:val="22"/>
      <w:lang w:val="en-GB" w:eastAsia="en-US"/>
      <w14:ligatures w14:val="standardContextual"/>
    </w:rPr>
  </w:style>
  <w:style w:type="paragraph" w:customStyle="1" w:styleId="AnnexHeading4">
    <w:name w:val="Annex Heading 4"/>
    <w:basedOn w:val="Heading4"/>
    <w:link w:val="AnnexHeading4Char"/>
    <w:qFormat/>
    <w:rsid w:val="00617FC9"/>
    <w:pPr>
      <w:keepLines w:val="0"/>
      <w:numPr>
        <w:numId w:val="1"/>
      </w:numPr>
      <w:tabs>
        <w:tab w:val="clear" w:pos="567"/>
        <w:tab w:val="clear" w:pos="1134"/>
        <w:tab w:val="clear" w:pos="1701"/>
        <w:tab w:val="clear" w:pos="2268"/>
        <w:tab w:val="clear" w:pos="2835"/>
      </w:tabs>
      <w:overflowPunct/>
      <w:autoSpaceDE/>
      <w:autoSpaceDN/>
      <w:adjustRightInd/>
      <w:spacing w:before="360" w:after="240"/>
      <w:jc w:val="both"/>
    </w:pPr>
    <w:rPr>
      <w:rFonts w:ascii="Avenir Nxt2 W1G" w:eastAsiaTheme="majorEastAsia" w:hAnsi="Avenir Nxt2 W1G" w:cs="Segoe UI"/>
      <w:b w:val="0"/>
      <w:i/>
      <w:iCs/>
      <w:color w:val="5F497A" w:themeColor="accent4" w:themeShade="BF"/>
      <w:sz w:val="22"/>
      <w:szCs w:val="22"/>
      <w:lang w:eastAsia="en-GB"/>
    </w:rPr>
  </w:style>
  <w:style w:type="character" w:customStyle="1" w:styleId="AnnexHeading4Char">
    <w:name w:val="Annex Heading 4 Char"/>
    <w:basedOn w:val="Heading2Char"/>
    <w:link w:val="AnnexHeading4"/>
    <w:rsid w:val="00617FC9"/>
    <w:rPr>
      <w:rFonts w:ascii="Avenir Nxt2 W1G" w:eastAsiaTheme="majorEastAsia" w:hAnsi="Avenir Nxt2 W1G" w:cs="Segoe UI"/>
      <w:b w:val="0"/>
      <w:i/>
      <w:iCs/>
      <w:color w:val="5F497A" w:themeColor="accent4" w:themeShade="BF"/>
      <w:sz w:val="22"/>
      <w:szCs w:val="22"/>
      <w:lang w:val="en-GB" w:eastAsia="en-GB"/>
    </w:rPr>
  </w:style>
  <w:style w:type="paragraph" w:customStyle="1" w:styleId="Bulleta">
    <w:name w:val="Bullet a)"/>
    <w:basedOn w:val="ListParagraph"/>
    <w:link w:val="BulletaChar"/>
    <w:qFormat/>
    <w:rsid w:val="00617FC9"/>
    <w:pPr>
      <w:numPr>
        <w:numId w:val="2"/>
      </w:numPr>
      <w:spacing w:before="60" w:after="60"/>
      <w:contextualSpacing w:val="0"/>
    </w:pPr>
  </w:style>
  <w:style w:type="character" w:customStyle="1" w:styleId="ListParagraphChar">
    <w:name w:val="List Paragraph Char"/>
    <w:basedOn w:val="DefaultParagraphFont"/>
    <w:link w:val="ListParagraph"/>
    <w:uiPriority w:val="34"/>
    <w:rsid w:val="00617FC9"/>
    <w:rPr>
      <w:rFonts w:ascii="Avenir Nxt2 W1G" w:eastAsia="Aptos" w:hAnsi="Avenir Nxt2 W1G" w:cs="Arial"/>
      <w:kern w:val="2"/>
      <w:sz w:val="22"/>
      <w:szCs w:val="22"/>
      <w:lang w:val="en-GB" w:eastAsia="en-US"/>
      <w14:ligatures w14:val="standardContextual"/>
    </w:rPr>
  </w:style>
  <w:style w:type="character" w:customStyle="1" w:styleId="BulletaChar">
    <w:name w:val="Bullet a) Char"/>
    <w:basedOn w:val="ListParagraphChar"/>
    <w:link w:val="Bulleta"/>
    <w:rsid w:val="00617FC9"/>
    <w:rPr>
      <w:rFonts w:ascii="Avenir Nxt2 W1G" w:eastAsia="Aptos" w:hAnsi="Avenir Nxt2 W1G" w:cs="Arial"/>
      <w:kern w:val="2"/>
      <w:sz w:val="22"/>
      <w:szCs w:val="22"/>
      <w:lang w:val="en-GB" w:eastAsia="en-US"/>
      <w14:ligatures w14:val="standardContextual"/>
    </w:rPr>
  </w:style>
  <w:style w:type="paragraph" w:customStyle="1" w:styleId="Footnotes">
    <w:name w:val="Footnotes"/>
    <w:basedOn w:val="FootnoteText"/>
    <w:link w:val="FootnotesChar"/>
    <w:qFormat/>
    <w:rsid w:val="00617FC9"/>
    <w:pPr>
      <w:tabs>
        <w:tab w:val="clear" w:pos="284"/>
        <w:tab w:val="left" w:pos="256"/>
      </w:tabs>
      <w:spacing w:before="0"/>
      <w:ind w:left="255" w:hanging="255"/>
    </w:pPr>
    <w:rPr>
      <w:rFonts w:ascii="Avenir Nxt2 W1G" w:hAnsi="Avenir Nxt2 W1G"/>
      <w:sz w:val="18"/>
      <w:szCs w:val="18"/>
    </w:rPr>
  </w:style>
  <w:style w:type="character" w:customStyle="1" w:styleId="FootnotesChar">
    <w:name w:val="Footnotes Char"/>
    <w:basedOn w:val="FootnoteTextChar"/>
    <w:link w:val="Footnotes"/>
    <w:rsid w:val="00617FC9"/>
    <w:rPr>
      <w:rFonts w:ascii="Avenir Nxt2 W1G" w:hAnsi="Avenir Nxt2 W1G"/>
      <w:sz w:val="18"/>
      <w:szCs w:val="18"/>
      <w:lang w:val="en-GB" w:eastAsia="en-US"/>
    </w:rPr>
  </w:style>
  <w:style w:type="paragraph" w:customStyle="1" w:styleId="Texttable">
    <w:name w:val="Text table"/>
    <w:basedOn w:val="Normal"/>
    <w:link w:val="TexttableChar"/>
    <w:qFormat/>
    <w:rsid w:val="00617FC9"/>
    <w:pPr>
      <w:tabs>
        <w:tab w:val="clear" w:pos="567"/>
        <w:tab w:val="clear" w:pos="1134"/>
        <w:tab w:val="clear" w:pos="1701"/>
        <w:tab w:val="clear" w:pos="2268"/>
        <w:tab w:val="clear" w:pos="2835"/>
      </w:tabs>
      <w:overflowPunct/>
      <w:autoSpaceDE/>
      <w:autoSpaceDN/>
      <w:adjustRightInd/>
      <w:spacing w:before="60" w:after="60"/>
      <w:textAlignment w:val="auto"/>
    </w:pPr>
    <w:rPr>
      <w:rFonts w:ascii="Avenir Nxt2 W1G" w:eastAsia="Aptos" w:hAnsi="Avenir Nxt2 W1G" w:cs="Arial"/>
      <w:kern w:val="2"/>
      <w:sz w:val="20"/>
      <w14:ligatures w14:val="standardContextual"/>
    </w:rPr>
  </w:style>
  <w:style w:type="character" w:customStyle="1" w:styleId="TexttableChar">
    <w:name w:val="Text table Char"/>
    <w:basedOn w:val="DefaultParagraphFont"/>
    <w:link w:val="Texttable"/>
    <w:rsid w:val="00617FC9"/>
    <w:rPr>
      <w:rFonts w:ascii="Avenir Nxt2 W1G" w:eastAsia="Aptos" w:hAnsi="Avenir Nxt2 W1G" w:cs="Arial"/>
      <w:kern w:val="2"/>
      <w:lang w:val="en-GB" w:eastAsia="en-US"/>
      <w14:ligatures w14:val="standardContextual"/>
    </w:rPr>
  </w:style>
  <w:style w:type="paragraph" w:customStyle="1" w:styleId="Tablelist">
    <w:name w:val="Table list"/>
    <w:basedOn w:val="ListParagraph"/>
    <w:link w:val="TablelistChar"/>
    <w:qFormat/>
    <w:rsid w:val="00617FC9"/>
    <w:pPr>
      <w:numPr>
        <w:numId w:val="3"/>
      </w:numPr>
      <w:spacing w:before="60" w:after="60"/>
      <w:contextualSpacing w:val="0"/>
    </w:pPr>
  </w:style>
  <w:style w:type="character" w:customStyle="1" w:styleId="TablelistChar">
    <w:name w:val="Table list Char"/>
    <w:basedOn w:val="ListParagraphChar"/>
    <w:link w:val="Tablelist"/>
    <w:rsid w:val="00617FC9"/>
    <w:rPr>
      <w:rFonts w:ascii="Avenir Nxt2 W1G" w:eastAsia="Aptos" w:hAnsi="Avenir Nxt2 W1G" w:cs="Arial"/>
      <w:kern w:val="2"/>
      <w:sz w:val="22"/>
      <w:szCs w:val="22"/>
      <w:lang w:val="en-GB" w:eastAsia="en-US"/>
      <w14:ligatures w14:val="standardContextual"/>
    </w:rPr>
  </w:style>
  <w:style w:type="paragraph" w:customStyle="1" w:styleId="Tabletitle0">
    <w:name w:val="Table title"/>
    <w:basedOn w:val="Normal"/>
    <w:link w:val="TabletitleChar"/>
    <w:qFormat/>
    <w:rsid w:val="00617FC9"/>
    <w:pPr>
      <w:tabs>
        <w:tab w:val="clear" w:pos="567"/>
        <w:tab w:val="clear" w:pos="1134"/>
        <w:tab w:val="clear" w:pos="1701"/>
        <w:tab w:val="clear" w:pos="2268"/>
        <w:tab w:val="clear" w:pos="2835"/>
      </w:tabs>
      <w:overflowPunct/>
      <w:autoSpaceDE/>
      <w:autoSpaceDN/>
      <w:adjustRightInd/>
      <w:spacing w:before="60" w:after="60"/>
      <w:textAlignment w:val="auto"/>
    </w:pPr>
    <w:rPr>
      <w:rFonts w:ascii="Avenir Nxt2 W1G" w:eastAsia="Aptos" w:hAnsi="Avenir Nxt2 W1G" w:cs="Arial"/>
      <w:b/>
      <w:bCs/>
      <w:kern w:val="2"/>
      <w:sz w:val="20"/>
      <w14:ligatures w14:val="standardContextual"/>
    </w:rPr>
  </w:style>
  <w:style w:type="character" w:customStyle="1" w:styleId="TabletitleChar">
    <w:name w:val="Table title Char"/>
    <w:basedOn w:val="DefaultParagraphFont"/>
    <w:link w:val="Tabletitle0"/>
    <w:rsid w:val="00617FC9"/>
    <w:rPr>
      <w:rFonts w:ascii="Avenir Nxt2 W1G" w:eastAsia="Aptos" w:hAnsi="Avenir Nxt2 W1G" w:cs="Arial"/>
      <w:b/>
      <w:bCs/>
      <w:kern w:val="2"/>
      <w:lang w:val="en-GB" w:eastAsia="en-US"/>
      <w14:ligatures w14:val="standardContextual"/>
    </w:rPr>
  </w:style>
  <w:style w:type="paragraph" w:customStyle="1" w:styleId="Notes">
    <w:name w:val="Notes"/>
    <w:basedOn w:val="Normal"/>
    <w:link w:val="NotesChar"/>
    <w:qFormat/>
    <w:rsid w:val="00617FC9"/>
    <w:pPr>
      <w:tabs>
        <w:tab w:val="clear" w:pos="567"/>
        <w:tab w:val="clear" w:pos="1134"/>
        <w:tab w:val="clear" w:pos="1701"/>
        <w:tab w:val="clear" w:pos="2268"/>
        <w:tab w:val="clear" w:pos="2835"/>
      </w:tabs>
      <w:overflowPunct/>
      <w:autoSpaceDE/>
      <w:autoSpaceDN/>
      <w:adjustRightInd/>
      <w:spacing w:after="120"/>
      <w:textAlignment w:val="auto"/>
    </w:pPr>
    <w:rPr>
      <w:rFonts w:ascii="Avenir Nxt2 W1G" w:eastAsia="Aptos" w:hAnsi="Avenir Nxt2 W1G" w:cs="Arial"/>
      <w:kern w:val="2"/>
      <w:sz w:val="16"/>
      <w:szCs w:val="16"/>
      <w14:ligatures w14:val="standardContextual"/>
    </w:rPr>
  </w:style>
  <w:style w:type="character" w:customStyle="1" w:styleId="NotesChar">
    <w:name w:val="Notes Char"/>
    <w:basedOn w:val="DefaultParagraphFont"/>
    <w:link w:val="Notes"/>
    <w:rsid w:val="00617FC9"/>
    <w:rPr>
      <w:rFonts w:ascii="Avenir Nxt2 W1G" w:eastAsia="Aptos" w:hAnsi="Avenir Nxt2 W1G" w:cs="Arial"/>
      <w:kern w:val="2"/>
      <w:sz w:val="16"/>
      <w:szCs w:val="16"/>
      <w:lang w:val="en-GB" w:eastAsia="en-US"/>
      <w14:ligatures w14:val="standardContextual"/>
    </w:rPr>
  </w:style>
  <w:style w:type="paragraph" w:customStyle="1" w:styleId="SoWtitle">
    <w:name w:val="SoW title"/>
    <w:basedOn w:val="AnnexHeading3"/>
    <w:link w:val="SoWtitleChar"/>
    <w:qFormat/>
    <w:rsid w:val="00617FC9"/>
    <w:pPr>
      <w:numPr>
        <w:ilvl w:val="0"/>
        <w:numId w:val="0"/>
      </w:numPr>
      <w:jc w:val="left"/>
      <w:outlineLvl w:val="1"/>
    </w:pPr>
    <w:rPr>
      <w:bCs/>
      <w:lang w:eastAsia="en-GB"/>
    </w:rPr>
  </w:style>
  <w:style w:type="character" w:customStyle="1" w:styleId="SoWtitleChar">
    <w:name w:val="SoW title Char"/>
    <w:basedOn w:val="AnnexHeading3Char"/>
    <w:link w:val="SoWtitle"/>
    <w:rsid w:val="00617FC9"/>
    <w:rPr>
      <w:rFonts w:ascii="Avenir Nxt2 W1G" w:eastAsiaTheme="majorEastAsia" w:hAnsi="Avenir Nxt2 W1G" w:cstheme="majorBidi"/>
      <w:b/>
      <w:bCs/>
      <w:color w:val="00B0F0"/>
      <w:kern w:val="2"/>
      <w:sz w:val="22"/>
      <w:szCs w:val="22"/>
      <w:lang w:val="en-GB" w:eastAsia="en-GB"/>
      <w14:ligatures w14:val="standardContextual"/>
    </w:rPr>
  </w:style>
  <w:style w:type="paragraph" w:customStyle="1" w:styleId="Bulletlist">
    <w:name w:val="Bullet list"/>
    <w:basedOn w:val="paragraph"/>
    <w:link w:val="BulletlistChar"/>
    <w:qFormat/>
    <w:rsid w:val="00617FC9"/>
    <w:pPr>
      <w:numPr>
        <w:numId w:val="4"/>
      </w:numPr>
      <w:spacing w:before="60" w:beforeAutospacing="0" w:after="60" w:afterAutospacing="0"/>
    </w:pPr>
    <w:rPr>
      <w:rFonts w:ascii="Avenir Nxt2 W1G" w:eastAsiaTheme="majorEastAsia" w:hAnsi="Avenir Nxt2 W1G" w:cs="Segoe UI"/>
    </w:rPr>
  </w:style>
  <w:style w:type="character" w:customStyle="1" w:styleId="paragraphChar">
    <w:name w:val="paragraph Char"/>
    <w:basedOn w:val="DefaultParagraphFont"/>
    <w:link w:val="paragraph"/>
    <w:rsid w:val="00617FC9"/>
    <w:rPr>
      <w:rFonts w:ascii="Times New Roman" w:hAnsi="Times New Roman"/>
      <w:sz w:val="22"/>
      <w:szCs w:val="22"/>
      <w:lang w:val="en-GB" w:eastAsia="en-GB"/>
    </w:rPr>
  </w:style>
  <w:style w:type="character" w:customStyle="1" w:styleId="BulletlistChar">
    <w:name w:val="Bullet list Char"/>
    <w:basedOn w:val="paragraphChar"/>
    <w:link w:val="Bulletlist"/>
    <w:rsid w:val="00617FC9"/>
    <w:rPr>
      <w:rFonts w:ascii="Avenir Nxt2 W1G" w:eastAsiaTheme="majorEastAsia" w:hAnsi="Avenir Nxt2 W1G" w:cs="Segoe UI"/>
      <w:sz w:val="22"/>
      <w:szCs w:val="22"/>
      <w:lang w:val="en-GB" w:eastAsia="en-GB"/>
    </w:rPr>
  </w:style>
  <w:style w:type="paragraph" w:customStyle="1" w:styleId="Subtitleitalic">
    <w:name w:val="Subtitle italic"/>
    <w:basedOn w:val="Subtitle0"/>
    <w:link w:val="SubtitleitalicChar"/>
    <w:qFormat/>
    <w:rsid w:val="00617FC9"/>
    <w:rPr>
      <w:b w:val="0"/>
      <w:bCs w:val="0"/>
      <w:i/>
      <w:iCs/>
    </w:rPr>
  </w:style>
  <w:style w:type="character" w:customStyle="1" w:styleId="SubtitleitalicChar">
    <w:name w:val="Subtitle italic Char"/>
    <w:basedOn w:val="SubtitleChar"/>
    <w:link w:val="Subtitleitalic"/>
    <w:rsid w:val="00617FC9"/>
    <w:rPr>
      <w:rFonts w:ascii="Avenir Nxt2 W1G" w:eastAsia="Aptos" w:hAnsi="Avenir Nxt2 W1G" w:cs="Arial"/>
      <w:b w:val="0"/>
      <w:bCs w:val="0"/>
      <w:i/>
      <w:iCs/>
      <w:kern w:val="2"/>
      <w:sz w:val="22"/>
      <w:szCs w:val="22"/>
      <w:lang w:val="en-GB" w:eastAsia="en-GB"/>
      <w14:ligatures w14:val="standardContextual"/>
    </w:rPr>
  </w:style>
  <w:style w:type="paragraph" w:styleId="TOCHeading">
    <w:name w:val="TOC Heading"/>
    <w:basedOn w:val="Heading1"/>
    <w:next w:val="Normal"/>
    <w:uiPriority w:val="39"/>
    <w:unhideWhenUsed/>
    <w:qFormat/>
    <w:rsid w:val="00617FC9"/>
    <w:pPr>
      <w:tabs>
        <w:tab w:val="clear" w:pos="567"/>
        <w:tab w:val="clear" w:pos="1134"/>
        <w:tab w:val="clear" w:pos="1701"/>
        <w:tab w:val="clear" w:pos="2268"/>
        <w:tab w:val="clear" w:pos="2835"/>
      </w:tabs>
      <w:overflowPunct/>
      <w:autoSpaceDE/>
      <w:autoSpaceDN/>
      <w:adjustRightInd/>
      <w:spacing w:before="240" w:line="259" w:lineRule="auto"/>
      <w:ind w:left="0" w:firstLine="0"/>
      <w:jc w:val="both"/>
      <w:textAlignment w:val="auto"/>
      <w:outlineLvl w:val="9"/>
    </w:pPr>
    <w:rPr>
      <w:rFonts w:ascii="Avenir Nxt2 W1G" w:eastAsiaTheme="majorEastAsia" w:hAnsi="Avenir Nxt2 W1G" w:cstheme="majorBidi"/>
      <w:b w:val="0"/>
      <w:color w:val="5F497A" w:themeColor="accent4" w:themeShade="BF"/>
      <w:sz w:val="22"/>
      <w:szCs w:val="32"/>
      <w:lang w:val="en-US"/>
    </w:rPr>
  </w:style>
  <w:style w:type="paragraph" w:customStyle="1" w:styleId="WMOBodyText">
    <w:name w:val="WMO_BodyText"/>
    <w:link w:val="WMOBodyTextCharChar"/>
    <w:qFormat/>
    <w:rsid w:val="00617FC9"/>
    <w:pPr>
      <w:spacing w:before="240"/>
    </w:pPr>
    <w:rPr>
      <w:rFonts w:ascii="Verdana" w:eastAsia="Verdana" w:hAnsi="Verdana" w:cs="Verdana"/>
      <w:lang w:val="en-GB" w:eastAsia="zh-TW"/>
    </w:rPr>
  </w:style>
  <w:style w:type="character" w:customStyle="1" w:styleId="WMOBodyTextCharChar">
    <w:name w:val="WMO_BodyText Char Char"/>
    <w:basedOn w:val="DefaultParagraphFont"/>
    <w:link w:val="WMOBodyText"/>
    <w:rsid w:val="00617FC9"/>
    <w:rPr>
      <w:rFonts w:ascii="Verdana" w:eastAsia="Verdana" w:hAnsi="Verdana" w:cs="Verdana"/>
      <w:lang w:val="en-GB" w:eastAsia="zh-TW"/>
    </w:rPr>
  </w:style>
  <w:style w:type="paragraph" w:customStyle="1" w:styleId="KPItitle">
    <w:name w:val="KPI title"/>
    <w:basedOn w:val="SoWtitle"/>
    <w:link w:val="KPItitleChar"/>
    <w:qFormat/>
    <w:rsid w:val="00617FC9"/>
    <w:pPr>
      <w:outlineLvl w:val="2"/>
    </w:pPr>
  </w:style>
  <w:style w:type="character" w:styleId="SubtleEmphasis">
    <w:name w:val="Subtle Emphasis"/>
    <w:basedOn w:val="DefaultParagraphFont"/>
    <w:uiPriority w:val="19"/>
    <w:qFormat/>
    <w:rsid w:val="00617FC9"/>
    <w:rPr>
      <w:i/>
      <w:iCs/>
      <w:color w:val="404040" w:themeColor="text1" w:themeTint="BF"/>
    </w:rPr>
  </w:style>
  <w:style w:type="paragraph" w:customStyle="1" w:styleId="SubHeadingRegion">
    <w:name w:val="Sub Heading Region"/>
    <w:basedOn w:val="Normal"/>
    <w:link w:val="SubHeadingRegionChar"/>
    <w:qFormat/>
    <w:rsid w:val="00617FC9"/>
    <w:pPr>
      <w:tabs>
        <w:tab w:val="clear" w:pos="567"/>
        <w:tab w:val="clear" w:pos="1134"/>
        <w:tab w:val="clear" w:pos="1701"/>
        <w:tab w:val="clear" w:pos="2268"/>
        <w:tab w:val="clear" w:pos="2835"/>
      </w:tabs>
      <w:overflowPunct/>
      <w:autoSpaceDE/>
      <w:autoSpaceDN/>
      <w:adjustRightInd/>
      <w:spacing w:before="240" w:after="240"/>
      <w:textAlignment w:val="auto"/>
    </w:pPr>
    <w:rPr>
      <w:rFonts w:ascii="Avenir Nxt2 W1G" w:eastAsia="Aptos" w:hAnsi="Avenir Nxt2 W1G" w:cs="Arial"/>
      <w:kern w:val="2"/>
      <w:sz w:val="22"/>
      <w:szCs w:val="22"/>
      <w14:ligatures w14:val="standardContextual"/>
    </w:rPr>
  </w:style>
  <w:style w:type="character" w:customStyle="1" w:styleId="SubHeadingRegionChar">
    <w:name w:val="Sub Heading Region Char"/>
    <w:basedOn w:val="DefaultParagraphFont"/>
    <w:link w:val="SubHeadingRegion"/>
    <w:rsid w:val="00617FC9"/>
    <w:rPr>
      <w:rFonts w:ascii="Avenir Nxt2 W1G" w:eastAsia="Aptos" w:hAnsi="Avenir Nxt2 W1G" w:cs="Arial"/>
      <w:kern w:val="2"/>
      <w:sz w:val="22"/>
      <w:szCs w:val="22"/>
      <w:lang w:val="en-GB" w:eastAsia="en-US"/>
      <w14:ligatures w14:val="standardContextual"/>
    </w:rPr>
  </w:style>
  <w:style w:type="paragraph" w:customStyle="1" w:styleId="HeadingRegion">
    <w:name w:val="Heading Region"/>
    <w:basedOn w:val="Normal"/>
    <w:link w:val="HeadingRegionChar"/>
    <w:qFormat/>
    <w:rsid w:val="00617FC9"/>
    <w:pPr>
      <w:tabs>
        <w:tab w:val="clear" w:pos="567"/>
        <w:tab w:val="clear" w:pos="1134"/>
        <w:tab w:val="clear" w:pos="1701"/>
        <w:tab w:val="clear" w:pos="2268"/>
        <w:tab w:val="clear" w:pos="2835"/>
      </w:tabs>
      <w:overflowPunct/>
      <w:autoSpaceDE/>
      <w:autoSpaceDN/>
      <w:adjustRightInd/>
      <w:spacing w:before="240" w:after="240"/>
      <w:textAlignment w:val="auto"/>
    </w:pPr>
    <w:rPr>
      <w:rFonts w:ascii="Avenir Nxt2 W1G" w:eastAsia="Aptos" w:hAnsi="Avenir Nxt2 W1G" w:cs="Arial"/>
      <w:b/>
      <w:bCs/>
      <w:color w:val="5F497A" w:themeColor="accent4" w:themeShade="BF"/>
      <w:kern w:val="2"/>
      <w:sz w:val="22"/>
      <w:szCs w:val="22"/>
      <w:lang w:eastAsia="en-GB"/>
      <w14:ligatures w14:val="standardContextual"/>
    </w:rPr>
  </w:style>
  <w:style w:type="character" w:customStyle="1" w:styleId="HeadingRegionChar">
    <w:name w:val="Heading Region Char"/>
    <w:basedOn w:val="DefaultParagraphFont"/>
    <w:link w:val="HeadingRegion"/>
    <w:rsid w:val="00617FC9"/>
    <w:rPr>
      <w:rFonts w:ascii="Avenir Nxt2 W1G" w:eastAsia="Aptos" w:hAnsi="Avenir Nxt2 W1G" w:cs="Arial"/>
      <w:b/>
      <w:bCs/>
      <w:color w:val="5F497A" w:themeColor="accent4" w:themeShade="BF"/>
      <w:kern w:val="2"/>
      <w:sz w:val="22"/>
      <w:szCs w:val="22"/>
      <w:lang w:val="en-GB" w:eastAsia="en-GB"/>
      <w14:ligatures w14:val="standardContextual"/>
    </w:rPr>
  </w:style>
  <w:style w:type="paragraph" w:customStyle="1" w:styleId="TitleKPI">
    <w:name w:val="Title KPI_"/>
    <w:basedOn w:val="ListParagraph"/>
    <w:link w:val="TitleKPIChar"/>
    <w:qFormat/>
    <w:rsid w:val="00617FC9"/>
    <w:pPr>
      <w:numPr>
        <w:numId w:val="52"/>
      </w:numPr>
      <w:ind w:left="357" w:hanging="357"/>
      <w:contextualSpacing w:val="0"/>
    </w:pPr>
  </w:style>
  <w:style w:type="character" w:customStyle="1" w:styleId="TitleKPIChar">
    <w:name w:val="Title KPI_ Char"/>
    <w:basedOn w:val="ListParagraphChar"/>
    <w:link w:val="TitleKPI"/>
    <w:rsid w:val="00617FC9"/>
    <w:rPr>
      <w:rFonts w:ascii="Avenir Nxt2 W1G" w:eastAsia="Aptos" w:hAnsi="Avenir Nxt2 W1G" w:cs="Arial"/>
      <w:kern w:val="2"/>
      <w:sz w:val="22"/>
      <w:szCs w:val="22"/>
      <w:lang w:val="en-GB" w:eastAsia="en-US"/>
      <w14:ligatures w14:val="standardContextual"/>
    </w:rPr>
  </w:style>
  <w:style w:type="character" w:customStyle="1" w:styleId="KPItitleChar">
    <w:name w:val="KPI title Char"/>
    <w:basedOn w:val="SoWtitleChar"/>
    <w:link w:val="KPItitle"/>
    <w:rsid w:val="00617FC9"/>
    <w:rPr>
      <w:rFonts w:ascii="Avenir Nxt2 W1G" w:eastAsiaTheme="majorEastAsia" w:hAnsi="Avenir Nxt2 W1G" w:cstheme="majorBidi"/>
      <w:b/>
      <w:bCs/>
      <w:color w:val="00B0F0"/>
      <w:kern w:val="2"/>
      <w:sz w:val="22"/>
      <w:szCs w:val="22"/>
      <w:lang w:val="en-GB" w:eastAsia="en-GB"/>
      <w14:ligatures w14:val="standardContextual"/>
    </w:rPr>
  </w:style>
  <w:style w:type="character" w:styleId="EndnoteReference">
    <w:name w:val="endnote reference"/>
    <w:basedOn w:val="DefaultParagraphFont"/>
    <w:uiPriority w:val="99"/>
    <w:semiHidden/>
    <w:unhideWhenUsed/>
    <w:rsid w:val="00617FC9"/>
    <w:rPr>
      <w:vertAlign w:val="superscript"/>
    </w:rPr>
  </w:style>
  <w:style w:type="paragraph" w:styleId="Date">
    <w:name w:val="Date"/>
    <w:basedOn w:val="Normal"/>
    <w:next w:val="Normal"/>
    <w:link w:val="DateChar"/>
    <w:uiPriority w:val="99"/>
    <w:unhideWhenUsed/>
    <w:rsid w:val="00617FC9"/>
    <w:pPr>
      <w:tabs>
        <w:tab w:val="clear" w:pos="567"/>
        <w:tab w:val="clear" w:pos="1134"/>
        <w:tab w:val="clear" w:pos="1701"/>
        <w:tab w:val="clear" w:pos="2268"/>
        <w:tab w:val="clear" w:pos="2835"/>
      </w:tabs>
      <w:overflowPunct/>
      <w:autoSpaceDE/>
      <w:autoSpaceDN/>
      <w:adjustRightInd/>
      <w:spacing w:before="240" w:after="240"/>
      <w:textAlignment w:val="auto"/>
    </w:pPr>
    <w:rPr>
      <w:rFonts w:ascii="Avenir Nxt2 W1G" w:eastAsia="Aptos" w:hAnsi="Avenir Nxt2 W1G" w:cs="Arial"/>
      <w:kern w:val="2"/>
      <w:sz w:val="22"/>
      <w:szCs w:val="22"/>
      <w14:ligatures w14:val="standardContextual"/>
    </w:rPr>
  </w:style>
  <w:style w:type="character" w:customStyle="1" w:styleId="DateChar">
    <w:name w:val="Date Char"/>
    <w:basedOn w:val="DefaultParagraphFont"/>
    <w:link w:val="Date"/>
    <w:uiPriority w:val="99"/>
    <w:rsid w:val="00617FC9"/>
    <w:rPr>
      <w:rFonts w:ascii="Avenir Nxt2 W1G" w:eastAsia="Aptos" w:hAnsi="Avenir Nxt2 W1G" w:cs="Arial"/>
      <w:kern w:val="2"/>
      <w:sz w:val="22"/>
      <w:szCs w:val="22"/>
      <w:lang w:val="en-GB" w:eastAsia="en-US"/>
      <w14:ligatures w14:val="standardContextual"/>
    </w:rPr>
  </w:style>
  <w:style w:type="table" w:styleId="GridTable4-Accent1">
    <w:name w:val="Grid Table 4 Accent 1"/>
    <w:basedOn w:val="TableNormal"/>
    <w:uiPriority w:val="49"/>
    <w:rsid w:val="00617FC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Committee">
    <w:name w:val="Committee"/>
    <w:basedOn w:val="Normal"/>
    <w:qFormat/>
    <w:rsid w:val="00B17647"/>
    <w:pPr>
      <w:framePr w:hSpace="180" w:wrap="around" w:hAnchor="margin" w:y="-675"/>
      <w:tabs>
        <w:tab w:val="clear" w:pos="567"/>
        <w:tab w:val="clear" w:pos="1701"/>
        <w:tab w:val="clear" w:pos="2835"/>
        <w:tab w:val="left" w:pos="851"/>
        <w:tab w:val="left" w:pos="1871"/>
      </w:tabs>
      <w:spacing w:before="0" w:line="240" w:lineRule="atLeast"/>
    </w:pPr>
    <w:rPr>
      <w:rFonts w:asciiTheme="minorHAnsi" w:eastAsia="Batang" w:hAnsiTheme="minorHAnsi" w:cstheme="minorHAnsi"/>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view.officeapps.live.com/op/view.aspx?src=https%3A%2F%2Fwww.itu.int%2Fdms_pub%2Fitu-s%2Fmd%2F23%2Fcl%2Fc%2FS23-CL-C-0115!!MSW-E.docx&amp;wdOrigin=BROWSELINK" TargetMode="External"/><Relationship Id="rId21" Type="http://schemas.openxmlformats.org/officeDocument/2006/relationships/hyperlink" Target="https://www.itu.int/md/S25-CL-C-0105/en" TargetMode="External"/><Relationship Id="rId42" Type="http://schemas.openxmlformats.org/officeDocument/2006/relationships/image" Target="media/image7.png"/><Relationship Id="rId63" Type="http://schemas.openxmlformats.org/officeDocument/2006/relationships/hyperlink" Target="https://www.itu.int/md/D22-TDAG32-C-0037/en" TargetMode="External"/><Relationship Id="rId84" Type="http://schemas.openxmlformats.org/officeDocument/2006/relationships/hyperlink" Target="https://www.itu.int/md/D22-TDAG30-C-0007/" TargetMode="External"/><Relationship Id="rId138" Type="http://schemas.openxmlformats.org/officeDocument/2006/relationships/header" Target="header1.xml"/><Relationship Id="rId107" Type="http://schemas.openxmlformats.org/officeDocument/2006/relationships/hyperlink" Target="https://www.itu.int/en/council/planning/Documents/ITU-Annual-report-2024-english.pdf" TargetMode="External"/><Relationship Id="rId11" Type="http://schemas.openxmlformats.org/officeDocument/2006/relationships/image" Target="media/image1.jpeg"/><Relationship Id="rId32" Type="http://schemas.openxmlformats.org/officeDocument/2006/relationships/hyperlink" Target="https://www.itu.int/md/S25-CWGFHR21-C-0025/en" TargetMode="External"/><Relationship Id="rId53" Type="http://schemas.openxmlformats.org/officeDocument/2006/relationships/hyperlink" Target="https://www.itu.int/md/T25-TSAG-250526-TD-GEN-0137" TargetMode="External"/><Relationship Id="rId74" Type="http://schemas.openxmlformats.org/officeDocument/2006/relationships/hyperlink" Target="https://www.itu.int/en/council/dashboard/Pages/HumanResourcesReport.aspx" TargetMode="External"/><Relationship Id="rId128" Type="http://schemas.openxmlformats.org/officeDocument/2006/relationships/hyperlink" Target="https://www.itu.int/md/D22-WTDC25-C-0002/en" TargetMode="External"/><Relationship Id="rId5" Type="http://schemas.openxmlformats.org/officeDocument/2006/relationships/numbering" Target="numbering.xml"/><Relationship Id="rId90" Type="http://schemas.openxmlformats.org/officeDocument/2006/relationships/image" Target="media/image10.png"/><Relationship Id="rId95" Type="http://schemas.openxmlformats.org/officeDocument/2006/relationships/hyperlink" Target="https://www.itu.int/md/S25-CWGSFP3-C-0006/en" TargetMode="External"/><Relationship Id="rId22" Type="http://schemas.openxmlformats.org/officeDocument/2006/relationships/hyperlink" Target="https://www.itu.int/md/S25-CL-C-0105/en" TargetMode="External"/><Relationship Id="rId27" Type="http://schemas.openxmlformats.org/officeDocument/2006/relationships/hyperlink" Target="https://www.itu.int/md/S26-CWGFHR22-C-0004/en" TargetMode="External"/><Relationship Id="rId43" Type="http://schemas.openxmlformats.org/officeDocument/2006/relationships/hyperlink" Target="https://www.itu.int/md/S26-CWGFHR22-C-0004/en" TargetMode="External"/><Relationship Id="rId48" Type="http://schemas.openxmlformats.org/officeDocument/2006/relationships/hyperlink" Target="https://www.itu.int/md/D22-TDAG32-C-0040/en" TargetMode="External"/><Relationship Id="rId64" Type="http://schemas.openxmlformats.org/officeDocument/2006/relationships/hyperlink" Target="https://www.itu.int/md/D22-WTDC25-C-0002/en" TargetMode="External"/><Relationship Id="rId69" Type="http://schemas.openxmlformats.org/officeDocument/2006/relationships/hyperlink" Target="https://www.itu.int/md/D22-TDAG31-C-0002/en" TargetMode="External"/><Relationship Id="rId113" Type="http://schemas.openxmlformats.org/officeDocument/2006/relationships/hyperlink" Target="https://view.officeapps.live.com/op/view.aspx?src=https%3A%2F%2Fwww.itu.int%2Fdms_pub%2Fitu-s%2Fmd%2F25%2Fcl%2Fc%2FS25-CL-C-0066!!MSW-E.docx&amp;wdOrigin=BROWSELINK" TargetMode="External"/><Relationship Id="rId118" Type="http://schemas.openxmlformats.org/officeDocument/2006/relationships/hyperlink" Target="https://view.officeapps.live.com/op/view.aspx?src=https%3A%2F%2Fwww.itu.int%2Fdms_pub%2Fitu-s%2Fmd%2F21%2Fcl%2Fc%2FS21-CL-C-0097!!MSW-E.docx&amp;wdOrigin=BROWSELINK" TargetMode="External"/><Relationship Id="rId134" Type="http://schemas.openxmlformats.org/officeDocument/2006/relationships/hyperlink" Target="https://www.itu.int/md/S26-CWGFHR22-C-0004/en" TargetMode="External"/><Relationship Id="rId139" Type="http://schemas.openxmlformats.org/officeDocument/2006/relationships/footer" Target="footer1.xml"/><Relationship Id="rId80" Type="http://schemas.openxmlformats.org/officeDocument/2006/relationships/hyperlink" Target="https://www.itu.int/md/D22-WTDC25-C-0002/en" TargetMode="External"/><Relationship Id="rId85" Type="http://schemas.openxmlformats.org/officeDocument/2006/relationships/hyperlink" Target="https://www.itu.int/md/D22-TDAG31-C-0004/" TargetMode="External"/><Relationship Id="rId12" Type="http://schemas.openxmlformats.org/officeDocument/2006/relationships/image" Target="media/image2.jpeg"/><Relationship Id="rId17" Type="http://schemas.openxmlformats.org/officeDocument/2006/relationships/hyperlink" Target="https://www.itu.int/md/S25-CWGFHR20-C-0032/en" TargetMode="External"/><Relationship Id="rId33" Type="http://schemas.openxmlformats.org/officeDocument/2006/relationships/hyperlink" Target="https://www.itu.int/md/S26-CWGFHR22-C-0004/en" TargetMode="External"/><Relationship Id="rId38" Type="http://schemas.openxmlformats.org/officeDocument/2006/relationships/hyperlink" Target="https://www.itu.int/md/T25-TSAG-260126-TD-GEN-0313/en" TargetMode="External"/><Relationship Id="rId59" Type="http://schemas.openxmlformats.org/officeDocument/2006/relationships/hyperlink" Target="https://www.itu.int/md/R23-RAG-C-0037/en" TargetMode="External"/><Relationship Id="rId103" Type="http://schemas.openxmlformats.org/officeDocument/2006/relationships/hyperlink" Target="https://www.itu.int/md/S25-CWGSFP3-C-0007/en" TargetMode="External"/><Relationship Id="rId108" Type="http://schemas.openxmlformats.org/officeDocument/2006/relationships/hyperlink" Target="https://www.itu.int/md/D22-TDAG32-C-0002/en" TargetMode="External"/><Relationship Id="rId124" Type="http://schemas.openxmlformats.org/officeDocument/2006/relationships/hyperlink" Target="https://www.itu.int/en/council/dashboard/Pages/HumanResourcesReport.aspx" TargetMode="External"/><Relationship Id="rId129" Type="http://schemas.openxmlformats.org/officeDocument/2006/relationships/hyperlink" Target="https://view.officeapps.live.com/op/view.aspx?src=https%3A%2F%2Fwww.itu.int%2Fdms_pub%2Fitu-s%2Fmd%2F25%2Fcl%2Fc%2FS25-CL-C-0066!!MSW-E.docx&amp;wdOrigin=BROWSELINK" TargetMode="External"/><Relationship Id="rId54" Type="http://schemas.openxmlformats.org/officeDocument/2006/relationships/hyperlink" Target="https://www.itu.int/md/R23-RAG-C-0037/en" TargetMode="External"/><Relationship Id="rId70" Type="http://schemas.openxmlformats.org/officeDocument/2006/relationships/hyperlink" Target="https://www.itu.int/md/D22-TDAG32-C-0040/en" TargetMode="External"/><Relationship Id="rId75" Type="http://schemas.openxmlformats.org/officeDocument/2006/relationships/hyperlink" Target="https://www.itu.int/en/ITU-D/Pages/Regional-Presence.aspx" TargetMode="External"/><Relationship Id="rId91" Type="http://schemas.openxmlformats.org/officeDocument/2006/relationships/image" Target="media/image11.png"/><Relationship Id="rId96" Type="http://schemas.openxmlformats.org/officeDocument/2006/relationships/hyperlink" Target="https://www.itu.int/md/S25-CL-C-0035/en" TargetMode="External"/><Relationship Id="rId140" Type="http://schemas.openxmlformats.org/officeDocument/2006/relationships/footer" Target="footer2.xm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itu.int/md/S25-CL-C-0105/en" TargetMode="External"/><Relationship Id="rId28" Type="http://schemas.openxmlformats.org/officeDocument/2006/relationships/hyperlink" Target="https://www.itu.int/md/S26-CWGFHR22-C-0004/en" TargetMode="External"/><Relationship Id="rId49" Type="http://schemas.openxmlformats.org/officeDocument/2006/relationships/hyperlink" Target="https://www.itu.int/en/ITU-D/Conferences/TDAG/Pages/dashboards/2025/Regional-Initiatives.aspx" TargetMode="External"/><Relationship Id="rId114" Type="http://schemas.openxmlformats.org/officeDocument/2006/relationships/hyperlink" Target="https://view.officeapps.live.com/op/view.aspx?src=https%3A%2F%2Fwww.itu.int%2Fdms_pub%2Fitu-s%2Fmd%2F25%2Fcl%2Fc%2FS25-CL-C-0025!R1!MSW-E.docx&amp;wdOrigin=BROWSELINK" TargetMode="External"/><Relationship Id="rId119" Type="http://schemas.openxmlformats.org/officeDocument/2006/relationships/hyperlink" Target="https://www.itu.int/en/council/planning/Documents/ITU-Annual-report-2024-english.pdf" TargetMode="External"/><Relationship Id="rId44" Type="http://schemas.openxmlformats.org/officeDocument/2006/relationships/hyperlink" Target="https://www.itu.int/dms_pub/itu-s/md/25/cl/c/S25-CL-C-0035!!MSW-E.docx" TargetMode="External"/><Relationship Id="rId60" Type="http://schemas.openxmlformats.org/officeDocument/2006/relationships/hyperlink" Target="https://www.itu.int/md/T25-TSAG-250526-TD-GEN-0137" TargetMode="External"/><Relationship Id="rId65" Type="http://schemas.openxmlformats.org/officeDocument/2006/relationships/hyperlink" Target="https://view.officeapps.live.com/op/view.aspx?src=https%3A%2F%2Fwww.itu.int%2Fdms_pub%2Fitu-s%2Fmd%2F25%2Fcl%2Fc%2FS25-CL-C-0066!!MSW-E.docx&amp;wdOrigin=BROWSELINK" TargetMode="External"/><Relationship Id="rId81" Type="http://schemas.openxmlformats.org/officeDocument/2006/relationships/hyperlink" Target="https://view.officeapps.live.com/op/view.aspx?src=https%3A%2F%2Fwww.itu.int%2Fdms_pub%2Fitu-s%2Fmd%2F21%2Fcl%2Fc%2FS21-CL-C-0097!!MSW-E.docx&amp;wdOrigin=BROWSELINK" TargetMode="External"/><Relationship Id="rId86" Type="http://schemas.openxmlformats.org/officeDocument/2006/relationships/hyperlink" Target="https://www.itu.int/md/S24-CL-C-0066/en" TargetMode="External"/><Relationship Id="rId130" Type="http://schemas.openxmlformats.org/officeDocument/2006/relationships/hyperlink" Target="https://view.officeapps.live.com/op/view.aspx?src=https%3A%2F%2Fwww.itu.int%2Fdms_pub%2Fitu-s%2Fmd%2F25%2Fcl%2Fc%2FS25-CL-C-0025!R1!MSW-E.docx&amp;wdOrigin=BROWSELINK" TargetMode="External"/><Relationship Id="rId135" Type="http://schemas.openxmlformats.org/officeDocument/2006/relationships/hyperlink" Target="https://www.itu.int/md/S25-CL-C-0105/en" TargetMode="External"/><Relationship Id="rId13" Type="http://schemas.openxmlformats.org/officeDocument/2006/relationships/image" Target="media/image3.png"/><Relationship Id="rId18" Type="http://schemas.openxmlformats.org/officeDocument/2006/relationships/hyperlink" Target="https://www.itu.int/md/S25-CL-C-0105/en" TargetMode="External"/><Relationship Id="rId39" Type="http://schemas.openxmlformats.org/officeDocument/2006/relationships/hyperlink" Target="https://www.itu.int/en/council/ties/Documents/2026/Review-of-the-ITU-Regional-Presence.pdf" TargetMode="External"/><Relationship Id="rId109" Type="http://schemas.openxmlformats.org/officeDocument/2006/relationships/hyperlink" Target="https://view.officeapps.live.com/op/view.aspx?src=https%3A%2F%2Fwww.itu.int%2Fdms_pub%2Fitu-s%2Fmd%2F25%2Fcl%2Fc%2FS25-CL-C-0025!R1!MSW-E.docx&amp;wdOrigin=BROWSELINK" TargetMode="External"/><Relationship Id="rId34" Type="http://schemas.openxmlformats.org/officeDocument/2006/relationships/hyperlink" Target="https://www.itu.int/md/S26-CWGFHR22-C-0004/en" TargetMode="External"/><Relationship Id="rId50" Type="http://schemas.openxmlformats.org/officeDocument/2006/relationships/hyperlink" Target="https://www.itu.int/en/ITU-D/Conferences/TDAG/Pages/dashboards/2025/Operational-Plan-Reporting-Dashboard.aspx" TargetMode="External"/><Relationship Id="rId55" Type="http://schemas.openxmlformats.org/officeDocument/2006/relationships/hyperlink" Target="https://www.itu.int/md/D22-TDAG32-C-0040/en" TargetMode="External"/><Relationship Id="rId76" Type="http://schemas.openxmlformats.org/officeDocument/2006/relationships/hyperlink" Target="https://www.itu.int/dms_pub/itu-s/md/25/cl/c/S25-CL-C-0035!!MSW-E.docx" TargetMode="External"/><Relationship Id="rId97" Type="http://schemas.openxmlformats.org/officeDocument/2006/relationships/hyperlink" Target="https://www.itu.int/md/S25-CL-C-0025" TargetMode="External"/><Relationship Id="rId104" Type="http://schemas.openxmlformats.org/officeDocument/2006/relationships/hyperlink" Target="https://www.itu.int/en/fellowships/Documents/2021/SO_21-02_E.pdf" TargetMode="External"/><Relationship Id="rId120" Type="http://schemas.openxmlformats.org/officeDocument/2006/relationships/hyperlink" Target="https://view.officeapps.live.com/op/view.aspx?src=https%3A%2F%2Fwww.itu.int%2Fdms_pub%2Fitu-s%2Fmd%2F25%2Fcwgsfp3%2Fc%2FS25-CWGSFP3-C-0007!!MSW-E.docx&amp;wdOrigin=BROWSELINK" TargetMode="External"/><Relationship Id="rId125" Type="http://schemas.openxmlformats.org/officeDocument/2006/relationships/hyperlink" Target="https://view.officeapps.live.com/op/view.aspx?src=https%3A%2F%2Fwww.itu.int%2Fdms_pub%2Fitu-d%2Fmd%2F22%2Ftdag30%2Fc%2FD22-TDAG30-C-0046!!MSW-E.docx&amp;wdOrigin=BROWSELINK" TargetMode="External"/><Relationship Id="rId141" Type="http://schemas.openxmlformats.org/officeDocument/2006/relationships/header" Target="header2.xml"/><Relationship Id="rId14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itu.int/en/ITU-D/Conferences/TDAG/Pages/dashboards/2025/Regional-Initiatives.aspx" TargetMode="External"/><Relationship Id="rId92" Type="http://schemas.openxmlformats.org/officeDocument/2006/relationships/hyperlink" Target="https://www.itu.int/md/S26-CWGFHR22-C-0004" TargetMode="External"/><Relationship Id="rId2" Type="http://schemas.openxmlformats.org/officeDocument/2006/relationships/customXml" Target="../customXml/item2.xml"/><Relationship Id="rId29" Type="http://schemas.openxmlformats.org/officeDocument/2006/relationships/hyperlink" Target="https://www.itu.int/en/ITU-D/Statistics/Pages/surveys/2026/Regional-Presence-Survey-Dashboard.aspx" TargetMode="External"/><Relationship Id="rId24" Type="http://schemas.openxmlformats.org/officeDocument/2006/relationships/hyperlink" Target="https://www.itu.int/dms_pub/itu-d/md/22/bdt/cir/D22-BDT-CIR-0084!!PDF-E.pdf" TargetMode="External"/><Relationship Id="rId40" Type="http://schemas.openxmlformats.org/officeDocument/2006/relationships/hyperlink" Target="https://www.itu.int/md/R23-RAG-C-0066/en" TargetMode="External"/><Relationship Id="rId45" Type="http://schemas.openxmlformats.org/officeDocument/2006/relationships/hyperlink" Target="https://www.itu.int/md/S25-CWGSFP3-C-0007/en" TargetMode="External"/><Relationship Id="rId66" Type="http://schemas.openxmlformats.org/officeDocument/2006/relationships/hyperlink" Target="https://www.itu.int/net4/Search/CL25/Main/Reader" TargetMode="External"/><Relationship Id="rId87" Type="http://schemas.openxmlformats.org/officeDocument/2006/relationships/hyperlink" Target="https://www.itu.int/md/S23-CWGFHR16-C-0010/en" TargetMode="External"/><Relationship Id="rId110" Type="http://schemas.openxmlformats.org/officeDocument/2006/relationships/hyperlink" Target="https://www.itu.int/md/T25-TSAG-250526-TD-GEN-0067/en" TargetMode="External"/><Relationship Id="rId115" Type="http://schemas.openxmlformats.org/officeDocument/2006/relationships/hyperlink" Target="http://web.itu.int/dms_pub/itu-s/opb/conf/S-CONF-ACTF-2022-PDF-E.pdf" TargetMode="External"/><Relationship Id="rId131" Type="http://schemas.openxmlformats.org/officeDocument/2006/relationships/hyperlink" Target="https://www.itu.int/en/council/planning/Documents/ITU-Annual-report-2024-english.pdf" TargetMode="External"/><Relationship Id="rId136" Type="http://schemas.openxmlformats.org/officeDocument/2006/relationships/hyperlink" Target="https://www.itu.int/md/S25-CL-C-0069/en" TargetMode="External"/><Relationship Id="rId61" Type="http://schemas.openxmlformats.org/officeDocument/2006/relationships/hyperlink" Target="https://www.itu.int/md/D22-TDAG32-C-0040/en" TargetMode="External"/><Relationship Id="rId82" Type="http://schemas.openxmlformats.org/officeDocument/2006/relationships/hyperlink" Target="https://view.officeapps.live.com/op/view.aspx?src=https%3A%2F%2Fwww.itu.int%2Fdms_pub%2Fitu-s%2Fmd%2F23%2Fcl%2Fc%2FS23-CL-C-0115!!MSW-E.docx&amp;wdOrigin=BROWSELINK" TargetMode="External"/><Relationship Id="rId19" Type="http://schemas.openxmlformats.org/officeDocument/2006/relationships/hyperlink" Target="https://www.itu.int/md/S25-CL-C-0069/en" TargetMode="External"/><Relationship Id="rId14" Type="http://schemas.openxmlformats.org/officeDocument/2006/relationships/image" Target="media/image4.png"/><Relationship Id="rId30" Type="http://schemas.openxmlformats.org/officeDocument/2006/relationships/hyperlink" Target="https://www.itu.int/md/S25-CL-C-0105/en" TargetMode="External"/><Relationship Id="rId35" Type="http://schemas.openxmlformats.org/officeDocument/2006/relationships/hyperlink" Target="https://www.itu.int/md/S26-CWGFHR22-C-0004/en" TargetMode="External"/><Relationship Id="rId56" Type="http://schemas.openxmlformats.org/officeDocument/2006/relationships/hyperlink" Target="https://www.itu.int/dms_pub/itu-s/md/25/cl/c/S25-CL-C-0035!!MSW-E.docx" TargetMode="External"/><Relationship Id="rId77" Type="http://schemas.openxmlformats.org/officeDocument/2006/relationships/hyperlink" Target="https://www.itu.int/md/R23-RAG-C-0037/en" TargetMode="External"/><Relationship Id="rId100" Type="http://schemas.openxmlformats.org/officeDocument/2006/relationships/hyperlink" Target="https://www.itu.int/md/R23-RAG-C-0037" TargetMode="External"/><Relationship Id="rId105" Type="http://schemas.openxmlformats.org/officeDocument/2006/relationships/hyperlink" Target="https://www.itu.int/en/fellowships/Pages/default.aspx" TargetMode="External"/><Relationship Id="rId126" Type="http://schemas.openxmlformats.org/officeDocument/2006/relationships/hyperlink" Target="https://eur03.safelinks.protection.outlook.com/?url=https%3A%2F%2Fwww.unjiu.org%2Fsites%2Fwww.unjiu.org%2Ffiles%2Fjiu_document_files%2Fproducts%2Fen%2Freports-notes%2FJIU%2520Products%2FJIU_REP_2016_1_English.pdf&amp;data=05%7C02%7CHani.Eskandar%40itu.int%7C806bddaa27e34d4a5e3e08ddea254bc9%7C23e464d704e64b87913c24bd89219fd3%7C0%7C0%7C638924168104739900%7CUnknown%7CTWFpbGZsb3d8eyJFbXB0eU1hcGkiOnRydWUsIlYiOiIwLjAuMDAwMCIsIlAiOiJXaW4zMiIsIkFOIjoiTWFpbCIsIldUIjoyfQ%3D%3D%7C0%7C%7C%7C&amp;sdata=CcoJgRq576Zhy91XZ2wxPcpDR7PlWmnRC3xslDt0b5w%3D&amp;reserved=0" TargetMode="External"/><Relationship Id="rId8" Type="http://schemas.openxmlformats.org/officeDocument/2006/relationships/webSettings" Target="webSettings.xml"/><Relationship Id="rId51" Type="http://schemas.openxmlformats.org/officeDocument/2006/relationships/hyperlink" Target="https://www.itu.int/md/D22-WTDC25-C-0002/en" TargetMode="External"/><Relationship Id="rId72" Type="http://schemas.openxmlformats.org/officeDocument/2006/relationships/hyperlink" Target="https://www.itu.int/en/ITU-D/Conferences/TDAG/Pages/dashboards/2025/Operational-Plan-Reporting-Dashboard.aspx" TargetMode="External"/><Relationship Id="rId93" Type="http://schemas.openxmlformats.org/officeDocument/2006/relationships/image" Target="media/image12.png"/><Relationship Id="rId98" Type="http://schemas.openxmlformats.org/officeDocument/2006/relationships/hyperlink" Target="https://www.itu.int/md/D22-WTDC25-C-0002" TargetMode="External"/><Relationship Id="rId121" Type="http://schemas.openxmlformats.org/officeDocument/2006/relationships/hyperlink" Target="https://www.itu.int/md/D22-WTDC25-C-0002/en" TargetMode="External"/><Relationship Id="rId142" Type="http://schemas.openxmlformats.org/officeDocument/2006/relationships/footer" Target="footer3.xml"/><Relationship Id="rId3" Type="http://schemas.openxmlformats.org/officeDocument/2006/relationships/customXml" Target="../customXml/item3.xml"/><Relationship Id="rId25" Type="http://schemas.openxmlformats.org/officeDocument/2006/relationships/image" Target="media/image5.png"/><Relationship Id="rId46" Type="http://schemas.openxmlformats.org/officeDocument/2006/relationships/hyperlink" Target="https://www.itu.int/md/R23-RAG-C-0037/en" TargetMode="External"/><Relationship Id="rId67" Type="http://schemas.openxmlformats.org/officeDocument/2006/relationships/hyperlink" Target="https://www.itu.int/en/ITU-D/Regional-Presence/Europe/Pages/Events/2023/ITURDF/contributions/default.aspx" TargetMode="External"/><Relationship Id="rId116" Type="http://schemas.openxmlformats.org/officeDocument/2006/relationships/hyperlink" Target="https://view.officeapps.live.com/op/view.aspx?src=https%3A%2F%2Fwww.itu.int%2Fdms_pub%2Fitu-d%2Fmd%2F22%2Ftdag30%2Fc%2FD22-TDAG30-C-0046!!MSW-E.docx&amp;wdOrigin=BROWSELINK" TargetMode="External"/><Relationship Id="rId137" Type="http://schemas.openxmlformats.org/officeDocument/2006/relationships/hyperlink" Target="https://www.itu.int/md/S26-CWGFHR22-C-0004/en" TargetMode="External"/><Relationship Id="rId20" Type="http://schemas.openxmlformats.org/officeDocument/2006/relationships/hyperlink" Target="https://www.itu.int/en/council/Documents/basic-texts-2023/RES-025-E.pdf" TargetMode="External"/><Relationship Id="rId41" Type="http://schemas.openxmlformats.org/officeDocument/2006/relationships/hyperlink" Target="https://www.itu.int/md/D26-TDAG33-C-0016/en" TargetMode="External"/><Relationship Id="rId62" Type="http://schemas.openxmlformats.org/officeDocument/2006/relationships/hyperlink" Target="https://www.itu.int/md/D22-TDAG30-C-0046/en" TargetMode="External"/><Relationship Id="rId83" Type="http://schemas.openxmlformats.org/officeDocument/2006/relationships/hyperlink" Target="https://www.itu.int/dms_pub/itu-d/md/22/tdag30/c/D22-TDAG30-C-0025!N1!MSW-E.docx" TargetMode="External"/><Relationship Id="rId88" Type="http://schemas.openxmlformats.org/officeDocument/2006/relationships/image" Target="media/image8.png"/><Relationship Id="rId111" Type="http://schemas.openxmlformats.org/officeDocument/2006/relationships/hyperlink" Target="https://www.itu.int/en/council/planning/Documents/ITU-Annual-report-2024-english.pdf" TargetMode="External"/><Relationship Id="rId132" Type="http://schemas.openxmlformats.org/officeDocument/2006/relationships/hyperlink" Target="https://view.officeapps.live.com/op/view.aspx?src=https%3A%2F%2Fwww.itu.int%2Fdms_pub%2Fitu-s%2Fmd%2F25%2Fcl%2Fc%2FS25-CL-C-0025!R1!MSW-E.docx&amp;wdOrigin=BROWSELINK" TargetMode="External"/><Relationship Id="rId15" Type="http://schemas.openxmlformats.org/officeDocument/2006/relationships/hyperlink" Target="https://www.itu.int/en/council/Documents/basic-texts-2023/RES-025-E.pdf" TargetMode="External"/><Relationship Id="rId36" Type="http://schemas.openxmlformats.org/officeDocument/2006/relationships/hyperlink" Target="https://www.itu.int/md/S26-CWGFHR22-INF-0001/en" TargetMode="External"/><Relationship Id="rId57" Type="http://schemas.openxmlformats.org/officeDocument/2006/relationships/hyperlink" Target="https://www.itu.int/md/S25-CWGSFP3-C-0007/en" TargetMode="External"/><Relationship Id="rId106" Type="http://schemas.openxmlformats.org/officeDocument/2006/relationships/hyperlink" Target="https://www.itu.int/md/S24-CL-C-0100" TargetMode="External"/><Relationship Id="rId127" Type="http://schemas.openxmlformats.org/officeDocument/2006/relationships/hyperlink" Target="https://www.itu.int/en/council/planning/Documents/ITU-Annual-report-2024-english.pdf" TargetMode="External"/><Relationship Id="rId10" Type="http://schemas.openxmlformats.org/officeDocument/2006/relationships/endnotes" Target="endnotes.xml"/><Relationship Id="rId31" Type="http://schemas.openxmlformats.org/officeDocument/2006/relationships/hyperlink" Target="https://www.itu.int/md/S25-CWGFHR21-C-0004/en" TargetMode="External"/><Relationship Id="rId52" Type="http://schemas.openxmlformats.org/officeDocument/2006/relationships/hyperlink" Target="https://www.itu.int/md/D22-TDAG31-C-0002/en" TargetMode="External"/><Relationship Id="rId73" Type="http://schemas.openxmlformats.org/officeDocument/2006/relationships/hyperlink" Target="https://www.itu.int/itu-d/meetings/rdf/" TargetMode="External"/><Relationship Id="rId78" Type="http://schemas.openxmlformats.org/officeDocument/2006/relationships/hyperlink" Target="https://www.itu.int/md/T25-TSAG-250526-TD-GEN-0137" TargetMode="External"/><Relationship Id="rId94" Type="http://schemas.openxmlformats.org/officeDocument/2006/relationships/hyperlink" Target="https://www.itu.int/en/council/Documents/basic-texts-2023/RES-071-E.pdf" TargetMode="External"/><Relationship Id="rId99" Type="http://schemas.openxmlformats.org/officeDocument/2006/relationships/hyperlink" Target="https://www.itu.int/md/S25-CL-C-0035/en" TargetMode="External"/><Relationship Id="rId101" Type="http://schemas.openxmlformats.org/officeDocument/2006/relationships/hyperlink" Target="https://www.itu.int/md/T25-TSAG-250526-TD-GEN-0137" TargetMode="External"/><Relationship Id="rId122" Type="http://schemas.openxmlformats.org/officeDocument/2006/relationships/hyperlink" Target="https://view.officeapps.live.com/op/view.aspx?src=https%3A%2F%2Fwww.itu.int%2Fdms_pub%2Fitu-s%2Fmd%2F25%2Fcl%2Fc%2FS25-CL-C-0066!!MSW-E.docx&amp;wdOrigin=BROWSELINK" TargetMode="External"/><Relationship Id="rId143"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6.png"/><Relationship Id="rId47" Type="http://schemas.openxmlformats.org/officeDocument/2006/relationships/hyperlink" Target="https://www.itu.int/md/T25-TSAG-250526-TD-GEN-0137" TargetMode="External"/><Relationship Id="rId68" Type="http://schemas.openxmlformats.org/officeDocument/2006/relationships/hyperlink" Target="https://www.itu.int/md/D22-WTDC25-C-0002/en" TargetMode="External"/><Relationship Id="rId89" Type="http://schemas.openxmlformats.org/officeDocument/2006/relationships/image" Target="media/image9.png"/><Relationship Id="rId112" Type="http://schemas.openxmlformats.org/officeDocument/2006/relationships/hyperlink" Target="https://ituint-my.sharepoint.com/:w:/r/personal/hani_eskandar_itu_int/Documents/S25-CWGSFP3-C-0007!!MSW-E%201.docx?d=w1f67c8090c914ca8be696a46dd77cf0a&amp;csf=1&amp;web=1&amp;e=8JOlLG" TargetMode="External"/><Relationship Id="rId133" Type="http://schemas.openxmlformats.org/officeDocument/2006/relationships/hyperlink" Target="https://www.itu.int/md/D22-WTDC25-C-0002/en" TargetMode="External"/><Relationship Id="rId16" Type="http://schemas.openxmlformats.org/officeDocument/2006/relationships/hyperlink" Target="https://www.itu.int/md/S24-CWGFHR19-C-0015/en" TargetMode="External"/><Relationship Id="rId37" Type="http://schemas.openxmlformats.org/officeDocument/2006/relationships/hyperlink" Target="https://www.itu.int/md/S26-CWGFHR22-C-0036/en" TargetMode="External"/><Relationship Id="rId58" Type="http://schemas.openxmlformats.org/officeDocument/2006/relationships/hyperlink" Target="https://www.itu.int/md/S25-CWGSFP3-C-0006/en" TargetMode="External"/><Relationship Id="rId79" Type="http://schemas.openxmlformats.org/officeDocument/2006/relationships/hyperlink" Target="https://www.itu.int/md/D22-TDAG32-C-0040/en" TargetMode="External"/><Relationship Id="rId102" Type="http://schemas.openxmlformats.org/officeDocument/2006/relationships/hyperlink" Target="https://www.itu.int/md/D22-TDAG32-C-0040" TargetMode="External"/><Relationship Id="rId123" Type="http://schemas.openxmlformats.org/officeDocument/2006/relationships/hyperlink" Target="https://view.officeapps.live.com/op/view.aspx?src=https%3A%2F%2Fwww.itu.int%2Fdms_pub%2Fitu-s%2Fmd%2F25%2Fcl%2Fc%2FS25-CL-C-0025!R1!MSW-E.docx&amp;wdOrigin=BROWSELINK" TargetMode="External"/><Relationship Id="rId14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itu.int/md/T25-TSAG-250526-TD-GEN-0137" TargetMode="External"/><Relationship Id="rId13" Type="http://schemas.openxmlformats.org/officeDocument/2006/relationships/hyperlink" Target="https://www.un.org/en/about-us/un-system" TargetMode="External"/><Relationship Id="rId18" Type="http://schemas.openxmlformats.org/officeDocument/2006/relationships/hyperlink" Target="https://www.itu.int/en/ITU-D/pages/regional-presence.aspx" TargetMode="External"/><Relationship Id="rId26" Type="http://schemas.openxmlformats.org/officeDocument/2006/relationships/hyperlink" Target="https://www.wipo.int/en/web/about-wipo/offices?utm_source=chatgpt.com" TargetMode="External"/><Relationship Id="rId3" Type="http://schemas.openxmlformats.org/officeDocument/2006/relationships/hyperlink" Target="https://www.itu.int/md/S25-CWGSFP3-C-0006/en" TargetMode="External"/><Relationship Id="rId21" Type="http://schemas.openxmlformats.org/officeDocument/2006/relationships/hyperlink" Target="https://www.itu.int/en/council/dashboard/Pages/HumanResourcesReport.aspx" TargetMode="External"/><Relationship Id="rId7" Type="http://schemas.openxmlformats.org/officeDocument/2006/relationships/hyperlink" Target="https://www.itu.int/md/R23-RAG-C-0037" TargetMode="External"/><Relationship Id="rId12" Type="http://schemas.openxmlformats.org/officeDocument/2006/relationships/hyperlink" Target="https://www.itu.int/md/S24-CL-C-0100" TargetMode="External"/><Relationship Id="rId17" Type="http://schemas.openxmlformats.org/officeDocument/2006/relationships/hyperlink" Target="https://www.imo.org/en/ourwork/technicalcooperation/pages/geo-coverage.aspx" TargetMode="External"/><Relationship Id="rId25" Type="http://schemas.openxmlformats.org/officeDocument/2006/relationships/hyperlink" Target="https://www.icao.int/strategic-objectives" TargetMode="External"/><Relationship Id="rId2" Type="http://schemas.openxmlformats.org/officeDocument/2006/relationships/hyperlink" Target="https://www.itu.int/en/council/Documents/basic-texts-2023/RES-071-E.pdf" TargetMode="External"/><Relationship Id="rId16" Type="http://schemas.openxmlformats.org/officeDocument/2006/relationships/hyperlink" Target="https://www.imo.org/en/mediacentre/pressbriefings/pages/imo-launches-rpo-in-egypt.aspx" TargetMode="External"/><Relationship Id="rId20" Type="http://schemas.openxmlformats.org/officeDocument/2006/relationships/hyperlink" Target="https://www.itu.int/en/ITU-D/pages/regional-presence.aspx?utm_source=chatgpt.com" TargetMode="External"/><Relationship Id="rId29" Type="http://schemas.openxmlformats.org/officeDocument/2006/relationships/hyperlink" Target="https://wmo.int/about-wmo/regions/regional-associations?utm_source=chatgpt.com" TargetMode="External"/><Relationship Id="rId1" Type="http://schemas.openxmlformats.org/officeDocument/2006/relationships/hyperlink" Target="https://www.itu.int/md/S25-CL-C-0105/en" TargetMode="External"/><Relationship Id="rId6" Type="http://schemas.openxmlformats.org/officeDocument/2006/relationships/hyperlink" Target="https://www.itu.int/md/D22-WTDC25-C-0002" TargetMode="External"/><Relationship Id="rId11" Type="http://schemas.openxmlformats.org/officeDocument/2006/relationships/hyperlink" Target="https://www.itu.int/en/fellowships/Documents/2021/SO_21-02_E.pdf" TargetMode="External"/><Relationship Id="rId24" Type="http://schemas.openxmlformats.org/officeDocument/2006/relationships/hyperlink" Target="https://www.icao.int/secretariat/RegionalOffice?utm_source=chatgpt.com" TargetMode="External"/><Relationship Id="rId5" Type="http://schemas.openxmlformats.org/officeDocument/2006/relationships/hyperlink" Target="https://www.itu.int/md/S25-CL-C-0025" TargetMode="External"/><Relationship Id="rId15" Type="http://schemas.openxmlformats.org/officeDocument/2006/relationships/hyperlink" Target="https://www.icao.int/strategic-objectives" TargetMode="External"/><Relationship Id="rId23" Type="http://schemas.openxmlformats.org/officeDocument/2006/relationships/hyperlink" Target="https://www.itu.int/en/council/planning/Documents/ITU-Strategic-Plan-2024-2027-Vision%26Mission.pdf?utm_source=chatgpt.com" TargetMode="External"/><Relationship Id="rId28" Type="http://schemas.openxmlformats.org/officeDocument/2006/relationships/hyperlink" Target="https://www.wipo.int/wipolex/en/text/283854?utm_source=chatgpt.com" TargetMode="External"/><Relationship Id="rId10" Type="http://schemas.openxmlformats.org/officeDocument/2006/relationships/hyperlink" Target="https://www.itu.int/md/S25-CWGSFP3-C-0007/en" TargetMode="External"/><Relationship Id="rId19" Type="http://schemas.openxmlformats.org/officeDocument/2006/relationships/hyperlink" Target="https://wmo.int/about-wmo/regions/regional-associations?utm_source=chatgpt.com" TargetMode="External"/><Relationship Id="rId31" Type="http://schemas.openxmlformats.org/officeDocument/2006/relationships/hyperlink" Target="https://wmo.int/news/media-centre/world-meteorological-congress-sets-new-strategic-priorities-era-of-rapid-climate-societal-and?utm_source=chatgpt.com" TargetMode="External"/><Relationship Id="rId4" Type="http://schemas.openxmlformats.org/officeDocument/2006/relationships/hyperlink" Target="https://www.itu.int/md/S25-CL-C-0025" TargetMode="External"/><Relationship Id="rId9" Type="http://schemas.openxmlformats.org/officeDocument/2006/relationships/hyperlink" Target="https://www.itu.int/md/D22-TDAG32-C-0040" TargetMode="External"/><Relationship Id="rId14" Type="http://schemas.openxmlformats.org/officeDocument/2006/relationships/hyperlink" Target="https://www.itu.int/md/S20-CL-C-0074/en" TargetMode="External"/><Relationship Id="rId22" Type="http://schemas.openxmlformats.org/officeDocument/2006/relationships/hyperlink" Target="https://www.itu.int/en/ITU-D/pages/regional-presence.aspx?utm_source=chatgpt.com" TargetMode="External"/><Relationship Id="rId27" Type="http://schemas.openxmlformats.org/officeDocument/2006/relationships/hyperlink" Target="https://tind.wipo.int/record/48247/files/wipo-pub-360-pb24-25-en-wipo-program-of-work-and-budget-for-2024-2025.pdf?utm_source=chatgpt.com" TargetMode="External"/><Relationship Id="rId30" Type="http://schemas.openxmlformats.org/officeDocument/2006/relationships/hyperlink" Target="https://www.doj.gov.hk/sc/external/pdf/lawdoc/wmo_15-2012_en.pdf?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8C33E5-BF8B-4300-A370-91048D84B9D0}">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2.xml><?xml version="1.0" encoding="utf-8"?>
<ds:datastoreItem xmlns:ds="http://schemas.openxmlformats.org/officeDocument/2006/customXml" ds:itemID="{8D836C19-9806-42D3-9BDA-FF24A95AB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82D932-6778-4D7C-885B-CCDFC6BECD97}">
  <ds:schemaRefs>
    <ds:schemaRef ds:uri="http://schemas.microsoft.com/sharepoint/v3/contenttype/forms"/>
  </ds:schemaRefs>
</ds:datastoreItem>
</file>

<file path=customXml/itemProps4.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112</Pages>
  <Words>48123</Words>
  <Characters>274303</Characters>
  <Application>Microsoft Office Word</Application>
  <DocSecurity>0</DocSecurity>
  <Lines>2285</Lines>
  <Paragraphs>643</Paragraphs>
  <ScaleCrop>false</ScaleCrop>
  <Manager>General Secretariat</Manager>
  <Company>International Telecommunication Union (ITU)</Company>
  <LinksUpToDate>false</LinksUpToDate>
  <CharactersWithSpaces>321783</CharactersWithSpaces>
  <SharedDoc>false</SharedDoc>
  <HLinks>
    <vt:vector size="1086" baseType="variant">
      <vt:variant>
        <vt:i4>5046273</vt:i4>
      </vt:variant>
      <vt:variant>
        <vt:i4>552</vt:i4>
      </vt:variant>
      <vt:variant>
        <vt:i4>0</vt:i4>
      </vt:variant>
      <vt:variant>
        <vt:i4>5</vt:i4>
      </vt:variant>
      <vt:variant>
        <vt:lpwstr>https://www.itu.int/md/S26-CWGFHR22-C-0004/en</vt:lpwstr>
      </vt:variant>
      <vt:variant>
        <vt:lpwstr/>
      </vt:variant>
      <vt:variant>
        <vt:i4>8257594</vt:i4>
      </vt:variant>
      <vt:variant>
        <vt:i4>549</vt:i4>
      </vt:variant>
      <vt:variant>
        <vt:i4>0</vt:i4>
      </vt:variant>
      <vt:variant>
        <vt:i4>5</vt:i4>
      </vt:variant>
      <vt:variant>
        <vt:lpwstr>https://www.itu.int/md/S25-CL-C-0069/en</vt:lpwstr>
      </vt:variant>
      <vt:variant>
        <vt:lpwstr/>
      </vt:variant>
      <vt:variant>
        <vt:i4>7536700</vt:i4>
      </vt:variant>
      <vt:variant>
        <vt:i4>546</vt:i4>
      </vt:variant>
      <vt:variant>
        <vt:i4>0</vt:i4>
      </vt:variant>
      <vt:variant>
        <vt:i4>5</vt:i4>
      </vt:variant>
      <vt:variant>
        <vt:lpwstr>https://www.itu.int/md/S25-CL-C-0105/en</vt:lpwstr>
      </vt:variant>
      <vt:variant>
        <vt:lpwstr/>
      </vt:variant>
      <vt:variant>
        <vt:i4>5046273</vt:i4>
      </vt:variant>
      <vt:variant>
        <vt:i4>543</vt:i4>
      </vt:variant>
      <vt:variant>
        <vt:i4>0</vt:i4>
      </vt:variant>
      <vt:variant>
        <vt:i4>5</vt:i4>
      </vt:variant>
      <vt:variant>
        <vt:lpwstr>https://www.itu.int/md/S26-CWGFHR22-C-0004/en</vt:lpwstr>
      </vt:variant>
      <vt:variant>
        <vt:lpwstr/>
      </vt:variant>
      <vt:variant>
        <vt:i4>2556018</vt:i4>
      </vt:variant>
      <vt:variant>
        <vt:i4>540</vt:i4>
      </vt:variant>
      <vt:variant>
        <vt:i4>0</vt:i4>
      </vt:variant>
      <vt:variant>
        <vt:i4>5</vt:i4>
      </vt:variant>
      <vt:variant>
        <vt:lpwstr>https://www.itu.int/md/D22-WTDC25-C-0002/en</vt:lpwstr>
      </vt:variant>
      <vt:variant>
        <vt:lpwstr/>
      </vt:variant>
      <vt:variant>
        <vt:i4>1900599</vt:i4>
      </vt:variant>
      <vt:variant>
        <vt:i4>537</vt:i4>
      </vt:variant>
      <vt:variant>
        <vt:i4>0</vt:i4>
      </vt:variant>
      <vt:variant>
        <vt:i4>5</vt:i4>
      </vt:variant>
      <vt:variant>
        <vt:lpwstr>https://view.officeapps.live.com/op/view.aspx?src=https%3A%2F%2Fwww.itu.int%2Fdms_pub%2Fitu-s%2Fmd%2F25%2Fcl%2Fc%2FS25-CL-C-0025!R1!MSW-E.docx&amp;wdOrigin=BROWSELINK</vt:lpwstr>
      </vt:variant>
      <vt:variant>
        <vt:lpwstr/>
      </vt:variant>
      <vt:variant>
        <vt:i4>6029312</vt:i4>
      </vt:variant>
      <vt:variant>
        <vt:i4>534</vt:i4>
      </vt:variant>
      <vt:variant>
        <vt:i4>0</vt:i4>
      </vt:variant>
      <vt:variant>
        <vt:i4>5</vt:i4>
      </vt:variant>
      <vt:variant>
        <vt:lpwstr>https://www.itu.int/en/council/planning/Documents/ITU-Annual-report-2024-english.pdf</vt:lpwstr>
      </vt:variant>
      <vt:variant>
        <vt:lpwstr/>
      </vt:variant>
      <vt:variant>
        <vt:i4>1900599</vt:i4>
      </vt:variant>
      <vt:variant>
        <vt:i4>531</vt:i4>
      </vt:variant>
      <vt:variant>
        <vt:i4>0</vt:i4>
      </vt:variant>
      <vt:variant>
        <vt:i4>5</vt:i4>
      </vt:variant>
      <vt:variant>
        <vt:lpwstr>https://view.officeapps.live.com/op/view.aspx?src=https%3A%2F%2Fwww.itu.int%2Fdms_pub%2Fitu-s%2Fmd%2F25%2Fcl%2Fc%2FS25-CL-C-0025!R1!MSW-E.docx&amp;wdOrigin=BROWSELINK</vt:lpwstr>
      </vt:variant>
      <vt:variant>
        <vt:lpwstr/>
      </vt:variant>
      <vt:variant>
        <vt:i4>7077890</vt:i4>
      </vt:variant>
      <vt:variant>
        <vt:i4>528</vt:i4>
      </vt:variant>
      <vt:variant>
        <vt:i4>0</vt:i4>
      </vt:variant>
      <vt:variant>
        <vt:i4>5</vt:i4>
      </vt:variant>
      <vt:variant>
        <vt:lpwstr>https://view.officeapps.live.com/op/view.aspx?src=https%3A%2F%2Fwww.itu.int%2Fdms_pub%2Fitu-s%2Fmd%2F25%2Fcl%2Fc%2FS25-CL-C-0066!!MSW-E.docx&amp;wdOrigin=BROWSELINK</vt:lpwstr>
      </vt:variant>
      <vt:variant>
        <vt:lpwstr/>
      </vt:variant>
      <vt:variant>
        <vt:i4>2556018</vt:i4>
      </vt:variant>
      <vt:variant>
        <vt:i4>525</vt:i4>
      </vt:variant>
      <vt:variant>
        <vt:i4>0</vt:i4>
      </vt:variant>
      <vt:variant>
        <vt:i4>5</vt:i4>
      </vt:variant>
      <vt:variant>
        <vt:lpwstr>https://www.itu.int/md/D22-WTDC25-C-0002/en</vt:lpwstr>
      </vt:variant>
      <vt:variant>
        <vt:lpwstr/>
      </vt:variant>
      <vt:variant>
        <vt:i4>6029312</vt:i4>
      </vt:variant>
      <vt:variant>
        <vt:i4>522</vt:i4>
      </vt:variant>
      <vt:variant>
        <vt:i4>0</vt:i4>
      </vt:variant>
      <vt:variant>
        <vt:i4>5</vt:i4>
      </vt:variant>
      <vt:variant>
        <vt:lpwstr>https://www.itu.int/en/council/planning/Documents/ITU-Annual-report-2024-english.pdf</vt:lpwstr>
      </vt:variant>
      <vt:variant>
        <vt:lpwstr/>
      </vt:variant>
      <vt:variant>
        <vt:i4>1310798</vt:i4>
      </vt:variant>
      <vt:variant>
        <vt:i4>519</vt:i4>
      </vt:variant>
      <vt:variant>
        <vt:i4>0</vt:i4>
      </vt:variant>
      <vt:variant>
        <vt:i4>5</vt:i4>
      </vt:variant>
      <vt:variant>
        <vt:lpwstr>https://eur03.safelinks.protection.outlook.com/?url=https%3A%2F%2Fwww.unjiu.org%2Fsites%2Fwww.unjiu.org%2Ffiles%2Fjiu_document_files%2Fproducts%2Fen%2Freports-notes%2FJIU%2520Products%2FJIU_REP_2016_1_English.pdf&amp;data=05%7C02%7CHani.Eskandar%40itu.int%7C806bddaa27e34d4a5e3e08ddea254bc9%7C23e464d704e64b87913c24bd89219fd3%7C0%7C0%7C638924168104739900%7CUnknown%7CTWFpbGZsb3d8eyJFbXB0eU1hcGkiOnRydWUsIlYiOiIwLjAuMDAwMCIsIlAiOiJXaW4zMiIsIkFOIjoiTWFpbCIsIldUIjoyfQ%3D%3D%7C0%7C%7C%7C&amp;sdata=CcoJgRq576Zhy91XZ2wxPcpDR7PlWmnRC3xslDt0b5w%3D&amp;reserved=0</vt:lpwstr>
      </vt:variant>
      <vt:variant>
        <vt:lpwstr/>
      </vt:variant>
      <vt:variant>
        <vt:i4>6684682</vt:i4>
      </vt:variant>
      <vt:variant>
        <vt:i4>516</vt:i4>
      </vt:variant>
      <vt:variant>
        <vt:i4>0</vt:i4>
      </vt:variant>
      <vt:variant>
        <vt:i4>5</vt:i4>
      </vt:variant>
      <vt:variant>
        <vt:lpwstr>https://view.officeapps.live.com/op/view.aspx?src=https%3A%2F%2Fwww.itu.int%2Fdms_pub%2Fitu-d%2Fmd%2F22%2Ftdag30%2Fc%2FD22-TDAG30-C-0046!!MSW-E.docx&amp;wdOrigin=BROWSELINK</vt:lpwstr>
      </vt:variant>
      <vt:variant>
        <vt:lpwstr/>
      </vt:variant>
      <vt:variant>
        <vt:i4>1245251</vt:i4>
      </vt:variant>
      <vt:variant>
        <vt:i4>513</vt:i4>
      </vt:variant>
      <vt:variant>
        <vt:i4>0</vt:i4>
      </vt:variant>
      <vt:variant>
        <vt:i4>5</vt:i4>
      </vt:variant>
      <vt:variant>
        <vt:lpwstr>https://www.itu.int/en/council/dashboard/Pages/HumanResourcesReport.aspx</vt:lpwstr>
      </vt:variant>
      <vt:variant>
        <vt:lpwstr/>
      </vt:variant>
      <vt:variant>
        <vt:i4>1900599</vt:i4>
      </vt:variant>
      <vt:variant>
        <vt:i4>510</vt:i4>
      </vt:variant>
      <vt:variant>
        <vt:i4>0</vt:i4>
      </vt:variant>
      <vt:variant>
        <vt:i4>5</vt:i4>
      </vt:variant>
      <vt:variant>
        <vt:lpwstr>https://view.officeapps.live.com/op/view.aspx?src=https%3A%2F%2Fwww.itu.int%2Fdms_pub%2Fitu-s%2Fmd%2F25%2Fcl%2Fc%2FS25-CL-C-0025!R1!MSW-E.docx&amp;wdOrigin=BROWSELINK</vt:lpwstr>
      </vt:variant>
      <vt:variant>
        <vt:lpwstr/>
      </vt:variant>
      <vt:variant>
        <vt:i4>7077890</vt:i4>
      </vt:variant>
      <vt:variant>
        <vt:i4>507</vt:i4>
      </vt:variant>
      <vt:variant>
        <vt:i4>0</vt:i4>
      </vt:variant>
      <vt:variant>
        <vt:i4>5</vt:i4>
      </vt:variant>
      <vt:variant>
        <vt:lpwstr>https://view.officeapps.live.com/op/view.aspx?src=https%3A%2F%2Fwww.itu.int%2Fdms_pub%2Fitu-s%2Fmd%2F25%2Fcl%2Fc%2FS25-CL-C-0066!!MSW-E.docx&amp;wdOrigin=BROWSELINK</vt:lpwstr>
      </vt:variant>
      <vt:variant>
        <vt:lpwstr/>
      </vt:variant>
      <vt:variant>
        <vt:i4>2556018</vt:i4>
      </vt:variant>
      <vt:variant>
        <vt:i4>504</vt:i4>
      </vt:variant>
      <vt:variant>
        <vt:i4>0</vt:i4>
      </vt:variant>
      <vt:variant>
        <vt:i4>5</vt:i4>
      </vt:variant>
      <vt:variant>
        <vt:lpwstr>https://www.itu.int/md/D22-WTDC25-C-0002/en</vt:lpwstr>
      </vt:variant>
      <vt:variant>
        <vt:lpwstr/>
      </vt:variant>
      <vt:variant>
        <vt:i4>5767217</vt:i4>
      </vt:variant>
      <vt:variant>
        <vt:i4>501</vt:i4>
      </vt:variant>
      <vt:variant>
        <vt:i4>0</vt:i4>
      </vt:variant>
      <vt:variant>
        <vt:i4>5</vt:i4>
      </vt:variant>
      <vt:variant>
        <vt:lpwstr>https://view.officeapps.live.com/op/view.aspx?src=https%3A%2F%2Fwww.itu.int%2Fdms_pub%2Fitu-s%2Fmd%2F25%2Fcwgsfp3%2Fc%2FS25-CWGSFP3-C-0007!!MSW-E.docx&amp;wdOrigin=BROWSELINK</vt:lpwstr>
      </vt:variant>
      <vt:variant>
        <vt:lpwstr/>
      </vt:variant>
      <vt:variant>
        <vt:i4>6029312</vt:i4>
      </vt:variant>
      <vt:variant>
        <vt:i4>498</vt:i4>
      </vt:variant>
      <vt:variant>
        <vt:i4>0</vt:i4>
      </vt:variant>
      <vt:variant>
        <vt:i4>5</vt:i4>
      </vt:variant>
      <vt:variant>
        <vt:lpwstr>https://www.itu.int/en/council/planning/Documents/ITU-Annual-report-2024-english.pdf</vt:lpwstr>
      </vt:variant>
      <vt:variant>
        <vt:lpwstr/>
      </vt:variant>
      <vt:variant>
        <vt:i4>6881289</vt:i4>
      </vt:variant>
      <vt:variant>
        <vt:i4>495</vt:i4>
      </vt:variant>
      <vt:variant>
        <vt:i4>0</vt:i4>
      </vt:variant>
      <vt:variant>
        <vt:i4>5</vt:i4>
      </vt:variant>
      <vt:variant>
        <vt:lpwstr>https://view.officeapps.live.com/op/view.aspx?src=https%3A%2F%2Fwww.itu.int%2Fdms_pub%2Fitu-s%2Fmd%2F21%2Fcl%2Fc%2FS21-CL-C-0097!!MSW-E.docx&amp;wdOrigin=BROWSELINK</vt:lpwstr>
      </vt:variant>
      <vt:variant>
        <vt:lpwstr/>
      </vt:variant>
      <vt:variant>
        <vt:i4>6815747</vt:i4>
      </vt:variant>
      <vt:variant>
        <vt:i4>492</vt:i4>
      </vt:variant>
      <vt:variant>
        <vt:i4>0</vt:i4>
      </vt:variant>
      <vt:variant>
        <vt:i4>5</vt:i4>
      </vt:variant>
      <vt:variant>
        <vt:lpwstr>https://view.officeapps.live.com/op/view.aspx?src=https%3A%2F%2Fwww.itu.int%2Fdms_pub%2Fitu-s%2Fmd%2F23%2Fcl%2Fc%2FS23-CL-C-0115!!MSW-E.docx&amp;wdOrigin=BROWSELINK</vt:lpwstr>
      </vt:variant>
      <vt:variant>
        <vt:lpwstr/>
      </vt:variant>
      <vt:variant>
        <vt:i4>6684682</vt:i4>
      </vt:variant>
      <vt:variant>
        <vt:i4>489</vt:i4>
      </vt:variant>
      <vt:variant>
        <vt:i4>0</vt:i4>
      </vt:variant>
      <vt:variant>
        <vt:i4>5</vt:i4>
      </vt:variant>
      <vt:variant>
        <vt:lpwstr>https://view.officeapps.live.com/op/view.aspx?src=https%3A%2F%2Fwww.itu.int%2Fdms_pub%2Fitu-d%2Fmd%2F22%2Ftdag30%2Fc%2FD22-TDAG30-C-0046!!MSW-E.docx&amp;wdOrigin=BROWSELINK</vt:lpwstr>
      </vt:variant>
      <vt:variant>
        <vt:lpwstr/>
      </vt:variant>
      <vt:variant>
        <vt:i4>65641</vt:i4>
      </vt:variant>
      <vt:variant>
        <vt:i4>486</vt:i4>
      </vt:variant>
      <vt:variant>
        <vt:i4>0</vt:i4>
      </vt:variant>
      <vt:variant>
        <vt:i4>5</vt:i4>
      </vt:variant>
      <vt:variant>
        <vt:lpwstr>http://web.itu.int/dms_pub/itu-s/opb/conf/S-CONF-ACTF-2022-PDF-E.pdf</vt:lpwstr>
      </vt:variant>
      <vt:variant>
        <vt:lpwstr/>
      </vt:variant>
      <vt:variant>
        <vt:i4>1900599</vt:i4>
      </vt:variant>
      <vt:variant>
        <vt:i4>483</vt:i4>
      </vt:variant>
      <vt:variant>
        <vt:i4>0</vt:i4>
      </vt:variant>
      <vt:variant>
        <vt:i4>5</vt:i4>
      </vt:variant>
      <vt:variant>
        <vt:lpwstr>https://view.officeapps.live.com/op/view.aspx?src=https%3A%2F%2Fwww.itu.int%2Fdms_pub%2Fitu-s%2Fmd%2F25%2Fcl%2Fc%2FS25-CL-C-0025!R1!MSW-E.docx&amp;wdOrigin=BROWSELINK</vt:lpwstr>
      </vt:variant>
      <vt:variant>
        <vt:lpwstr/>
      </vt:variant>
      <vt:variant>
        <vt:i4>7077890</vt:i4>
      </vt:variant>
      <vt:variant>
        <vt:i4>480</vt:i4>
      </vt:variant>
      <vt:variant>
        <vt:i4>0</vt:i4>
      </vt:variant>
      <vt:variant>
        <vt:i4>5</vt:i4>
      </vt:variant>
      <vt:variant>
        <vt:lpwstr>https://view.officeapps.live.com/op/view.aspx?src=https%3A%2F%2Fwww.itu.int%2Fdms_pub%2Fitu-s%2Fmd%2F25%2Fcl%2Fc%2FS25-CL-C-0066!!MSW-E.docx&amp;wdOrigin=BROWSELINK</vt:lpwstr>
      </vt:variant>
      <vt:variant>
        <vt:lpwstr/>
      </vt:variant>
      <vt:variant>
        <vt:i4>5898365</vt:i4>
      </vt:variant>
      <vt:variant>
        <vt:i4>477</vt:i4>
      </vt:variant>
      <vt:variant>
        <vt:i4>0</vt:i4>
      </vt:variant>
      <vt:variant>
        <vt:i4>5</vt:i4>
      </vt:variant>
      <vt:variant>
        <vt:lpwstr>https://ituint-my.sharepoint.com/:w:/r/personal/hani_eskandar_itu_int/Documents/S25-CWGSFP3-C-0007!!MSW-E 1.docx?d=w1f67c8090c914ca8be696a46dd77cf0a&amp;csf=1&amp;web=1&amp;e=8JOlLG</vt:lpwstr>
      </vt:variant>
      <vt:variant>
        <vt:lpwstr/>
      </vt:variant>
      <vt:variant>
        <vt:i4>6029312</vt:i4>
      </vt:variant>
      <vt:variant>
        <vt:i4>474</vt:i4>
      </vt:variant>
      <vt:variant>
        <vt:i4>0</vt:i4>
      </vt:variant>
      <vt:variant>
        <vt:i4>5</vt:i4>
      </vt:variant>
      <vt:variant>
        <vt:lpwstr>https://www.itu.int/en/council/planning/Documents/ITU-Annual-report-2024-english.pdf</vt:lpwstr>
      </vt:variant>
      <vt:variant>
        <vt:lpwstr/>
      </vt:variant>
      <vt:variant>
        <vt:i4>720977</vt:i4>
      </vt:variant>
      <vt:variant>
        <vt:i4>471</vt:i4>
      </vt:variant>
      <vt:variant>
        <vt:i4>0</vt:i4>
      </vt:variant>
      <vt:variant>
        <vt:i4>5</vt:i4>
      </vt:variant>
      <vt:variant>
        <vt:lpwstr>https://www.itu.int/md/T25-TSAG-250526-TD-GEN-0067/en</vt:lpwstr>
      </vt:variant>
      <vt:variant>
        <vt:lpwstr/>
      </vt:variant>
      <vt:variant>
        <vt:i4>1900599</vt:i4>
      </vt:variant>
      <vt:variant>
        <vt:i4>468</vt:i4>
      </vt:variant>
      <vt:variant>
        <vt:i4>0</vt:i4>
      </vt:variant>
      <vt:variant>
        <vt:i4>5</vt:i4>
      </vt:variant>
      <vt:variant>
        <vt:lpwstr>https://view.officeapps.live.com/op/view.aspx?src=https%3A%2F%2Fwww.itu.int%2Fdms_pub%2Fitu-s%2Fmd%2F25%2Fcl%2Fc%2FS25-CL-C-0025!R1!MSW-E.docx&amp;wdOrigin=BROWSELINK</vt:lpwstr>
      </vt:variant>
      <vt:variant>
        <vt:lpwstr/>
      </vt:variant>
      <vt:variant>
        <vt:i4>2097249</vt:i4>
      </vt:variant>
      <vt:variant>
        <vt:i4>465</vt:i4>
      </vt:variant>
      <vt:variant>
        <vt:i4>0</vt:i4>
      </vt:variant>
      <vt:variant>
        <vt:i4>5</vt:i4>
      </vt:variant>
      <vt:variant>
        <vt:lpwstr>https://www.itu.int/md/D22-TDAG32-C-0002/en</vt:lpwstr>
      </vt:variant>
      <vt:variant>
        <vt:lpwstr/>
      </vt:variant>
      <vt:variant>
        <vt:i4>6029312</vt:i4>
      </vt:variant>
      <vt:variant>
        <vt:i4>462</vt:i4>
      </vt:variant>
      <vt:variant>
        <vt:i4>0</vt:i4>
      </vt:variant>
      <vt:variant>
        <vt:i4>5</vt:i4>
      </vt:variant>
      <vt:variant>
        <vt:lpwstr>https://www.itu.int/en/council/planning/Documents/ITU-Annual-report-2024-english.pdf</vt:lpwstr>
      </vt:variant>
      <vt:variant>
        <vt:lpwstr/>
      </vt:variant>
      <vt:variant>
        <vt:i4>1179667</vt:i4>
      </vt:variant>
      <vt:variant>
        <vt:i4>459</vt:i4>
      </vt:variant>
      <vt:variant>
        <vt:i4>0</vt:i4>
      </vt:variant>
      <vt:variant>
        <vt:i4>5</vt:i4>
      </vt:variant>
      <vt:variant>
        <vt:lpwstr>https://www.itu.int/md/S24-CL-C-0100</vt:lpwstr>
      </vt:variant>
      <vt:variant>
        <vt:lpwstr/>
      </vt:variant>
      <vt:variant>
        <vt:i4>4653148</vt:i4>
      </vt:variant>
      <vt:variant>
        <vt:i4>456</vt:i4>
      </vt:variant>
      <vt:variant>
        <vt:i4>0</vt:i4>
      </vt:variant>
      <vt:variant>
        <vt:i4>5</vt:i4>
      </vt:variant>
      <vt:variant>
        <vt:lpwstr>https://www.itu.int/en/fellowships/Pages/default.aspx</vt:lpwstr>
      </vt:variant>
      <vt:variant>
        <vt:lpwstr/>
      </vt:variant>
      <vt:variant>
        <vt:i4>5767263</vt:i4>
      </vt:variant>
      <vt:variant>
        <vt:i4>453</vt:i4>
      </vt:variant>
      <vt:variant>
        <vt:i4>0</vt:i4>
      </vt:variant>
      <vt:variant>
        <vt:i4>5</vt:i4>
      </vt:variant>
      <vt:variant>
        <vt:lpwstr>https://www.itu.int/en/fellowships/Documents/2021/SO_21-02_E.pdf</vt:lpwstr>
      </vt:variant>
      <vt:variant>
        <vt:lpwstr/>
      </vt:variant>
      <vt:variant>
        <vt:i4>131082</vt:i4>
      </vt:variant>
      <vt:variant>
        <vt:i4>450</vt:i4>
      </vt:variant>
      <vt:variant>
        <vt:i4>0</vt:i4>
      </vt:variant>
      <vt:variant>
        <vt:i4>5</vt:i4>
      </vt:variant>
      <vt:variant>
        <vt:lpwstr>https://www.itu.int/md/S25-CWGSFP3-C-0007/en</vt:lpwstr>
      </vt:variant>
      <vt:variant>
        <vt:lpwstr/>
      </vt:variant>
      <vt:variant>
        <vt:i4>4653130</vt:i4>
      </vt:variant>
      <vt:variant>
        <vt:i4>447</vt:i4>
      </vt:variant>
      <vt:variant>
        <vt:i4>0</vt:i4>
      </vt:variant>
      <vt:variant>
        <vt:i4>5</vt:i4>
      </vt:variant>
      <vt:variant>
        <vt:lpwstr>https://www.itu.int/md/D22-TDAG32-C-0040</vt:lpwstr>
      </vt:variant>
      <vt:variant>
        <vt:lpwstr/>
      </vt:variant>
      <vt:variant>
        <vt:i4>7274619</vt:i4>
      </vt:variant>
      <vt:variant>
        <vt:i4>444</vt:i4>
      </vt:variant>
      <vt:variant>
        <vt:i4>0</vt:i4>
      </vt:variant>
      <vt:variant>
        <vt:i4>5</vt:i4>
      </vt:variant>
      <vt:variant>
        <vt:lpwstr>https://www.itu.int/md/T25-TSAG-250526-TD-GEN-0137</vt:lpwstr>
      </vt:variant>
      <vt:variant>
        <vt:lpwstr/>
      </vt:variant>
      <vt:variant>
        <vt:i4>196685</vt:i4>
      </vt:variant>
      <vt:variant>
        <vt:i4>441</vt:i4>
      </vt:variant>
      <vt:variant>
        <vt:i4>0</vt:i4>
      </vt:variant>
      <vt:variant>
        <vt:i4>5</vt:i4>
      </vt:variant>
      <vt:variant>
        <vt:lpwstr>https://www.itu.int/md/R23-RAG-C-0037</vt:lpwstr>
      </vt:variant>
      <vt:variant>
        <vt:lpwstr/>
      </vt:variant>
      <vt:variant>
        <vt:i4>7471167</vt:i4>
      </vt:variant>
      <vt:variant>
        <vt:i4>438</vt:i4>
      </vt:variant>
      <vt:variant>
        <vt:i4>0</vt:i4>
      </vt:variant>
      <vt:variant>
        <vt:i4>5</vt:i4>
      </vt:variant>
      <vt:variant>
        <vt:lpwstr>https://www.itu.int/md/S25-CL-C-0035/en</vt:lpwstr>
      </vt:variant>
      <vt:variant>
        <vt:lpwstr/>
      </vt:variant>
      <vt:variant>
        <vt:i4>4325469</vt:i4>
      </vt:variant>
      <vt:variant>
        <vt:i4>435</vt:i4>
      </vt:variant>
      <vt:variant>
        <vt:i4>0</vt:i4>
      </vt:variant>
      <vt:variant>
        <vt:i4>5</vt:i4>
      </vt:variant>
      <vt:variant>
        <vt:lpwstr>https://www.itu.int/md/D22-WTDC25-C-0002</vt:lpwstr>
      </vt:variant>
      <vt:variant>
        <vt:lpwstr/>
      </vt:variant>
      <vt:variant>
        <vt:i4>1507345</vt:i4>
      </vt:variant>
      <vt:variant>
        <vt:i4>432</vt:i4>
      </vt:variant>
      <vt:variant>
        <vt:i4>0</vt:i4>
      </vt:variant>
      <vt:variant>
        <vt:i4>5</vt:i4>
      </vt:variant>
      <vt:variant>
        <vt:lpwstr>https://www.itu.int/md/S25-CL-C-0025</vt:lpwstr>
      </vt:variant>
      <vt:variant>
        <vt:lpwstr/>
      </vt:variant>
      <vt:variant>
        <vt:i4>7471167</vt:i4>
      </vt:variant>
      <vt:variant>
        <vt:i4>429</vt:i4>
      </vt:variant>
      <vt:variant>
        <vt:i4>0</vt:i4>
      </vt:variant>
      <vt:variant>
        <vt:i4>5</vt:i4>
      </vt:variant>
      <vt:variant>
        <vt:lpwstr>https://www.itu.int/md/S25-CL-C-0035/en</vt:lpwstr>
      </vt:variant>
      <vt:variant>
        <vt:lpwstr/>
      </vt:variant>
      <vt:variant>
        <vt:i4>131083</vt:i4>
      </vt:variant>
      <vt:variant>
        <vt:i4>426</vt:i4>
      </vt:variant>
      <vt:variant>
        <vt:i4>0</vt:i4>
      </vt:variant>
      <vt:variant>
        <vt:i4>5</vt:i4>
      </vt:variant>
      <vt:variant>
        <vt:lpwstr>https://www.itu.int/md/S25-CWGSFP3-C-0006/en</vt:lpwstr>
      </vt:variant>
      <vt:variant>
        <vt:lpwstr/>
      </vt:variant>
      <vt:variant>
        <vt:i4>6881383</vt:i4>
      </vt:variant>
      <vt:variant>
        <vt:i4>423</vt:i4>
      </vt:variant>
      <vt:variant>
        <vt:i4>0</vt:i4>
      </vt:variant>
      <vt:variant>
        <vt:i4>5</vt:i4>
      </vt:variant>
      <vt:variant>
        <vt:lpwstr>https://www.itu.int/en/council/Documents/basic-texts-2023/RES-071-E.pdf</vt:lpwstr>
      </vt:variant>
      <vt:variant>
        <vt:lpwstr/>
      </vt:variant>
      <vt:variant>
        <vt:i4>2621486</vt:i4>
      </vt:variant>
      <vt:variant>
        <vt:i4>420</vt:i4>
      </vt:variant>
      <vt:variant>
        <vt:i4>0</vt:i4>
      </vt:variant>
      <vt:variant>
        <vt:i4>5</vt:i4>
      </vt:variant>
      <vt:variant>
        <vt:lpwstr>https://www.itu.int/md/S26-CWGFHR22-C-0004</vt:lpwstr>
      </vt:variant>
      <vt:variant>
        <vt:lpwstr/>
      </vt:variant>
      <vt:variant>
        <vt:i4>5177348</vt:i4>
      </vt:variant>
      <vt:variant>
        <vt:i4>417</vt:i4>
      </vt:variant>
      <vt:variant>
        <vt:i4>0</vt:i4>
      </vt:variant>
      <vt:variant>
        <vt:i4>5</vt:i4>
      </vt:variant>
      <vt:variant>
        <vt:lpwstr>https://www.itu.int/md/S23-CWGFHR16-C-0010/en</vt:lpwstr>
      </vt:variant>
      <vt:variant>
        <vt:lpwstr/>
      </vt:variant>
      <vt:variant>
        <vt:i4>7340090</vt:i4>
      </vt:variant>
      <vt:variant>
        <vt:i4>414</vt:i4>
      </vt:variant>
      <vt:variant>
        <vt:i4>0</vt:i4>
      </vt:variant>
      <vt:variant>
        <vt:i4>5</vt:i4>
      </vt:variant>
      <vt:variant>
        <vt:lpwstr>https://www.itu.int/md/S24-CL-C-0066/en</vt:lpwstr>
      </vt:variant>
      <vt:variant>
        <vt:lpwstr/>
      </vt:variant>
      <vt:variant>
        <vt:i4>4390989</vt:i4>
      </vt:variant>
      <vt:variant>
        <vt:i4>411</vt:i4>
      </vt:variant>
      <vt:variant>
        <vt:i4>0</vt:i4>
      </vt:variant>
      <vt:variant>
        <vt:i4>5</vt:i4>
      </vt:variant>
      <vt:variant>
        <vt:lpwstr>https://www.itu.int/md/D22-TDAG31-C-0004/</vt:lpwstr>
      </vt:variant>
      <vt:variant>
        <vt:lpwstr/>
      </vt:variant>
      <vt:variant>
        <vt:i4>4194380</vt:i4>
      </vt:variant>
      <vt:variant>
        <vt:i4>408</vt:i4>
      </vt:variant>
      <vt:variant>
        <vt:i4>0</vt:i4>
      </vt:variant>
      <vt:variant>
        <vt:i4>5</vt:i4>
      </vt:variant>
      <vt:variant>
        <vt:lpwstr>https://www.itu.int/md/D22-TDAG30-C-0007/</vt:lpwstr>
      </vt:variant>
      <vt:variant>
        <vt:lpwstr/>
      </vt:variant>
      <vt:variant>
        <vt:i4>3735631</vt:i4>
      </vt:variant>
      <vt:variant>
        <vt:i4>405</vt:i4>
      </vt:variant>
      <vt:variant>
        <vt:i4>0</vt:i4>
      </vt:variant>
      <vt:variant>
        <vt:i4>5</vt:i4>
      </vt:variant>
      <vt:variant>
        <vt:lpwstr>https://www.itu.int/dms_pub/itu-d/md/22/tdag30/c/D22-TDAG30-C-0025!N1!MSW-E.docx</vt:lpwstr>
      </vt:variant>
      <vt:variant>
        <vt:lpwstr/>
      </vt:variant>
      <vt:variant>
        <vt:i4>6815747</vt:i4>
      </vt:variant>
      <vt:variant>
        <vt:i4>402</vt:i4>
      </vt:variant>
      <vt:variant>
        <vt:i4>0</vt:i4>
      </vt:variant>
      <vt:variant>
        <vt:i4>5</vt:i4>
      </vt:variant>
      <vt:variant>
        <vt:lpwstr>https://view.officeapps.live.com/op/view.aspx?src=https%3A%2F%2Fwww.itu.int%2Fdms_pub%2Fitu-s%2Fmd%2F23%2Fcl%2Fc%2FS23-CL-C-0115!!MSW-E.docx&amp;wdOrigin=BROWSELINK</vt:lpwstr>
      </vt:variant>
      <vt:variant>
        <vt:lpwstr/>
      </vt:variant>
      <vt:variant>
        <vt:i4>6881289</vt:i4>
      </vt:variant>
      <vt:variant>
        <vt:i4>399</vt:i4>
      </vt:variant>
      <vt:variant>
        <vt:i4>0</vt:i4>
      </vt:variant>
      <vt:variant>
        <vt:i4>5</vt:i4>
      </vt:variant>
      <vt:variant>
        <vt:lpwstr>https://view.officeapps.live.com/op/view.aspx?src=https%3A%2F%2Fwww.itu.int%2Fdms_pub%2Fitu-s%2Fmd%2F21%2Fcl%2Fc%2FS21-CL-C-0097!!MSW-E.docx&amp;wdOrigin=BROWSELINK</vt:lpwstr>
      </vt:variant>
      <vt:variant>
        <vt:lpwstr/>
      </vt:variant>
      <vt:variant>
        <vt:i4>2556018</vt:i4>
      </vt:variant>
      <vt:variant>
        <vt:i4>396</vt:i4>
      </vt:variant>
      <vt:variant>
        <vt:i4>0</vt:i4>
      </vt:variant>
      <vt:variant>
        <vt:i4>5</vt:i4>
      </vt:variant>
      <vt:variant>
        <vt:lpwstr>https://www.itu.int/md/D22-WTDC25-C-0002/en</vt:lpwstr>
      </vt:variant>
      <vt:variant>
        <vt:lpwstr/>
      </vt:variant>
      <vt:variant>
        <vt:i4>2228325</vt:i4>
      </vt:variant>
      <vt:variant>
        <vt:i4>393</vt:i4>
      </vt:variant>
      <vt:variant>
        <vt:i4>0</vt:i4>
      </vt:variant>
      <vt:variant>
        <vt:i4>5</vt:i4>
      </vt:variant>
      <vt:variant>
        <vt:lpwstr>https://www.itu.int/md/D22-TDAG32-C-0040/en</vt:lpwstr>
      </vt:variant>
      <vt:variant>
        <vt:lpwstr/>
      </vt:variant>
      <vt:variant>
        <vt:i4>7274619</vt:i4>
      </vt:variant>
      <vt:variant>
        <vt:i4>390</vt:i4>
      </vt:variant>
      <vt:variant>
        <vt:i4>0</vt:i4>
      </vt:variant>
      <vt:variant>
        <vt:i4>5</vt:i4>
      </vt:variant>
      <vt:variant>
        <vt:lpwstr>https://www.itu.int/md/T25-TSAG-250526-TD-GEN-0137</vt:lpwstr>
      </vt:variant>
      <vt:variant>
        <vt:lpwstr/>
      </vt:variant>
      <vt:variant>
        <vt:i4>4325407</vt:i4>
      </vt:variant>
      <vt:variant>
        <vt:i4>387</vt:i4>
      </vt:variant>
      <vt:variant>
        <vt:i4>0</vt:i4>
      </vt:variant>
      <vt:variant>
        <vt:i4>5</vt:i4>
      </vt:variant>
      <vt:variant>
        <vt:lpwstr>https://www.itu.int/md/R23-RAG-C-0037/en</vt:lpwstr>
      </vt:variant>
      <vt:variant>
        <vt:lpwstr/>
      </vt:variant>
      <vt:variant>
        <vt:i4>6094965</vt:i4>
      </vt:variant>
      <vt:variant>
        <vt:i4>384</vt:i4>
      </vt:variant>
      <vt:variant>
        <vt:i4>0</vt:i4>
      </vt:variant>
      <vt:variant>
        <vt:i4>5</vt:i4>
      </vt:variant>
      <vt:variant>
        <vt:lpwstr>https://www.itu.int/dms_pub/itu-s/md/25/cl/c/S25-CL-C-0035!!MSW-E.docx</vt:lpwstr>
      </vt:variant>
      <vt:variant>
        <vt:lpwstr/>
      </vt:variant>
      <vt:variant>
        <vt:i4>786454</vt:i4>
      </vt:variant>
      <vt:variant>
        <vt:i4>381</vt:i4>
      </vt:variant>
      <vt:variant>
        <vt:i4>0</vt:i4>
      </vt:variant>
      <vt:variant>
        <vt:i4>5</vt:i4>
      </vt:variant>
      <vt:variant>
        <vt:lpwstr>https://www.itu.int/en/ITU-D/Pages/Regional-Presence.aspx</vt:lpwstr>
      </vt:variant>
      <vt:variant>
        <vt:lpwstr/>
      </vt:variant>
      <vt:variant>
        <vt:i4>1245251</vt:i4>
      </vt:variant>
      <vt:variant>
        <vt:i4>378</vt:i4>
      </vt:variant>
      <vt:variant>
        <vt:i4>0</vt:i4>
      </vt:variant>
      <vt:variant>
        <vt:i4>5</vt:i4>
      </vt:variant>
      <vt:variant>
        <vt:lpwstr>https://www.itu.int/en/council/dashboard/Pages/HumanResourcesReport.aspx</vt:lpwstr>
      </vt:variant>
      <vt:variant>
        <vt:lpwstr/>
      </vt:variant>
      <vt:variant>
        <vt:i4>3997812</vt:i4>
      </vt:variant>
      <vt:variant>
        <vt:i4>375</vt:i4>
      </vt:variant>
      <vt:variant>
        <vt:i4>0</vt:i4>
      </vt:variant>
      <vt:variant>
        <vt:i4>5</vt:i4>
      </vt:variant>
      <vt:variant>
        <vt:lpwstr>https://www.itu.int/itu-d/meetings/rdf/</vt:lpwstr>
      </vt:variant>
      <vt:variant>
        <vt:lpwstr/>
      </vt:variant>
      <vt:variant>
        <vt:i4>4784215</vt:i4>
      </vt:variant>
      <vt:variant>
        <vt:i4>372</vt:i4>
      </vt:variant>
      <vt:variant>
        <vt:i4>0</vt:i4>
      </vt:variant>
      <vt:variant>
        <vt:i4>5</vt:i4>
      </vt:variant>
      <vt:variant>
        <vt:lpwstr>https://www.itu.int/en/ITU-D/Conferences/TDAG/Pages/dashboards/2025/Operational-Plan-Reporting-Dashboard.aspx</vt:lpwstr>
      </vt:variant>
      <vt:variant>
        <vt:lpwstr/>
      </vt:variant>
      <vt:variant>
        <vt:i4>393219</vt:i4>
      </vt:variant>
      <vt:variant>
        <vt:i4>369</vt:i4>
      </vt:variant>
      <vt:variant>
        <vt:i4>0</vt:i4>
      </vt:variant>
      <vt:variant>
        <vt:i4>5</vt:i4>
      </vt:variant>
      <vt:variant>
        <vt:lpwstr>https://www.itu.int/en/ITU-D/Conferences/TDAG/Pages/dashboards/2025/Regional-Initiatives.aspx</vt:lpwstr>
      </vt:variant>
      <vt:variant>
        <vt:lpwstr/>
      </vt:variant>
      <vt:variant>
        <vt:i4>2228325</vt:i4>
      </vt:variant>
      <vt:variant>
        <vt:i4>366</vt:i4>
      </vt:variant>
      <vt:variant>
        <vt:i4>0</vt:i4>
      </vt:variant>
      <vt:variant>
        <vt:i4>5</vt:i4>
      </vt:variant>
      <vt:variant>
        <vt:lpwstr>https://www.itu.int/md/D22-TDAG32-C-0040/en</vt:lpwstr>
      </vt:variant>
      <vt:variant>
        <vt:lpwstr/>
      </vt:variant>
      <vt:variant>
        <vt:i4>2097250</vt:i4>
      </vt:variant>
      <vt:variant>
        <vt:i4>363</vt:i4>
      </vt:variant>
      <vt:variant>
        <vt:i4>0</vt:i4>
      </vt:variant>
      <vt:variant>
        <vt:i4>5</vt:i4>
      </vt:variant>
      <vt:variant>
        <vt:lpwstr>https://www.itu.int/md/D22-TDAG31-C-0002/en</vt:lpwstr>
      </vt:variant>
      <vt:variant>
        <vt:lpwstr/>
      </vt:variant>
      <vt:variant>
        <vt:i4>2556018</vt:i4>
      </vt:variant>
      <vt:variant>
        <vt:i4>360</vt:i4>
      </vt:variant>
      <vt:variant>
        <vt:i4>0</vt:i4>
      </vt:variant>
      <vt:variant>
        <vt:i4>5</vt:i4>
      </vt:variant>
      <vt:variant>
        <vt:lpwstr>https://www.itu.int/md/D22-WTDC25-C-0002/en</vt:lpwstr>
      </vt:variant>
      <vt:variant>
        <vt:lpwstr/>
      </vt:variant>
      <vt:variant>
        <vt:i4>5832769</vt:i4>
      </vt:variant>
      <vt:variant>
        <vt:i4>357</vt:i4>
      </vt:variant>
      <vt:variant>
        <vt:i4>0</vt:i4>
      </vt:variant>
      <vt:variant>
        <vt:i4>5</vt:i4>
      </vt:variant>
      <vt:variant>
        <vt:lpwstr>https://www.itu.int/en/ITU-D/Regional-Presence/Europe/Pages/Events/2023/ITURDF/contributions/default.aspx</vt:lpwstr>
      </vt:variant>
      <vt:variant>
        <vt:lpwstr/>
      </vt:variant>
      <vt:variant>
        <vt:i4>6094860</vt:i4>
      </vt:variant>
      <vt:variant>
        <vt:i4>354</vt:i4>
      </vt:variant>
      <vt:variant>
        <vt:i4>0</vt:i4>
      </vt:variant>
      <vt:variant>
        <vt:i4>5</vt:i4>
      </vt:variant>
      <vt:variant>
        <vt:lpwstr>https://www.itu.int/net4/Search/CL25/Main/Reader</vt:lpwstr>
      </vt:variant>
      <vt:variant>
        <vt:lpwstr/>
      </vt:variant>
      <vt:variant>
        <vt:i4>7077890</vt:i4>
      </vt:variant>
      <vt:variant>
        <vt:i4>351</vt:i4>
      </vt:variant>
      <vt:variant>
        <vt:i4>0</vt:i4>
      </vt:variant>
      <vt:variant>
        <vt:i4>5</vt:i4>
      </vt:variant>
      <vt:variant>
        <vt:lpwstr>https://view.officeapps.live.com/op/view.aspx?src=https%3A%2F%2Fwww.itu.int%2Fdms_pub%2Fitu-s%2Fmd%2F25%2Fcl%2Fc%2FS25-CL-C-0066!!MSW-E.docx&amp;wdOrigin=BROWSELINK</vt:lpwstr>
      </vt:variant>
      <vt:variant>
        <vt:lpwstr/>
      </vt:variant>
      <vt:variant>
        <vt:i4>2556018</vt:i4>
      </vt:variant>
      <vt:variant>
        <vt:i4>348</vt:i4>
      </vt:variant>
      <vt:variant>
        <vt:i4>0</vt:i4>
      </vt:variant>
      <vt:variant>
        <vt:i4>5</vt:i4>
      </vt:variant>
      <vt:variant>
        <vt:lpwstr>https://www.itu.int/md/D22-WTDC25-C-0002/en</vt:lpwstr>
      </vt:variant>
      <vt:variant>
        <vt:lpwstr/>
      </vt:variant>
      <vt:variant>
        <vt:i4>2424930</vt:i4>
      </vt:variant>
      <vt:variant>
        <vt:i4>345</vt:i4>
      </vt:variant>
      <vt:variant>
        <vt:i4>0</vt:i4>
      </vt:variant>
      <vt:variant>
        <vt:i4>5</vt:i4>
      </vt:variant>
      <vt:variant>
        <vt:lpwstr>https://www.itu.int/md/D22-TDAG32-C-0037/en</vt:lpwstr>
      </vt:variant>
      <vt:variant>
        <vt:lpwstr/>
      </vt:variant>
      <vt:variant>
        <vt:i4>2359399</vt:i4>
      </vt:variant>
      <vt:variant>
        <vt:i4>342</vt:i4>
      </vt:variant>
      <vt:variant>
        <vt:i4>0</vt:i4>
      </vt:variant>
      <vt:variant>
        <vt:i4>5</vt:i4>
      </vt:variant>
      <vt:variant>
        <vt:lpwstr>https://www.itu.int/md/D22-TDAG30-C-0046/en</vt:lpwstr>
      </vt:variant>
      <vt:variant>
        <vt:lpwstr/>
      </vt:variant>
      <vt:variant>
        <vt:i4>2228325</vt:i4>
      </vt:variant>
      <vt:variant>
        <vt:i4>339</vt:i4>
      </vt:variant>
      <vt:variant>
        <vt:i4>0</vt:i4>
      </vt:variant>
      <vt:variant>
        <vt:i4>5</vt:i4>
      </vt:variant>
      <vt:variant>
        <vt:lpwstr>https://www.itu.int/md/D22-TDAG32-C-0040/en</vt:lpwstr>
      </vt:variant>
      <vt:variant>
        <vt:lpwstr/>
      </vt:variant>
      <vt:variant>
        <vt:i4>7274619</vt:i4>
      </vt:variant>
      <vt:variant>
        <vt:i4>336</vt:i4>
      </vt:variant>
      <vt:variant>
        <vt:i4>0</vt:i4>
      </vt:variant>
      <vt:variant>
        <vt:i4>5</vt:i4>
      </vt:variant>
      <vt:variant>
        <vt:lpwstr>https://www.itu.int/md/T25-TSAG-250526-TD-GEN-0137</vt:lpwstr>
      </vt:variant>
      <vt:variant>
        <vt:lpwstr/>
      </vt:variant>
      <vt:variant>
        <vt:i4>4325407</vt:i4>
      </vt:variant>
      <vt:variant>
        <vt:i4>333</vt:i4>
      </vt:variant>
      <vt:variant>
        <vt:i4>0</vt:i4>
      </vt:variant>
      <vt:variant>
        <vt:i4>5</vt:i4>
      </vt:variant>
      <vt:variant>
        <vt:lpwstr>https://www.itu.int/md/R23-RAG-C-0037/en</vt:lpwstr>
      </vt:variant>
      <vt:variant>
        <vt:lpwstr/>
      </vt:variant>
      <vt:variant>
        <vt:i4>131083</vt:i4>
      </vt:variant>
      <vt:variant>
        <vt:i4>330</vt:i4>
      </vt:variant>
      <vt:variant>
        <vt:i4>0</vt:i4>
      </vt:variant>
      <vt:variant>
        <vt:i4>5</vt:i4>
      </vt:variant>
      <vt:variant>
        <vt:lpwstr>https://www.itu.int/md/S25-CWGSFP3-C-0006/en</vt:lpwstr>
      </vt:variant>
      <vt:variant>
        <vt:lpwstr/>
      </vt:variant>
      <vt:variant>
        <vt:i4>131082</vt:i4>
      </vt:variant>
      <vt:variant>
        <vt:i4>327</vt:i4>
      </vt:variant>
      <vt:variant>
        <vt:i4>0</vt:i4>
      </vt:variant>
      <vt:variant>
        <vt:i4>5</vt:i4>
      </vt:variant>
      <vt:variant>
        <vt:lpwstr>https://www.itu.int/md/S25-CWGSFP3-C-0007/en</vt:lpwstr>
      </vt:variant>
      <vt:variant>
        <vt:lpwstr/>
      </vt:variant>
      <vt:variant>
        <vt:i4>6094965</vt:i4>
      </vt:variant>
      <vt:variant>
        <vt:i4>324</vt:i4>
      </vt:variant>
      <vt:variant>
        <vt:i4>0</vt:i4>
      </vt:variant>
      <vt:variant>
        <vt:i4>5</vt:i4>
      </vt:variant>
      <vt:variant>
        <vt:lpwstr>https://www.itu.int/dms_pub/itu-s/md/25/cl/c/S25-CL-C-0035!!MSW-E.docx</vt:lpwstr>
      </vt:variant>
      <vt:variant>
        <vt:lpwstr/>
      </vt:variant>
      <vt:variant>
        <vt:i4>2228325</vt:i4>
      </vt:variant>
      <vt:variant>
        <vt:i4>321</vt:i4>
      </vt:variant>
      <vt:variant>
        <vt:i4>0</vt:i4>
      </vt:variant>
      <vt:variant>
        <vt:i4>5</vt:i4>
      </vt:variant>
      <vt:variant>
        <vt:lpwstr>https://www.itu.int/md/D22-TDAG32-C-0040/en</vt:lpwstr>
      </vt:variant>
      <vt:variant>
        <vt:lpwstr/>
      </vt:variant>
      <vt:variant>
        <vt:i4>4325407</vt:i4>
      </vt:variant>
      <vt:variant>
        <vt:i4>318</vt:i4>
      </vt:variant>
      <vt:variant>
        <vt:i4>0</vt:i4>
      </vt:variant>
      <vt:variant>
        <vt:i4>5</vt:i4>
      </vt:variant>
      <vt:variant>
        <vt:lpwstr>https://www.itu.int/md/R23-RAG-C-0037/en</vt:lpwstr>
      </vt:variant>
      <vt:variant>
        <vt:lpwstr/>
      </vt:variant>
      <vt:variant>
        <vt:i4>7274619</vt:i4>
      </vt:variant>
      <vt:variant>
        <vt:i4>315</vt:i4>
      </vt:variant>
      <vt:variant>
        <vt:i4>0</vt:i4>
      </vt:variant>
      <vt:variant>
        <vt:i4>5</vt:i4>
      </vt:variant>
      <vt:variant>
        <vt:lpwstr>https://www.itu.int/md/T25-TSAG-250526-TD-GEN-0137</vt:lpwstr>
      </vt:variant>
      <vt:variant>
        <vt:lpwstr/>
      </vt:variant>
      <vt:variant>
        <vt:i4>2097250</vt:i4>
      </vt:variant>
      <vt:variant>
        <vt:i4>312</vt:i4>
      </vt:variant>
      <vt:variant>
        <vt:i4>0</vt:i4>
      </vt:variant>
      <vt:variant>
        <vt:i4>5</vt:i4>
      </vt:variant>
      <vt:variant>
        <vt:lpwstr>https://www.itu.int/md/D22-TDAG31-C-0002/en</vt:lpwstr>
      </vt:variant>
      <vt:variant>
        <vt:lpwstr/>
      </vt:variant>
      <vt:variant>
        <vt:i4>2556018</vt:i4>
      </vt:variant>
      <vt:variant>
        <vt:i4>309</vt:i4>
      </vt:variant>
      <vt:variant>
        <vt:i4>0</vt:i4>
      </vt:variant>
      <vt:variant>
        <vt:i4>5</vt:i4>
      </vt:variant>
      <vt:variant>
        <vt:lpwstr>https://www.itu.int/md/D22-WTDC25-C-0002/en</vt:lpwstr>
      </vt:variant>
      <vt:variant>
        <vt:lpwstr/>
      </vt:variant>
      <vt:variant>
        <vt:i4>4784215</vt:i4>
      </vt:variant>
      <vt:variant>
        <vt:i4>306</vt:i4>
      </vt:variant>
      <vt:variant>
        <vt:i4>0</vt:i4>
      </vt:variant>
      <vt:variant>
        <vt:i4>5</vt:i4>
      </vt:variant>
      <vt:variant>
        <vt:lpwstr>https://www.itu.int/en/ITU-D/Conferences/TDAG/Pages/dashboards/2025/Operational-Plan-Reporting-Dashboard.aspx</vt:lpwstr>
      </vt:variant>
      <vt:variant>
        <vt:lpwstr/>
      </vt:variant>
      <vt:variant>
        <vt:i4>393219</vt:i4>
      </vt:variant>
      <vt:variant>
        <vt:i4>303</vt:i4>
      </vt:variant>
      <vt:variant>
        <vt:i4>0</vt:i4>
      </vt:variant>
      <vt:variant>
        <vt:i4>5</vt:i4>
      </vt:variant>
      <vt:variant>
        <vt:lpwstr>https://www.itu.int/en/ITU-D/Conferences/TDAG/Pages/dashboards/2025/Regional-Initiatives.aspx</vt:lpwstr>
      </vt:variant>
      <vt:variant>
        <vt:lpwstr/>
      </vt:variant>
      <vt:variant>
        <vt:i4>2228325</vt:i4>
      </vt:variant>
      <vt:variant>
        <vt:i4>300</vt:i4>
      </vt:variant>
      <vt:variant>
        <vt:i4>0</vt:i4>
      </vt:variant>
      <vt:variant>
        <vt:i4>5</vt:i4>
      </vt:variant>
      <vt:variant>
        <vt:lpwstr>https://www.itu.int/md/D22-TDAG32-C-0040/en</vt:lpwstr>
      </vt:variant>
      <vt:variant>
        <vt:lpwstr/>
      </vt:variant>
      <vt:variant>
        <vt:i4>7274619</vt:i4>
      </vt:variant>
      <vt:variant>
        <vt:i4>297</vt:i4>
      </vt:variant>
      <vt:variant>
        <vt:i4>0</vt:i4>
      </vt:variant>
      <vt:variant>
        <vt:i4>5</vt:i4>
      </vt:variant>
      <vt:variant>
        <vt:lpwstr>https://www.itu.int/md/T25-TSAG-250526-TD-GEN-0137</vt:lpwstr>
      </vt:variant>
      <vt:variant>
        <vt:lpwstr/>
      </vt:variant>
      <vt:variant>
        <vt:i4>4325407</vt:i4>
      </vt:variant>
      <vt:variant>
        <vt:i4>294</vt:i4>
      </vt:variant>
      <vt:variant>
        <vt:i4>0</vt:i4>
      </vt:variant>
      <vt:variant>
        <vt:i4>5</vt:i4>
      </vt:variant>
      <vt:variant>
        <vt:lpwstr>https://www.itu.int/md/R23-RAG-C-0037/en</vt:lpwstr>
      </vt:variant>
      <vt:variant>
        <vt:lpwstr/>
      </vt:variant>
      <vt:variant>
        <vt:i4>131082</vt:i4>
      </vt:variant>
      <vt:variant>
        <vt:i4>291</vt:i4>
      </vt:variant>
      <vt:variant>
        <vt:i4>0</vt:i4>
      </vt:variant>
      <vt:variant>
        <vt:i4>5</vt:i4>
      </vt:variant>
      <vt:variant>
        <vt:lpwstr>https://www.itu.int/md/S25-CWGSFP3-C-0007/en</vt:lpwstr>
      </vt:variant>
      <vt:variant>
        <vt:lpwstr/>
      </vt:variant>
      <vt:variant>
        <vt:i4>6094965</vt:i4>
      </vt:variant>
      <vt:variant>
        <vt:i4>288</vt:i4>
      </vt:variant>
      <vt:variant>
        <vt:i4>0</vt:i4>
      </vt:variant>
      <vt:variant>
        <vt:i4>5</vt:i4>
      </vt:variant>
      <vt:variant>
        <vt:lpwstr>https://www.itu.int/dms_pub/itu-s/md/25/cl/c/S25-CL-C-0035!!MSW-E.docx</vt:lpwstr>
      </vt:variant>
      <vt:variant>
        <vt:lpwstr/>
      </vt:variant>
      <vt:variant>
        <vt:i4>5046273</vt:i4>
      </vt:variant>
      <vt:variant>
        <vt:i4>285</vt:i4>
      </vt:variant>
      <vt:variant>
        <vt:i4>0</vt:i4>
      </vt:variant>
      <vt:variant>
        <vt:i4>5</vt:i4>
      </vt:variant>
      <vt:variant>
        <vt:lpwstr>https://www.itu.int/md/S26-CWGFHR22-C-0004/en</vt:lpwstr>
      </vt:variant>
      <vt:variant>
        <vt:lpwstr/>
      </vt:variant>
      <vt:variant>
        <vt:i4>2097249</vt:i4>
      </vt:variant>
      <vt:variant>
        <vt:i4>282</vt:i4>
      </vt:variant>
      <vt:variant>
        <vt:i4>0</vt:i4>
      </vt:variant>
      <vt:variant>
        <vt:i4>5</vt:i4>
      </vt:variant>
      <vt:variant>
        <vt:lpwstr>https://www.itu.int/md/D26-TDAG33-C-0016/en</vt:lpwstr>
      </vt:variant>
      <vt:variant>
        <vt:lpwstr/>
      </vt:variant>
      <vt:variant>
        <vt:i4>4653086</vt:i4>
      </vt:variant>
      <vt:variant>
        <vt:i4>279</vt:i4>
      </vt:variant>
      <vt:variant>
        <vt:i4>0</vt:i4>
      </vt:variant>
      <vt:variant>
        <vt:i4>5</vt:i4>
      </vt:variant>
      <vt:variant>
        <vt:lpwstr>https://www.itu.int/md/R23-RAG-C-0066/en</vt:lpwstr>
      </vt:variant>
      <vt:variant>
        <vt:lpwstr/>
      </vt:variant>
      <vt:variant>
        <vt:i4>3473532</vt:i4>
      </vt:variant>
      <vt:variant>
        <vt:i4>276</vt:i4>
      </vt:variant>
      <vt:variant>
        <vt:i4>0</vt:i4>
      </vt:variant>
      <vt:variant>
        <vt:i4>5</vt:i4>
      </vt:variant>
      <vt:variant>
        <vt:lpwstr>https://www.itu.int/en/council/ties/Documents/2026/Review-of-the-ITU-Regional-Presence.pdf</vt:lpwstr>
      </vt:variant>
      <vt:variant>
        <vt:lpwstr/>
      </vt:variant>
      <vt:variant>
        <vt:i4>720982</vt:i4>
      </vt:variant>
      <vt:variant>
        <vt:i4>273</vt:i4>
      </vt:variant>
      <vt:variant>
        <vt:i4>0</vt:i4>
      </vt:variant>
      <vt:variant>
        <vt:i4>5</vt:i4>
      </vt:variant>
      <vt:variant>
        <vt:lpwstr>https://www.itu.int/md/T25-TSAG-260126-TD-GEN-0313/en</vt:lpwstr>
      </vt:variant>
      <vt:variant>
        <vt:lpwstr/>
      </vt:variant>
      <vt:variant>
        <vt:i4>5177346</vt:i4>
      </vt:variant>
      <vt:variant>
        <vt:i4>270</vt:i4>
      </vt:variant>
      <vt:variant>
        <vt:i4>0</vt:i4>
      </vt:variant>
      <vt:variant>
        <vt:i4>5</vt:i4>
      </vt:variant>
      <vt:variant>
        <vt:lpwstr>https://www.itu.int/md/S26-CWGFHR22-C-0036/en</vt:lpwstr>
      </vt:variant>
      <vt:variant>
        <vt:lpwstr/>
      </vt:variant>
      <vt:variant>
        <vt:i4>2490477</vt:i4>
      </vt:variant>
      <vt:variant>
        <vt:i4>267</vt:i4>
      </vt:variant>
      <vt:variant>
        <vt:i4>0</vt:i4>
      </vt:variant>
      <vt:variant>
        <vt:i4>5</vt:i4>
      </vt:variant>
      <vt:variant>
        <vt:lpwstr>https://www.itu.int/md/S26-CWGFHR22-INF-0001/en</vt:lpwstr>
      </vt:variant>
      <vt:variant>
        <vt:lpwstr/>
      </vt:variant>
      <vt:variant>
        <vt:i4>5046273</vt:i4>
      </vt:variant>
      <vt:variant>
        <vt:i4>264</vt:i4>
      </vt:variant>
      <vt:variant>
        <vt:i4>0</vt:i4>
      </vt:variant>
      <vt:variant>
        <vt:i4>5</vt:i4>
      </vt:variant>
      <vt:variant>
        <vt:lpwstr>https://www.itu.int/md/S26-CWGFHR22-C-0004/en</vt:lpwstr>
      </vt:variant>
      <vt:variant>
        <vt:lpwstr/>
      </vt:variant>
      <vt:variant>
        <vt:i4>5046273</vt:i4>
      </vt:variant>
      <vt:variant>
        <vt:i4>261</vt:i4>
      </vt:variant>
      <vt:variant>
        <vt:i4>0</vt:i4>
      </vt:variant>
      <vt:variant>
        <vt:i4>5</vt:i4>
      </vt:variant>
      <vt:variant>
        <vt:lpwstr>https://www.itu.int/md/S26-CWGFHR22-C-0004/en</vt:lpwstr>
      </vt:variant>
      <vt:variant>
        <vt:lpwstr/>
      </vt:variant>
      <vt:variant>
        <vt:i4>5046273</vt:i4>
      </vt:variant>
      <vt:variant>
        <vt:i4>258</vt:i4>
      </vt:variant>
      <vt:variant>
        <vt:i4>0</vt:i4>
      </vt:variant>
      <vt:variant>
        <vt:i4>5</vt:i4>
      </vt:variant>
      <vt:variant>
        <vt:lpwstr>https://www.itu.int/md/S26-CWGFHR22-C-0004/en</vt:lpwstr>
      </vt:variant>
      <vt:variant>
        <vt:lpwstr/>
      </vt:variant>
      <vt:variant>
        <vt:i4>5177344</vt:i4>
      </vt:variant>
      <vt:variant>
        <vt:i4>255</vt:i4>
      </vt:variant>
      <vt:variant>
        <vt:i4>0</vt:i4>
      </vt:variant>
      <vt:variant>
        <vt:i4>5</vt:i4>
      </vt:variant>
      <vt:variant>
        <vt:lpwstr>https://www.itu.int/md/S25-CWGFHR21-C-0025/en</vt:lpwstr>
      </vt:variant>
      <vt:variant>
        <vt:lpwstr/>
      </vt:variant>
      <vt:variant>
        <vt:i4>5111810</vt:i4>
      </vt:variant>
      <vt:variant>
        <vt:i4>252</vt:i4>
      </vt:variant>
      <vt:variant>
        <vt:i4>0</vt:i4>
      </vt:variant>
      <vt:variant>
        <vt:i4>5</vt:i4>
      </vt:variant>
      <vt:variant>
        <vt:lpwstr>https://www.itu.int/md/S25-CWGFHR21-C-0004/en</vt:lpwstr>
      </vt:variant>
      <vt:variant>
        <vt:lpwstr/>
      </vt:variant>
      <vt:variant>
        <vt:i4>7536700</vt:i4>
      </vt:variant>
      <vt:variant>
        <vt:i4>249</vt:i4>
      </vt:variant>
      <vt:variant>
        <vt:i4>0</vt:i4>
      </vt:variant>
      <vt:variant>
        <vt:i4>5</vt:i4>
      </vt:variant>
      <vt:variant>
        <vt:lpwstr>https://www.itu.int/md/S25-CL-C-0105/en</vt:lpwstr>
      </vt:variant>
      <vt:variant>
        <vt:lpwstr/>
      </vt:variant>
      <vt:variant>
        <vt:i4>5046273</vt:i4>
      </vt:variant>
      <vt:variant>
        <vt:i4>246</vt:i4>
      </vt:variant>
      <vt:variant>
        <vt:i4>0</vt:i4>
      </vt:variant>
      <vt:variant>
        <vt:i4>5</vt:i4>
      </vt:variant>
      <vt:variant>
        <vt:lpwstr>https://www.itu.int/md/S26-CWGFHR22-C-0004/en</vt:lpwstr>
      </vt:variant>
      <vt:variant>
        <vt:lpwstr/>
      </vt:variant>
      <vt:variant>
        <vt:i4>5046273</vt:i4>
      </vt:variant>
      <vt:variant>
        <vt:i4>243</vt:i4>
      </vt:variant>
      <vt:variant>
        <vt:i4>0</vt:i4>
      </vt:variant>
      <vt:variant>
        <vt:i4>5</vt:i4>
      </vt:variant>
      <vt:variant>
        <vt:lpwstr>https://www.itu.int/md/S26-CWGFHR22-C-0004/en</vt:lpwstr>
      </vt:variant>
      <vt:variant>
        <vt:lpwstr/>
      </vt:variant>
      <vt:variant>
        <vt:i4>852016</vt:i4>
      </vt:variant>
      <vt:variant>
        <vt:i4>240</vt:i4>
      </vt:variant>
      <vt:variant>
        <vt:i4>0</vt:i4>
      </vt:variant>
      <vt:variant>
        <vt:i4>5</vt:i4>
      </vt:variant>
      <vt:variant>
        <vt:lpwstr>https://www.itu.int/dms_pub/itu-d/md/22/bdt/cir/D22-BDT-CIR-0084!!PDF-E.pdf</vt:lpwstr>
      </vt:variant>
      <vt:variant>
        <vt:lpwstr/>
      </vt:variant>
      <vt:variant>
        <vt:i4>7536700</vt:i4>
      </vt:variant>
      <vt:variant>
        <vt:i4>237</vt:i4>
      </vt:variant>
      <vt:variant>
        <vt:i4>0</vt:i4>
      </vt:variant>
      <vt:variant>
        <vt:i4>5</vt:i4>
      </vt:variant>
      <vt:variant>
        <vt:lpwstr>https://www.itu.int/md/S25-CL-C-0105/en</vt:lpwstr>
      </vt:variant>
      <vt:variant>
        <vt:lpwstr/>
      </vt:variant>
      <vt:variant>
        <vt:i4>7536700</vt:i4>
      </vt:variant>
      <vt:variant>
        <vt:i4>234</vt:i4>
      </vt:variant>
      <vt:variant>
        <vt:i4>0</vt:i4>
      </vt:variant>
      <vt:variant>
        <vt:i4>5</vt:i4>
      </vt:variant>
      <vt:variant>
        <vt:lpwstr>https://www.itu.int/md/S25-CL-C-0105/en</vt:lpwstr>
      </vt:variant>
      <vt:variant>
        <vt:lpwstr/>
      </vt:variant>
      <vt:variant>
        <vt:i4>7536700</vt:i4>
      </vt:variant>
      <vt:variant>
        <vt:i4>231</vt:i4>
      </vt:variant>
      <vt:variant>
        <vt:i4>0</vt:i4>
      </vt:variant>
      <vt:variant>
        <vt:i4>5</vt:i4>
      </vt:variant>
      <vt:variant>
        <vt:lpwstr>https://www.itu.int/md/S25-CL-C-0105/en</vt:lpwstr>
      </vt:variant>
      <vt:variant>
        <vt:lpwstr/>
      </vt:variant>
      <vt:variant>
        <vt:i4>7077987</vt:i4>
      </vt:variant>
      <vt:variant>
        <vt:i4>228</vt:i4>
      </vt:variant>
      <vt:variant>
        <vt:i4>0</vt:i4>
      </vt:variant>
      <vt:variant>
        <vt:i4>5</vt:i4>
      </vt:variant>
      <vt:variant>
        <vt:lpwstr>https://www.itu.int/en/council/Documents/basic-texts-2023/RES-025-E.pdf</vt:lpwstr>
      </vt:variant>
      <vt:variant>
        <vt:lpwstr/>
      </vt:variant>
      <vt:variant>
        <vt:i4>8257594</vt:i4>
      </vt:variant>
      <vt:variant>
        <vt:i4>225</vt:i4>
      </vt:variant>
      <vt:variant>
        <vt:i4>0</vt:i4>
      </vt:variant>
      <vt:variant>
        <vt:i4>5</vt:i4>
      </vt:variant>
      <vt:variant>
        <vt:lpwstr>https://www.itu.int/md/S25-CL-C-0069/en</vt:lpwstr>
      </vt:variant>
      <vt:variant>
        <vt:lpwstr/>
      </vt:variant>
      <vt:variant>
        <vt:i4>7536700</vt:i4>
      </vt:variant>
      <vt:variant>
        <vt:i4>222</vt:i4>
      </vt:variant>
      <vt:variant>
        <vt:i4>0</vt:i4>
      </vt:variant>
      <vt:variant>
        <vt:i4>5</vt:i4>
      </vt:variant>
      <vt:variant>
        <vt:lpwstr>https://www.itu.int/md/S25-CL-C-0105/en</vt:lpwstr>
      </vt:variant>
      <vt:variant>
        <vt:lpwstr/>
      </vt:variant>
      <vt:variant>
        <vt:i4>4718592</vt:i4>
      </vt:variant>
      <vt:variant>
        <vt:i4>219</vt:i4>
      </vt:variant>
      <vt:variant>
        <vt:i4>0</vt:i4>
      </vt:variant>
      <vt:variant>
        <vt:i4>5</vt:i4>
      </vt:variant>
      <vt:variant>
        <vt:lpwstr>https://www.itu.int/md/S25-CWGFHR20-C-0032/en</vt:lpwstr>
      </vt:variant>
      <vt:variant>
        <vt:lpwstr/>
      </vt:variant>
      <vt:variant>
        <vt:i4>5046283</vt:i4>
      </vt:variant>
      <vt:variant>
        <vt:i4>216</vt:i4>
      </vt:variant>
      <vt:variant>
        <vt:i4>0</vt:i4>
      </vt:variant>
      <vt:variant>
        <vt:i4>5</vt:i4>
      </vt:variant>
      <vt:variant>
        <vt:lpwstr>https://www.itu.int/md/S24-CWGFHR19-C-0015/en</vt:lpwstr>
      </vt:variant>
      <vt:variant>
        <vt:lpwstr/>
      </vt:variant>
      <vt:variant>
        <vt:i4>7077987</vt:i4>
      </vt:variant>
      <vt:variant>
        <vt:i4>213</vt:i4>
      </vt:variant>
      <vt:variant>
        <vt:i4>0</vt:i4>
      </vt:variant>
      <vt:variant>
        <vt:i4>5</vt:i4>
      </vt:variant>
      <vt:variant>
        <vt:lpwstr>https://www.itu.int/en/council/Documents/basic-texts-2023/RES-025-E.pdf</vt:lpwstr>
      </vt:variant>
      <vt:variant>
        <vt:lpwstr/>
      </vt:variant>
      <vt:variant>
        <vt:i4>1310781</vt:i4>
      </vt:variant>
      <vt:variant>
        <vt:i4>206</vt:i4>
      </vt:variant>
      <vt:variant>
        <vt:i4>0</vt:i4>
      </vt:variant>
      <vt:variant>
        <vt:i4>5</vt:i4>
      </vt:variant>
      <vt:variant>
        <vt:lpwstr/>
      </vt:variant>
      <vt:variant>
        <vt:lpwstr>_Toc225333915</vt:lpwstr>
      </vt:variant>
      <vt:variant>
        <vt:i4>1310781</vt:i4>
      </vt:variant>
      <vt:variant>
        <vt:i4>200</vt:i4>
      </vt:variant>
      <vt:variant>
        <vt:i4>0</vt:i4>
      </vt:variant>
      <vt:variant>
        <vt:i4>5</vt:i4>
      </vt:variant>
      <vt:variant>
        <vt:lpwstr/>
      </vt:variant>
      <vt:variant>
        <vt:lpwstr>_Toc225333914</vt:lpwstr>
      </vt:variant>
      <vt:variant>
        <vt:i4>1310781</vt:i4>
      </vt:variant>
      <vt:variant>
        <vt:i4>194</vt:i4>
      </vt:variant>
      <vt:variant>
        <vt:i4>0</vt:i4>
      </vt:variant>
      <vt:variant>
        <vt:i4>5</vt:i4>
      </vt:variant>
      <vt:variant>
        <vt:lpwstr/>
      </vt:variant>
      <vt:variant>
        <vt:lpwstr>_Toc225333913</vt:lpwstr>
      </vt:variant>
      <vt:variant>
        <vt:i4>1310781</vt:i4>
      </vt:variant>
      <vt:variant>
        <vt:i4>188</vt:i4>
      </vt:variant>
      <vt:variant>
        <vt:i4>0</vt:i4>
      </vt:variant>
      <vt:variant>
        <vt:i4>5</vt:i4>
      </vt:variant>
      <vt:variant>
        <vt:lpwstr/>
      </vt:variant>
      <vt:variant>
        <vt:lpwstr>_Toc225333912</vt:lpwstr>
      </vt:variant>
      <vt:variant>
        <vt:i4>1310781</vt:i4>
      </vt:variant>
      <vt:variant>
        <vt:i4>182</vt:i4>
      </vt:variant>
      <vt:variant>
        <vt:i4>0</vt:i4>
      </vt:variant>
      <vt:variant>
        <vt:i4>5</vt:i4>
      </vt:variant>
      <vt:variant>
        <vt:lpwstr/>
      </vt:variant>
      <vt:variant>
        <vt:lpwstr>_Toc225333911</vt:lpwstr>
      </vt:variant>
      <vt:variant>
        <vt:i4>1310781</vt:i4>
      </vt:variant>
      <vt:variant>
        <vt:i4>176</vt:i4>
      </vt:variant>
      <vt:variant>
        <vt:i4>0</vt:i4>
      </vt:variant>
      <vt:variant>
        <vt:i4>5</vt:i4>
      </vt:variant>
      <vt:variant>
        <vt:lpwstr/>
      </vt:variant>
      <vt:variant>
        <vt:lpwstr>_Toc225333910</vt:lpwstr>
      </vt:variant>
      <vt:variant>
        <vt:i4>1376317</vt:i4>
      </vt:variant>
      <vt:variant>
        <vt:i4>170</vt:i4>
      </vt:variant>
      <vt:variant>
        <vt:i4>0</vt:i4>
      </vt:variant>
      <vt:variant>
        <vt:i4>5</vt:i4>
      </vt:variant>
      <vt:variant>
        <vt:lpwstr/>
      </vt:variant>
      <vt:variant>
        <vt:lpwstr>_Toc225333909</vt:lpwstr>
      </vt:variant>
      <vt:variant>
        <vt:i4>1376317</vt:i4>
      </vt:variant>
      <vt:variant>
        <vt:i4>164</vt:i4>
      </vt:variant>
      <vt:variant>
        <vt:i4>0</vt:i4>
      </vt:variant>
      <vt:variant>
        <vt:i4>5</vt:i4>
      </vt:variant>
      <vt:variant>
        <vt:lpwstr/>
      </vt:variant>
      <vt:variant>
        <vt:lpwstr>_Toc225333908</vt:lpwstr>
      </vt:variant>
      <vt:variant>
        <vt:i4>1376317</vt:i4>
      </vt:variant>
      <vt:variant>
        <vt:i4>158</vt:i4>
      </vt:variant>
      <vt:variant>
        <vt:i4>0</vt:i4>
      </vt:variant>
      <vt:variant>
        <vt:i4>5</vt:i4>
      </vt:variant>
      <vt:variant>
        <vt:lpwstr/>
      </vt:variant>
      <vt:variant>
        <vt:lpwstr>_Toc225333907</vt:lpwstr>
      </vt:variant>
      <vt:variant>
        <vt:i4>1376317</vt:i4>
      </vt:variant>
      <vt:variant>
        <vt:i4>152</vt:i4>
      </vt:variant>
      <vt:variant>
        <vt:i4>0</vt:i4>
      </vt:variant>
      <vt:variant>
        <vt:i4>5</vt:i4>
      </vt:variant>
      <vt:variant>
        <vt:lpwstr/>
      </vt:variant>
      <vt:variant>
        <vt:lpwstr>_Toc225333906</vt:lpwstr>
      </vt:variant>
      <vt:variant>
        <vt:i4>1376317</vt:i4>
      </vt:variant>
      <vt:variant>
        <vt:i4>146</vt:i4>
      </vt:variant>
      <vt:variant>
        <vt:i4>0</vt:i4>
      </vt:variant>
      <vt:variant>
        <vt:i4>5</vt:i4>
      </vt:variant>
      <vt:variant>
        <vt:lpwstr/>
      </vt:variant>
      <vt:variant>
        <vt:lpwstr>_Toc225333905</vt:lpwstr>
      </vt:variant>
      <vt:variant>
        <vt:i4>1376317</vt:i4>
      </vt:variant>
      <vt:variant>
        <vt:i4>140</vt:i4>
      </vt:variant>
      <vt:variant>
        <vt:i4>0</vt:i4>
      </vt:variant>
      <vt:variant>
        <vt:i4>5</vt:i4>
      </vt:variant>
      <vt:variant>
        <vt:lpwstr/>
      </vt:variant>
      <vt:variant>
        <vt:lpwstr>_Toc225333904</vt:lpwstr>
      </vt:variant>
      <vt:variant>
        <vt:i4>1376317</vt:i4>
      </vt:variant>
      <vt:variant>
        <vt:i4>134</vt:i4>
      </vt:variant>
      <vt:variant>
        <vt:i4>0</vt:i4>
      </vt:variant>
      <vt:variant>
        <vt:i4>5</vt:i4>
      </vt:variant>
      <vt:variant>
        <vt:lpwstr/>
      </vt:variant>
      <vt:variant>
        <vt:lpwstr>_Toc225333903</vt:lpwstr>
      </vt:variant>
      <vt:variant>
        <vt:i4>1376317</vt:i4>
      </vt:variant>
      <vt:variant>
        <vt:i4>128</vt:i4>
      </vt:variant>
      <vt:variant>
        <vt:i4>0</vt:i4>
      </vt:variant>
      <vt:variant>
        <vt:i4>5</vt:i4>
      </vt:variant>
      <vt:variant>
        <vt:lpwstr/>
      </vt:variant>
      <vt:variant>
        <vt:lpwstr>_Toc225333902</vt:lpwstr>
      </vt:variant>
      <vt:variant>
        <vt:i4>1376317</vt:i4>
      </vt:variant>
      <vt:variant>
        <vt:i4>122</vt:i4>
      </vt:variant>
      <vt:variant>
        <vt:i4>0</vt:i4>
      </vt:variant>
      <vt:variant>
        <vt:i4>5</vt:i4>
      </vt:variant>
      <vt:variant>
        <vt:lpwstr/>
      </vt:variant>
      <vt:variant>
        <vt:lpwstr>_Toc225333901</vt:lpwstr>
      </vt:variant>
      <vt:variant>
        <vt:i4>1376317</vt:i4>
      </vt:variant>
      <vt:variant>
        <vt:i4>116</vt:i4>
      </vt:variant>
      <vt:variant>
        <vt:i4>0</vt:i4>
      </vt:variant>
      <vt:variant>
        <vt:i4>5</vt:i4>
      </vt:variant>
      <vt:variant>
        <vt:lpwstr/>
      </vt:variant>
      <vt:variant>
        <vt:lpwstr>_Toc225333900</vt:lpwstr>
      </vt:variant>
      <vt:variant>
        <vt:i4>1835068</vt:i4>
      </vt:variant>
      <vt:variant>
        <vt:i4>110</vt:i4>
      </vt:variant>
      <vt:variant>
        <vt:i4>0</vt:i4>
      </vt:variant>
      <vt:variant>
        <vt:i4>5</vt:i4>
      </vt:variant>
      <vt:variant>
        <vt:lpwstr/>
      </vt:variant>
      <vt:variant>
        <vt:lpwstr>_Toc225333899</vt:lpwstr>
      </vt:variant>
      <vt:variant>
        <vt:i4>1835068</vt:i4>
      </vt:variant>
      <vt:variant>
        <vt:i4>104</vt:i4>
      </vt:variant>
      <vt:variant>
        <vt:i4>0</vt:i4>
      </vt:variant>
      <vt:variant>
        <vt:i4>5</vt:i4>
      </vt:variant>
      <vt:variant>
        <vt:lpwstr/>
      </vt:variant>
      <vt:variant>
        <vt:lpwstr>_Toc225333898</vt:lpwstr>
      </vt:variant>
      <vt:variant>
        <vt:i4>1835068</vt:i4>
      </vt:variant>
      <vt:variant>
        <vt:i4>98</vt:i4>
      </vt:variant>
      <vt:variant>
        <vt:i4>0</vt:i4>
      </vt:variant>
      <vt:variant>
        <vt:i4>5</vt:i4>
      </vt:variant>
      <vt:variant>
        <vt:lpwstr/>
      </vt:variant>
      <vt:variant>
        <vt:lpwstr>_Toc225333897</vt:lpwstr>
      </vt:variant>
      <vt:variant>
        <vt:i4>1835068</vt:i4>
      </vt:variant>
      <vt:variant>
        <vt:i4>92</vt:i4>
      </vt:variant>
      <vt:variant>
        <vt:i4>0</vt:i4>
      </vt:variant>
      <vt:variant>
        <vt:i4>5</vt:i4>
      </vt:variant>
      <vt:variant>
        <vt:lpwstr/>
      </vt:variant>
      <vt:variant>
        <vt:lpwstr>_Toc225333896</vt:lpwstr>
      </vt:variant>
      <vt:variant>
        <vt:i4>1835068</vt:i4>
      </vt:variant>
      <vt:variant>
        <vt:i4>86</vt:i4>
      </vt:variant>
      <vt:variant>
        <vt:i4>0</vt:i4>
      </vt:variant>
      <vt:variant>
        <vt:i4>5</vt:i4>
      </vt:variant>
      <vt:variant>
        <vt:lpwstr/>
      </vt:variant>
      <vt:variant>
        <vt:lpwstr>_Toc225333895</vt:lpwstr>
      </vt:variant>
      <vt:variant>
        <vt:i4>1835068</vt:i4>
      </vt:variant>
      <vt:variant>
        <vt:i4>80</vt:i4>
      </vt:variant>
      <vt:variant>
        <vt:i4>0</vt:i4>
      </vt:variant>
      <vt:variant>
        <vt:i4>5</vt:i4>
      </vt:variant>
      <vt:variant>
        <vt:lpwstr/>
      </vt:variant>
      <vt:variant>
        <vt:lpwstr>_Toc225333894</vt:lpwstr>
      </vt:variant>
      <vt:variant>
        <vt:i4>1835068</vt:i4>
      </vt:variant>
      <vt:variant>
        <vt:i4>74</vt:i4>
      </vt:variant>
      <vt:variant>
        <vt:i4>0</vt:i4>
      </vt:variant>
      <vt:variant>
        <vt:i4>5</vt:i4>
      </vt:variant>
      <vt:variant>
        <vt:lpwstr/>
      </vt:variant>
      <vt:variant>
        <vt:lpwstr>_Toc225333893</vt:lpwstr>
      </vt:variant>
      <vt:variant>
        <vt:i4>1835068</vt:i4>
      </vt:variant>
      <vt:variant>
        <vt:i4>68</vt:i4>
      </vt:variant>
      <vt:variant>
        <vt:i4>0</vt:i4>
      </vt:variant>
      <vt:variant>
        <vt:i4>5</vt:i4>
      </vt:variant>
      <vt:variant>
        <vt:lpwstr/>
      </vt:variant>
      <vt:variant>
        <vt:lpwstr>_Toc225333892</vt:lpwstr>
      </vt:variant>
      <vt:variant>
        <vt:i4>1835068</vt:i4>
      </vt:variant>
      <vt:variant>
        <vt:i4>62</vt:i4>
      </vt:variant>
      <vt:variant>
        <vt:i4>0</vt:i4>
      </vt:variant>
      <vt:variant>
        <vt:i4>5</vt:i4>
      </vt:variant>
      <vt:variant>
        <vt:lpwstr/>
      </vt:variant>
      <vt:variant>
        <vt:lpwstr>_Toc225333891</vt:lpwstr>
      </vt:variant>
      <vt:variant>
        <vt:i4>1835068</vt:i4>
      </vt:variant>
      <vt:variant>
        <vt:i4>56</vt:i4>
      </vt:variant>
      <vt:variant>
        <vt:i4>0</vt:i4>
      </vt:variant>
      <vt:variant>
        <vt:i4>5</vt:i4>
      </vt:variant>
      <vt:variant>
        <vt:lpwstr/>
      </vt:variant>
      <vt:variant>
        <vt:lpwstr>_Toc225333890</vt:lpwstr>
      </vt:variant>
      <vt:variant>
        <vt:i4>1900604</vt:i4>
      </vt:variant>
      <vt:variant>
        <vt:i4>50</vt:i4>
      </vt:variant>
      <vt:variant>
        <vt:i4>0</vt:i4>
      </vt:variant>
      <vt:variant>
        <vt:i4>5</vt:i4>
      </vt:variant>
      <vt:variant>
        <vt:lpwstr/>
      </vt:variant>
      <vt:variant>
        <vt:lpwstr>_Toc225333889</vt:lpwstr>
      </vt:variant>
      <vt:variant>
        <vt:i4>1900604</vt:i4>
      </vt:variant>
      <vt:variant>
        <vt:i4>44</vt:i4>
      </vt:variant>
      <vt:variant>
        <vt:i4>0</vt:i4>
      </vt:variant>
      <vt:variant>
        <vt:i4>5</vt:i4>
      </vt:variant>
      <vt:variant>
        <vt:lpwstr/>
      </vt:variant>
      <vt:variant>
        <vt:lpwstr>_Toc225333888</vt:lpwstr>
      </vt:variant>
      <vt:variant>
        <vt:i4>1900604</vt:i4>
      </vt:variant>
      <vt:variant>
        <vt:i4>38</vt:i4>
      </vt:variant>
      <vt:variant>
        <vt:i4>0</vt:i4>
      </vt:variant>
      <vt:variant>
        <vt:i4>5</vt:i4>
      </vt:variant>
      <vt:variant>
        <vt:lpwstr/>
      </vt:variant>
      <vt:variant>
        <vt:lpwstr>_Toc225333887</vt:lpwstr>
      </vt:variant>
      <vt:variant>
        <vt:i4>1900604</vt:i4>
      </vt:variant>
      <vt:variant>
        <vt:i4>32</vt:i4>
      </vt:variant>
      <vt:variant>
        <vt:i4>0</vt:i4>
      </vt:variant>
      <vt:variant>
        <vt:i4>5</vt:i4>
      </vt:variant>
      <vt:variant>
        <vt:lpwstr/>
      </vt:variant>
      <vt:variant>
        <vt:lpwstr>_Toc225333886</vt:lpwstr>
      </vt:variant>
      <vt:variant>
        <vt:i4>1900604</vt:i4>
      </vt:variant>
      <vt:variant>
        <vt:i4>26</vt:i4>
      </vt:variant>
      <vt:variant>
        <vt:i4>0</vt:i4>
      </vt:variant>
      <vt:variant>
        <vt:i4>5</vt:i4>
      </vt:variant>
      <vt:variant>
        <vt:lpwstr/>
      </vt:variant>
      <vt:variant>
        <vt:lpwstr>_Toc225333885</vt:lpwstr>
      </vt:variant>
      <vt:variant>
        <vt:i4>1900604</vt:i4>
      </vt:variant>
      <vt:variant>
        <vt:i4>20</vt:i4>
      </vt:variant>
      <vt:variant>
        <vt:i4>0</vt:i4>
      </vt:variant>
      <vt:variant>
        <vt:i4>5</vt:i4>
      </vt:variant>
      <vt:variant>
        <vt:lpwstr/>
      </vt:variant>
      <vt:variant>
        <vt:lpwstr>_Toc225333884</vt:lpwstr>
      </vt:variant>
      <vt:variant>
        <vt:i4>1900604</vt:i4>
      </vt:variant>
      <vt:variant>
        <vt:i4>14</vt:i4>
      </vt:variant>
      <vt:variant>
        <vt:i4>0</vt:i4>
      </vt:variant>
      <vt:variant>
        <vt:i4>5</vt:i4>
      </vt:variant>
      <vt:variant>
        <vt:lpwstr/>
      </vt:variant>
      <vt:variant>
        <vt:lpwstr>_Toc225333883</vt:lpwstr>
      </vt:variant>
      <vt:variant>
        <vt:i4>1900604</vt:i4>
      </vt:variant>
      <vt:variant>
        <vt:i4>8</vt:i4>
      </vt:variant>
      <vt:variant>
        <vt:i4>0</vt:i4>
      </vt:variant>
      <vt:variant>
        <vt:i4>5</vt:i4>
      </vt:variant>
      <vt:variant>
        <vt:lpwstr/>
      </vt:variant>
      <vt:variant>
        <vt:lpwstr>_Toc225333882</vt:lpwstr>
      </vt:variant>
      <vt:variant>
        <vt:i4>1900604</vt:i4>
      </vt:variant>
      <vt:variant>
        <vt:i4>2</vt:i4>
      </vt:variant>
      <vt:variant>
        <vt:i4>0</vt:i4>
      </vt:variant>
      <vt:variant>
        <vt:i4>5</vt:i4>
      </vt:variant>
      <vt:variant>
        <vt:lpwstr/>
      </vt:variant>
      <vt:variant>
        <vt:lpwstr>_Toc225333881</vt:lpwstr>
      </vt:variant>
      <vt:variant>
        <vt:i4>1572991</vt:i4>
      </vt:variant>
      <vt:variant>
        <vt:i4>90</vt:i4>
      </vt:variant>
      <vt:variant>
        <vt:i4>0</vt:i4>
      </vt:variant>
      <vt:variant>
        <vt:i4>5</vt:i4>
      </vt:variant>
      <vt:variant>
        <vt:lpwstr>https://wmo.int/news/media-centre/world-meteorological-congress-sets-new-strategic-priorities-era-of-rapid-climate-societal-and?utm_source=chatgpt.com</vt:lpwstr>
      </vt:variant>
      <vt:variant>
        <vt:lpwstr/>
      </vt:variant>
      <vt:variant>
        <vt:i4>6488140</vt:i4>
      </vt:variant>
      <vt:variant>
        <vt:i4>87</vt:i4>
      </vt:variant>
      <vt:variant>
        <vt:i4>0</vt:i4>
      </vt:variant>
      <vt:variant>
        <vt:i4>5</vt:i4>
      </vt:variant>
      <vt:variant>
        <vt:lpwstr>https://www.doj.gov.hk/sc/external/pdf/lawdoc/wmo_15-2012_en.pdf?utm_source=chatgpt.com</vt:lpwstr>
      </vt:variant>
      <vt:variant>
        <vt:lpwstr/>
      </vt:variant>
      <vt:variant>
        <vt:i4>4980840</vt:i4>
      </vt:variant>
      <vt:variant>
        <vt:i4>84</vt:i4>
      </vt:variant>
      <vt:variant>
        <vt:i4>0</vt:i4>
      </vt:variant>
      <vt:variant>
        <vt:i4>5</vt:i4>
      </vt:variant>
      <vt:variant>
        <vt:lpwstr>https://wmo.int/about-wmo/regions/regional-associations?utm_source=chatgpt.com</vt:lpwstr>
      </vt:variant>
      <vt:variant>
        <vt:lpwstr/>
      </vt:variant>
      <vt:variant>
        <vt:i4>6029424</vt:i4>
      </vt:variant>
      <vt:variant>
        <vt:i4>81</vt:i4>
      </vt:variant>
      <vt:variant>
        <vt:i4>0</vt:i4>
      </vt:variant>
      <vt:variant>
        <vt:i4>5</vt:i4>
      </vt:variant>
      <vt:variant>
        <vt:lpwstr>https://www.wipo.int/wipolex/en/text/283854?utm_source=chatgpt.com</vt:lpwstr>
      </vt:variant>
      <vt:variant>
        <vt:lpwstr/>
      </vt:variant>
      <vt:variant>
        <vt:i4>4390975</vt:i4>
      </vt:variant>
      <vt:variant>
        <vt:i4>78</vt:i4>
      </vt:variant>
      <vt:variant>
        <vt:i4>0</vt:i4>
      </vt:variant>
      <vt:variant>
        <vt:i4>5</vt:i4>
      </vt:variant>
      <vt:variant>
        <vt:lpwstr>https://tind.wipo.int/record/48247/files/wipo-pub-360-pb24-25-en-wipo-program-of-work-and-budget-for-2024-2025.pdf?utm_source=chatgpt.com</vt:lpwstr>
      </vt:variant>
      <vt:variant>
        <vt:lpwstr/>
      </vt:variant>
      <vt:variant>
        <vt:i4>1769589</vt:i4>
      </vt:variant>
      <vt:variant>
        <vt:i4>75</vt:i4>
      </vt:variant>
      <vt:variant>
        <vt:i4>0</vt:i4>
      </vt:variant>
      <vt:variant>
        <vt:i4>5</vt:i4>
      </vt:variant>
      <vt:variant>
        <vt:lpwstr>https://www.wipo.int/en/web/about-wipo/offices?utm_source=chatgpt.com</vt:lpwstr>
      </vt:variant>
      <vt:variant>
        <vt:lpwstr/>
      </vt:variant>
      <vt:variant>
        <vt:i4>4325398</vt:i4>
      </vt:variant>
      <vt:variant>
        <vt:i4>72</vt:i4>
      </vt:variant>
      <vt:variant>
        <vt:i4>0</vt:i4>
      </vt:variant>
      <vt:variant>
        <vt:i4>5</vt:i4>
      </vt:variant>
      <vt:variant>
        <vt:lpwstr>https://www.icao.int/strategic-objectives</vt:lpwstr>
      </vt:variant>
      <vt:variant>
        <vt:lpwstr/>
      </vt:variant>
      <vt:variant>
        <vt:i4>5374065</vt:i4>
      </vt:variant>
      <vt:variant>
        <vt:i4>69</vt:i4>
      </vt:variant>
      <vt:variant>
        <vt:i4>0</vt:i4>
      </vt:variant>
      <vt:variant>
        <vt:i4>5</vt:i4>
      </vt:variant>
      <vt:variant>
        <vt:lpwstr>https://www.icao.int/secretariat/RegionalOffice?utm_source=chatgpt.com</vt:lpwstr>
      </vt:variant>
      <vt:variant>
        <vt:lpwstr/>
      </vt:variant>
      <vt:variant>
        <vt:i4>5111921</vt:i4>
      </vt:variant>
      <vt:variant>
        <vt:i4>66</vt:i4>
      </vt:variant>
      <vt:variant>
        <vt:i4>0</vt:i4>
      </vt:variant>
      <vt:variant>
        <vt:i4>5</vt:i4>
      </vt:variant>
      <vt:variant>
        <vt:lpwstr>https://www.itu.int/en/council/planning/Documents/ITU-Strategic-Plan-2024-2027-Vision%26Mission.pdf?utm_source=chatgpt.com</vt:lpwstr>
      </vt:variant>
      <vt:variant>
        <vt:lpwstr/>
      </vt:variant>
      <vt:variant>
        <vt:i4>8323075</vt:i4>
      </vt:variant>
      <vt:variant>
        <vt:i4>63</vt:i4>
      </vt:variant>
      <vt:variant>
        <vt:i4>0</vt:i4>
      </vt:variant>
      <vt:variant>
        <vt:i4>5</vt:i4>
      </vt:variant>
      <vt:variant>
        <vt:lpwstr>https://www.itu.int/en/ITU-D/pages/regional-presence.aspx?utm_source=chatgpt.com</vt:lpwstr>
      </vt:variant>
      <vt:variant>
        <vt:lpwstr/>
      </vt:variant>
      <vt:variant>
        <vt:i4>1245251</vt:i4>
      </vt:variant>
      <vt:variant>
        <vt:i4>60</vt:i4>
      </vt:variant>
      <vt:variant>
        <vt:i4>0</vt:i4>
      </vt:variant>
      <vt:variant>
        <vt:i4>5</vt:i4>
      </vt:variant>
      <vt:variant>
        <vt:lpwstr>https://www.itu.int/en/council/dashboard/Pages/HumanResourcesReport.aspx</vt:lpwstr>
      </vt:variant>
      <vt:variant>
        <vt:lpwstr/>
      </vt:variant>
      <vt:variant>
        <vt:i4>8323075</vt:i4>
      </vt:variant>
      <vt:variant>
        <vt:i4>57</vt:i4>
      </vt:variant>
      <vt:variant>
        <vt:i4>0</vt:i4>
      </vt:variant>
      <vt:variant>
        <vt:i4>5</vt:i4>
      </vt:variant>
      <vt:variant>
        <vt:lpwstr>https://www.itu.int/en/ITU-D/pages/regional-presence.aspx?utm_source=chatgpt.com</vt:lpwstr>
      </vt:variant>
      <vt:variant>
        <vt:lpwstr/>
      </vt:variant>
      <vt:variant>
        <vt:i4>4980840</vt:i4>
      </vt:variant>
      <vt:variant>
        <vt:i4>54</vt:i4>
      </vt:variant>
      <vt:variant>
        <vt:i4>0</vt:i4>
      </vt:variant>
      <vt:variant>
        <vt:i4>5</vt:i4>
      </vt:variant>
      <vt:variant>
        <vt:lpwstr>https://wmo.int/about-wmo/regions/regional-associations?utm_source=chatgpt.com</vt:lpwstr>
      </vt:variant>
      <vt:variant>
        <vt:lpwstr/>
      </vt:variant>
      <vt:variant>
        <vt:i4>786454</vt:i4>
      </vt:variant>
      <vt:variant>
        <vt:i4>51</vt:i4>
      </vt:variant>
      <vt:variant>
        <vt:i4>0</vt:i4>
      </vt:variant>
      <vt:variant>
        <vt:i4>5</vt:i4>
      </vt:variant>
      <vt:variant>
        <vt:lpwstr>https://www.itu.int/en/ITU-D/pages/regional-presence.aspx</vt:lpwstr>
      </vt:variant>
      <vt:variant>
        <vt:lpwstr/>
      </vt:variant>
      <vt:variant>
        <vt:i4>7471200</vt:i4>
      </vt:variant>
      <vt:variant>
        <vt:i4>48</vt:i4>
      </vt:variant>
      <vt:variant>
        <vt:i4>0</vt:i4>
      </vt:variant>
      <vt:variant>
        <vt:i4>5</vt:i4>
      </vt:variant>
      <vt:variant>
        <vt:lpwstr>https://www.imo.org/en/ourwork/technicalcooperation/pages/geo-coverage.aspx</vt:lpwstr>
      </vt:variant>
      <vt:variant>
        <vt:lpwstr/>
      </vt:variant>
      <vt:variant>
        <vt:i4>6291507</vt:i4>
      </vt:variant>
      <vt:variant>
        <vt:i4>45</vt:i4>
      </vt:variant>
      <vt:variant>
        <vt:i4>0</vt:i4>
      </vt:variant>
      <vt:variant>
        <vt:i4>5</vt:i4>
      </vt:variant>
      <vt:variant>
        <vt:lpwstr>https://www.imo.org/en/mediacentre/pressbriefings/pages/imo-launches-rpo-in-egypt.aspx</vt:lpwstr>
      </vt:variant>
      <vt:variant>
        <vt:lpwstr/>
      </vt:variant>
      <vt:variant>
        <vt:i4>4325398</vt:i4>
      </vt:variant>
      <vt:variant>
        <vt:i4>42</vt:i4>
      </vt:variant>
      <vt:variant>
        <vt:i4>0</vt:i4>
      </vt:variant>
      <vt:variant>
        <vt:i4>5</vt:i4>
      </vt:variant>
      <vt:variant>
        <vt:lpwstr>https://www.icao.int/strategic-objectives</vt:lpwstr>
      </vt:variant>
      <vt:variant>
        <vt:lpwstr/>
      </vt:variant>
      <vt:variant>
        <vt:i4>7733307</vt:i4>
      </vt:variant>
      <vt:variant>
        <vt:i4>39</vt:i4>
      </vt:variant>
      <vt:variant>
        <vt:i4>0</vt:i4>
      </vt:variant>
      <vt:variant>
        <vt:i4>5</vt:i4>
      </vt:variant>
      <vt:variant>
        <vt:lpwstr>https://www.itu.int/md/S20-CL-C-0074/en</vt:lpwstr>
      </vt:variant>
      <vt:variant>
        <vt:lpwstr/>
      </vt:variant>
      <vt:variant>
        <vt:i4>1376259</vt:i4>
      </vt:variant>
      <vt:variant>
        <vt:i4>36</vt:i4>
      </vt:variant>
      <vt:variant>
        <vt:i4>0</vt:i4>
      </vt:variant>
      <vt:variant>
        <vt:i4>5</vt:i4>
      </vt:variant>
      <vt:variant>
        <vt:lpwstr>https://www.un.org/en/about-us/un-system</vt:lpwstr>
      </vt:variant>
      <vt:variant>
        <vt:lpwstr/>
      </vt:variant>
      <vt:variant>
        <vt:i4>1179667</vt:i4>
      </vt:variant>
      <vt:variant>
        <vt:i4>33</vt:i4>
      </vt:variant>
      <vt:variant>
        <vt:i4>0</vt:i4>
      </vt:variant>
      <vt:variant>
        <vt:i4>5</vt:i4>
      </vt:variant>
      <vt:variant>
        <vt:lpwstr>https://www.itu.int/md/S24-CL-C-0100</vt:lpwstr>
      </vt:variant>
      <vt:variant>
        <vt:lpwstr/>
      </vt:variant>
      <vt:variant>
        <vt:i4>5767263</vt:i4>
      </vt:variant>
      <vt:variant>
        <vt:i4>30</vt:i4>
      </vt:variant>
      <vt:variant>
        <vt:i4>0</vt:i4>
      </vt:variant>
      <vt:variant>
        <vt:i4>5</vt:i4>
      </vt:variant>
      <vt:variant>
        <vt:lpwstr>https://www.itu.int/en/fellowships/Documents/2021/SO_21-02_E.pdf</vt:lpwstr>
      </vt:variant>
      <vt:variant>
        <vt:lpwstr/>
      </vt:variant>
      <vt:variant>
        <vt:i4>131082</vt:i4>
      </vt:variant>
      <vt:variant>
        <vt:i4>27</vt:i4>
      </vt:variant>
      <vt:variant>
        <vt:i4>0</vt:i4>
      </vt:variant>
      <vt:variant>
        <vt:i4>5</vt:i4>
      </vt:variant>
      <vt:variant>
        <vt:lpwstr>https://www.itu.int/md/S25-CWGSFP3-C-0007/en</vt:lpwstr>
      </vt:variant>
      <vt:variant>
        <vt:lpwstr/>
      </vt:variant>
      <vt:variant>
        <vt:i4>4653130</vt:i4>
      </vt:variant>
      <vt:variant>
        <vt:i4>24</vt:i4>
      </vt:variant>
      <vt:variant>
        <vt:i4>0</vt:i4>
      </vt:variant>
      <vt:variant>
        <vt:i4>5</vt:i4>
      </vt:variant>
      <vt:variant>
        <vt:lpwstr>https://www.itu.int/md/D22-TDAG32-C-0040</vt:lpwstr>
      </vt:variant>
      <vt:variant>
        <vt:lpwstr/>
      </vt:variant>
      <vt:variant>
        <vt:i4>7274619</vt:i4>
      </vt:variant>
      <vt:variant>
        <vt:i4>21</vt:i4>
      </vt:variant>
      <vt:variant>
        <vt:i4>0</vt:i4>
      </vt:variant>
      <vt:variant>
        <vt:i4>5</vt:i4>
      </vt:variant>
      <vt:variant>
        <vt:lpwstr>https://www.itu.int/md/T25-TSAG-250526-TD-GEN-0137</vt:lpwstr>
      </vt:variant>
      <vt:variant>
        <vt:lpwstr/>
      </vt:variant>
      <vt:variant>
        <vt:i4>196685</vt:i4>
      </vt:variant>
      <vt:variant>
        <vt:i4>18</vt:i4>
      </vt:variant>
      <vt:variant>
        <vt:i4>0</vt:i4>
      </vt:variant>
      <vt:variant>
        <vt:i4>5</vt:i4>
      </vt:variant>
      <vt:variant>
        <vt:lpwstr>https://www.itu.int/md/R23-RAG-C-0037</vt:lpwstr>
      </vt:variant>
      <vt:variant>
        <vt:lpwstr/>
      </vt:variant>
      <vt:variant>
        <vt:i4>4325469</vt:i4>
      </vt:variant>
      <vt:variant>
        <vt:i4>15</vt:i4>
      </vt:variant>
      <vt:variant>
        <vt:i4>0</vt:i4>
      </vt:variant>
      <vt:variant>
        <vt:i4>5</vt:i4>
      </vt:variant>
      <vt:variant>
        <vt:lpwstr>https://www.itu.int/md/D22-WTDC25-C-0002</vt:lpwstr>
      </vt:variant>
      <vt:variant>
        <vt:lpwstr/>
      </vt:variant>
      <vt:variant>
        <vt:i4>1507345</vt:i4>
      </vt:variant>
      <vt:variant>
        <vt:i4>12</vt:i4>
      </vt:variant>
      <vt:variant>
        <vt:i4>0</vt:i4>
      </vt:variant>
      <vt:variant>
        <vt:i4>5</vt:i4>
      </vt:variant>
      <vt:variant>
        <vt:lpwstr>https://www.itu.int/md/S25-CL-C-0025</vt:lpwstr>
      </vt:variant>
      <vt:variant>
        <vt:lpwstr/>
      </vt:variant>
      <vt:variant>
        <vt:i4>1507345</vt:i4>
      </vt:variant>
      <vt:variant>
        <vt:i4>9</vt:i4>
      </vt:variant>
      <vt:variant>
        <vt:i4>0</vt:i4>
      </vt:variant>
      <vt:variant>
        <vt:i4>5</vt:i4>
      </vt:variant>
      <vt:variant>
        <vt:lpwstr>https://www.itu.int/md/S25-CL-C-0025</vt:lpwstr>
      </vt:variant>
      <vt:variant>
        <vt:lpwstr/>
      </vt:variant>
      <vt:variant>
        <vt:i4>131083</vt:i4>
      </vt:variant>
      <vt:variant>
        <vt:i4>6</vt:i4>
      </vt:variant>
      <vt:variant>
        <vt:i4>0</vt:i4>
      </vt:variant>
      <vt:variant>
        <vt:i4>5</vt:i4>
      </vt:variant>
      <vt:variant>
        <vt:lpwstr>https://www.itu.int/md/S25-CWGSFP3-C-0006/en</vt:lpwstr>
      </vt:variant>
      <vt:variant>
        <vt:lpwstr/>
      </vt:variant>
      <vt:variant>
        <vt:i4>6881383</vt:i4>
      </vt:variant>
      <vt:variant>
        <vt:i4>3</vt:i4>
      </vt:variant>
      <vt:variant>
        <vt:i4>0</vt:i4>
      </vt:variant>
      <vt:variant>
        <vt:i4>5</vt:i4>
      </vt:variant>
      <vt:variant>
        <vt:lpwstr>https://www.itu.int/en/council/Documents/basic-texts-2023/RES-071-E.pdf</vt:lpwstr>
      </vt:variant>
      <vt:variant>
        <vt:lpwstr/>
      </vt:variant>
      <vt:variant>
        <vt:i4>7536700</vt:i4>
      </vt:variant>
      <vt:variant>
        <vt:i4>0</vt:i4>
      </vt:variant>
      <vt:variant>
        <vt:i4>0</vt:i4>
      </vt:variant>
      <vt:variant>
        <vt:i4>5</vt:i4>
      </vt:variant>
      <vt:variant>
        <vt:lpwstr>https://www.itu.int/md/S25-CL-C-0105/en</vt:lpwstr>
      </vt:variant>
      <vt:variant>
        <vt:lpwstr/>
      </vt:variant>
      <vt:variant>
        <vt:i4>7012376</vt:i4>
      </vt:variant>
      <vt:variant>
        <vt:i4>3</vt:i4>
      </vt:variant>
      <vt:variant>
        <vt:i4>0</vt:i4>
      </vt:variant>
      <vt:variant>
        <vt:i4>5</vt:i4>
      </vt:variant>
      <vt:variant>
        <vt:lpwstr>mailto:archana.gulati@itu.int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ITU Council 2026</dc:subject>
  <dc:creator>De La Rosa Trivino, Maria Dolores</dc:creator>
  <cp:keywords>C26; C2026; Council 2026; PP26</cp:keywords>
  <dc:description/>
  <cp:lastModifiedBy>BDT-ND</cp:lastModifiedBy>
  <cp:revision>72</cp:revision>
  <cp:lastPrinted>2000-07-18T13:30:00Z</cp:lastPrinted>
  <dcterms:created xsi:type="dcterms:W3CDTF">2026-04-08T18:43:00Z</dcterms:created>
  <dcterms:modified xsi:type="dcterms:W3CDTF">2026-04-09T07:24:00Z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0x0101000421F7F6C5263B4B928A068E40912AB8</vt:lpwstr>
  </property>
  <property fmtid="{D5CDD505-2E9C-101B-9397-08002B2CF9AE}" pid="10" name="docLang">
    <vt:lpwstr>en</vt:lpwstr>
  </property>
  <property fmtid="{D5CDD505-2E9C-101B-9397-08002B2CF9AE}" pid="11" name="MediaServiceImageTags">
    <vt:lpwstr/>
  </property>
</Properties>
</file>