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9923" w:type="dxa"/>
        <w:tblLayout w:type="fixed"/>
        <w:tblLook w:val="0000" w:firstRow="0" w:lastRow="0" w:firstColumn="0" w:lastColumn="0" w:noHBand="0" w:noVBand="0"/>
      </w:tblPr>
      <w:tblGrid>
        <w:gridCol w:w="6663"/>
        <w:gridCol w:w="3260"/>
      </w:tblGrid>
      <w:tr w:rsidR="004B2111" w:rsidRPr="00FD65C9" w14:paraId="5736F9B6" w14:textId="77777777" w:rsidTr="00FC1EC2">
        <w:trPr>
          <w:cantSplit/>
          <w:trHeight w:val="1425"/>
        </w:trPr>
        <w:tc>
          <w:tcPr>
            <w:tcW w:w="6663" w:type="dxa"/>
          </w:tcPr>
          <w:p w14:paraId="0362F8A8" w14:textId="77777777" w:rsidR="004B2111" w:rsidRPr="00FD65C9" w:rsidRDefault="004B2111" w:rsidP="00FC1EC2">
            <w:pPr>
              <w:tabs>
                <w:tab w:val="clear" w:pos="1134"/>
              </w:tabs>
              <w:spacing w:before="240"/>
              <w:ind w:left="34"/>
              <w:rPr>
                <w:b/>
                <w:bCs/>
                <w:sz w:val="30"/>
                <w:szCs w:val="30"/>
              </w:rPr>
            </w:pPr>
            <w:r w:rsidRPr="00FD65C9">
              <w:rPr>
                <w:b/>
                <w:bCs/>
                <w:sz w:val="30"/>
                <w:szCs w:val="30"/>
              </w:rPr>
              <w:t xml:space="preserve">Консультативная группа </w:t>
            </w:r>
            <w:r w:rsidRPr="00FD65C9">
              <w:rPr>
                <w:b/>
                <w:bCs/>
                <w:sz w:val="30"/>
                <w:szCs w:val="30"/>
              </w:rPr>
              <w:br/>
              <w:t>по развитию электросвязи (КГРЭ)</w:t>
            </w:r>
          </w:p>
          <w:p w14:paraId="2DCF59CB" w14:textId="258A5B6A" w:rsidR="004B2111" w:rsidRPr="00FD65C9" w:rsidRDefault="004B2111" w:rsidP="00FC1EC2">
            <w:pPr>
              <w:tabs>
                <w:tab w:val="clear" w:pos="1134"/>
              </w:tabs>
              <w:spacing w:before="160" w:after="48" w:line="240" w:lineRule="atLeast"/>
              <w:ind w:left="34"/>
              <w:rPr>
                <w:b/>
                <w:bCs/>
                <w:szCs w:val="22"/>
              </w:rPr>
            </w:pPr>
            <w:r w:rsidRPr="00FD65C9">
              <w:rPr>
                <w:rFonts w:cstheme="minorHAnsi"/>
                <w:b/>
                <w:bCs/>
                <w:szCs w:val="22"/>
                <w:lang w:eastAsia="zh-CN"/>
              </w:rPr>
              <w:t xml:space="preserve">33-е собрание, Женева, Швейцария, </w:t>
            </w:r>
            <w:r w:rsidR="000674FE" w:rsidRPr="00FD65C9">
              <w:rPr>
                <w:rFonts w:cstheme="minorHAnsi"/>
                <w:b/>
                <w:bCs/>
                <w:szCs w:val="22"/>
                <w:lang w:eastAsia="zh-CN"/>
              </w:rPr>
              <w:t>7</w:t>
            </w:r>
            <w:r w:rsidRPr="00FD65C9">
              <w:rPr>
                <w:rFonts w:cstheme="minorHAnsi"/>
                <w:b/>
                <w:bCs/>
                <w:szCs w:val="22"/>
                <w:lang w:eastAsia="zh-CN"/>
              </w:rPr>
              <w:t>–1</w:t>
            </w:r>
            <w:r w:rsidR="000674FE" w:rsidRPr="00FD65C9">
              <w:rPr>
                <w:rFonts w:cstheme="minorHAnsi"/>
                <w:b/>
                <w:bCs/>
                <w:szCs w:val="22"/>
                <w:lang w:eastAsia="zh-CN"/>
              </w:rPr>
              <w:t>0</w:t>
            </w:r>
            <w:r w:rsidRPr="00FD65C9">
              <w:rPr>
                <w:rFonts w:cstheme="minorHAnsi"/>
                <w:b/>
                <w:bCs/>
                <w:szCs w:val="22"/>
                <w:lang w:eastAsia="zh-CN"/>
              </w:rPr>
              <w:t xml:space="preserve"> </w:t>
            </w:r>
            <w:r w:rsidR="000674FE" w:rsidRPr="00FD65C9">
              <w:rPr>
                <w:rFonts w:cstheme="minorHAnsi"/>
                <w:b/>
                <w:bCs/>
                <w:szCs w:val="22"/>
                <w:lang w:eastAsia="zh-CN"/>
              </w:rPr>
              <w:t xml:space="preserve">апреля </w:t>
            </w:r>
            <w:r w:rsidRPr="00FD65C9">
              <w:rPr>
                <w:rFonts w:cstheme="minorHAnsi"/>
                <w:b/>
                <w:bCs/>
                <w:szCs w:val="22"/>
                <w:lang w:eastAsia="zh-CN"/>
              </w:rPr>
              <w:t>202</w:t>
            </w:r>
            <w:r w:rsidR="000674FE" w:rsidRPr="00FD65C9">
              <w:rPr>
                <w:rFonts w:cstheme="minorHAnsi"/>
                <w:b/>
                <w:bCs/>
                <w:szCs w:val="22"/>
                <w:lang w:eastAsia="zh-CN"/>
              </w:rPr>
              <w:t>6</w:t>
            </w:r>
            <w:r w:rsidRPr="00FD65C9">
              <w:rPr>
                <w:rFonts w:cstheme="minorHAnsi"/>
                <w:b/>
                <w:bCs/>
                <w:szCs w:val="22"/>
                <w:lang w:eastAsia="zh-CN"/>
              </w:rPr>
              <w:t xml:space="preserve"> года</w:t>
            </w:r>
          </w:p>
        </w:tc>
        <w:tc>
          <w:tcPr>
            <w:tcW w:w="3260" w:type="dxa"/>
          </w:tcPr>
          <w:p w14:paraId="06B48AA1" w14:textId="516DD633" w:rsidR="004B2111" w:rsidRPr="00FD65C9" w:rsidRDefault="004B2111" w:rsidP="00FC1EC2">
            <w:pPr>
              <w:jc w:val="right"/>
              <w:rPr>
                <w:rFonts w:cstheme="minorHAnsi"/>
              </w:rPr>
            </w:pPr>
            <w:bookmarkStart w:id="0" w:name="ditulogo"/>
            <w:bookmarkEnd w:id="0"/>
            <w:r w:rsidRPr="00FD65C9">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FD65C9" w14:paraId="6DE5ABA3" w14:textId="77777777" w:rsidTr="00FC1EC2">
        <w:trPr>
          <w:cantSplit/>
        </w:trPr>
        <w:tc>
          <w:tcPr>
            <w:tcW w:w="6663" w:type="dxa"/>
            <w:tcBorders>
              <w:top w:val="single" w:sz="12" w:space="0" w:color="auto"/>
            </w:tcBorders>
          </w:tcPr>
          <w:p w14:paraId="73168FEF" w14:textId="77777777" w:rsidR="00D83BF5" w:rsidRPr="00FD65C9" w:rsidRDefault="00D83BF5" w:rsidP="00CE66E4">
            <w:pPr>
              <w:spacing w:before="0"/>
              <w:rPr>
                <w:rFonts w:cstheme="minorHAnsi"/>
                <w:b/>
                <w:smallCaps/>
                <w:sz w:val="20"/>
              </w:rPr>
            </w:pPr>
            <w:bookmarkStart w:id="1" w:name="dhead"/>
          </w:p>
        </w:tc>
        <w:tc>
          <w:tcPr>
            <w:tcW w:w="3260" w:type="dxa"/>
            <w:tcBorders>
              <w:top w:val="single" w:sz="12" w:space="0" w:color="auto"/>
            </w:tcBorders>
          </w:tcPr>
          <w:p w14:paraId="439CB557" w14:textId="716EF333" w:rsidR="00D83BF5" w:rsidRPr="00FD65C9" w:rsidRDefault="00D83BF5" w:rsidP="00CE66E4">
            <w:pPr>
              <w:spacing w:before="0"/>
              <w:rPr>
                <w:rFonts w:cstheme="minorHAnsi"/>
                <w:sz w:val="20"/>
              </w:rPr>
            </w:pPr>
          </w:p>
        </w:tc>
      </w:tr>
      <w:tr w:rsidR="00D87035" w:rsidRPr="00FD65C9" w14:paraId="02BC550A" w14:textId="77777777" w:rsidTr="00FC1EC2">
        <w:trPr>
          <w:cantSplit/>
          <w:trHeight w:val="23"/>
        </w:trPr>
        <w:tc>
          <w:tcPr>
            <w:tcW w:w="6663" w:type="dxa"/>
          </w:tcPr>
          <w:p w14:paraId="1EF66EAC" w14:textId="77777777" w:rsidR="00D87035" w:rsidRPr="00FD65C9" w:rsidRDefault="00D87035" w:rsidP="00CE66E4">
            <w:pPr>
              <w:pStyle w:val="Committee"/>
              <w:framePr w:hSpace="0" w:wrap="auto" w:hAnchor="text" w:yAlign="inline"/>
              <w:spacing w:line="240" w:lineRule="auto"/>
            </w:pPr>
            <w:bookmarkStart w:id="2" w:name="dnum" w:colFirst="1" w:colLast="1"/>
            <w:bookmarkStart w:id="3" w:name="dmeeting" w:colFirst="0" w:colLast="0"/>
            <w:bookmarkEnd w:id="1"/>
          </w:p>
        </w:tc>
        <w:tc>
          <w:tcPr>
            <w:tcW w:w="3260" w:type="dxa"/>
          </w:tcPr>
          <w:p w14:paraId="6F008A08" w14:textId="3C03CD8B" w:rsidR="00D87035" w:rsidRPr="00FD65C9" w:rsidRDefault="000B2A1B" w:rsidP="003A5CC9">
            <w:pPr>
              <w:tabs>
                <w:tab w:val="left" w:pos="851"/>
              </w:tabs>
              <w:spacing w:before="0"/>
              <w:rPr>
                <w:rFonts w:cstheme="minorHAnsi"/>
                <w:szCs w:val="22"/>
              </w:rPr>
            </w:pPr>
            <w:r w:rsidRPr="00FD65C9">
              <w:rPr>
                <w:b/>
                <w:bCs/>
                <w:szCs w:val="22"/>
              </w:rPr>
              <w:t>Пересмотр 1</w:t>
            </w:r>
            <w:r w:rsidR="003A5CC9">
              <w:rPr>
                <w:b/>
                <w:bCs/>
                <w:szCs w:val="22"/>
              </w:rPr>
              <w:br/>
            </w:r>
            <w:r w:rsidR="005E032D" w:rsidRPr="00FD65C9">
              <w:rPr>
                <w:b/>
                <w:bCs/>
                <w:szCs w:val="22"/>
              </w:rPr>
              <w:t>Документ</w:t>
            </w:r>
            <w:r w:rsidR="00255DC9" w:rsidRPr="00FD65C9">
              <w:rPr>
                <w:b/>
                <w:bCs/>
                <w:szCs w:val="22"/>
              </w:rPr>
              <w:t>а</w:t>
            </w:r>
            <w:r w:rsidR="00D87035" w:rsidRPr="00FD65C9">
              <w:rPr>
                <w:b/>
                <w:bCs/>
                <w:szCs w:val="22"/>
              </w:rPr>
              <w:t xml:space="preserve"> </w:t>
            </w:r>
            <w:bookmarkStart w:id="4" w:name="DocRef1"/>
            <w:bookmarkEnd w:id="4"/>
            <w:r w:rsidR="00D87035" w:rsidRPr="00FD65C9">
              <w:rPr>
                <w:b/>
                <w:bCs/>
                <w:szCs w:val="22"/>
                <w:lang w:val="en-US"/>
              </w:rPr>
              <w:t>TDAG</w:t>
            </w:r>
            <w:r w:rsidR="00D87035" w:rsidRPr="00FD65C9">
              <w:rPr>
                <w:b/>
                <w:bCs/>
                <w:szCs w:val="22"/>
              </w:rPr>
              <w:t>-</w:t>
            </w:r>
            <w:r w:rsidR="00523934" w:rsidRPr="00FD65C9">
              <w:rPr>
                <w:b/>
                <w:bCs/>
                <w:szCs w:val="22"/>
              </w:rPr>
              <w:t>2</w:t>
            </w:r>
            <w:r w:rsidR="000674FE" w:rsidRPr="00FD65C9">
              <w:rPr>
                <w:b/>
                <w:bCs/>
                <w:szCs w:val="22"/>
              </w:rPr>
              <w:t>6</w:t>
            </w:r>
            <w:r w:rsidR="00D87035" w:rsidRPr="00FD65C9">
              <w:rPr>
                <w:b/>
                <w:bCs/>
                <w:szCs w:val="22"/>
              </w:rPr>
              <w:t>/</w:t>
            </w:r>
            <w:bookmarkStart w:id="5" w:name="DocNo1"/>
            <w:bookmarkEnd w:id="5"/>
            <w:r w:rsidRPr="00FD65C9">
              <w:rPr>
                <w:b/>
                <w:bCs/>
                <w:szCs w:val="22"/>
              </w:rPr>
              <w:t>49</w:t>
            </w:r>
            <w:r w:rsidR="00D87035" w:rsidRPr="00FD65C9">
              <w:rPr>
                <w:b/>
                <w:bCs/>
                <w:szCs w:val="22"/>
              </w:rPr>
              <w:t>-</w:t>
            </w:r>
            <w:r w:rsidR="005E032D" w:rsidRPr="00FD65C9">
              <w:rPr>
                <w:b/>
                <w:bCs/>
                <w:szCs w:val="22"/>
                <w:lang w:val="en-US"/>
              </w:rPr>
              <w:t>R</w:t>
            </w:r>
          </w:p>
        </w:tc>
      </w:tr>
      <w:tr w:rsidR="00D87035" w:rsidRPr="00FD65C9" w14:paraId="55AD5FBA" w14:textId="77777777" w:rsidTr="00FC1EC2">
        <w:trPr>
          <w:cantSplit/>
          <w:trHeight w:val="23"/>
        </w:trPr>
        <w:tc>
          <w:tcPr>
            <w:tcW w:w="6663" w:type="dxa"/>
          </w:tcPr>
          <w:p w14:paraId="0E170520" w14:textId="77777777" w:rsidR="00D87035" w:rsidRPr="00FD65C9" w:rsidRDefault="00D87035" w:rsidP="00CE66E4">
            <w:pPr>
              <w:tabs>
                <w:tab w:val="left" w:pos="851"/>
              </w:tabs>
              <w:spacing w:before="0"/>
              <w:rPr>
                <w:rFonts w:cstheme="minorHAnsi"/>
                <w:b/>
                <w:szCs w:val="24"/>
              </w:rPr>
            </w:pPr>
            <w:bookmarkStart w:id="6" w:name="ddate" w:colFirst="1" w:colLast="1"/>
            <w:bookmarkStart w:id="7" w:name="dblank" w:colFirst="0" w:colLast="0"/>
            <w:bookmarkEnd w:id="2"/>
            <w:bookmarkEnd w:id="3"/>
          </w:p>
        </w:tc>
        <w:tc>
          <w:tcPr>
            <w:tcW w:w="3260" w:type="dxa"/>
          </w:tcPr>
          <w:p w14:paraId="242C61B7" w14:textId="0B472215" w:rsidR="00D87035" w:rsidRPr="00FD65C9" w:rsidRDefault="000B2A1B" w:rsidP="00CE66E4">
            <w:pPr>
              <w:spacing w:before="0"/>
              <w:rPr>
                <w:rFonts w:cstheme="minorHAnsi"/>
                <w:szCs w:val="22"/>
              </w:rPr>
            </w:pPr>
            <w:r w:rsidRPr="00FD65C9">
              <w:rPr>
                <w:b/>
                <w:bCs/>
                <w:szCs w:val="22"/>
              </w:rPr>
              <w:t>27 апреля</w:t>
            </w:r>
            <w:r w:rsidR="0081159E" w:rsidRPr="00FD65C9">
              <w:rPr>
                <w:b/>
                <w:bCs/>
                <w:szCs w:val="22"/>
              </w:rPr>
              <w:t xml:space="preserve"> </w:t>
            </w:r>
            <w:r w:rsidR="002955DA" w:rsidRPr="00FD65C9">
              <w:rPr>
                <w:b/>
                <w:bCs/>
                <w:szCs w:val="22"/>
              </w:rPr>
              <w:t>202</w:t>
            </w:r>
            <w:r w:rsidR="000674FE" w:rsidRPr="00FD65C9">
              <w:rPr>
                <w:b/>
                <w:bCs/>
                <w:szCs w:val="22"/>
              </w:rPr>
              <w:t>6</w:t>
            </w:r>
            <w:r w:rsidR="005E032D" w:rsidRPr="00FD65C9">
              <w:rPr>
                <w:b/>
                <w:bCs/>
                <w:szCs w:val="22"/>
              </w:rPr>
              <w:t xml:space="preserve"> года</w:t>
            </w:r>
          </w:p>
        </w:tc>
      </w:tr>
      <w:bookmarkEnd w:id="6"/>
      <w:bookmarkEnd w:id="7"/>
      <w:tr w:rsidR="00D87035" w:rsidRPr="00FD65C9" w14:paraId="07260C0B" w14:textId="77777777" w:rsidTr="00FC1EC2">
        <w:trPr>
          <w:cantSplit/>
          <w:trHeight w:val="23"/>
        </w:trPr>
        <w:tc>
          <w:tcPr>
            <w:tcW w:w="6663" w:type="dxa"/>
          </w:tcPr>
          <w:p w14:paraId="773E4FE3" w14:textId="77777777" w:rsidR="00D87035" w:rsidRPr="00FD65C9" w:rsidRDefault="00D87035" w:rsidP="00CE66E4">
            <w:pPr>
              <w:tabs>
                <w:tab w:val="left" w:pos="851"/>
              </w:tabs>
              <w:spacing w:before="0"/>
              <w:rPr>
                <w:rFonts w:cstheme="minorHAnsi"/>
                <w:szCs w:val="24"/>
              </w:rPr>
            </w:pPr>
          </w:p>
        </w:tc>
        <w:tc>
          <w:tcPr>
            <w:tcW w:w="3260" w:type="dxa"/>
          </w:tcPr>
          <w:p w14:paraId="2C8BB831" w14:textId="6BD75EC4" w:rsidR="00D87035" w:rsidRPr="00FD65C9" w:rsidRDefault="005E032D" w:rsidP="00CE66E4">
            <w:pPr>
              <w:tabs>
                <w:tab w:val="left" w:pos="993"/>
              </w:tabs>
              <w:spacing w:before="0"/>
              <w:rPr>
                <w:rFonts w:cstheme="minorHAnsi"/>
                <w:b/>
                <w:szCs w:val="22"/>
              </w:rPr>
            </w:pPr>
            <w:r w:rsidRPr="00FD65C9">
              <w:rPr>
                <w:b/>
                <w:bCs/>
                <w:szCs w:val="22"/>
              </w:rPr>
              <w:t>Оригинал</w:t>
            </w:r>
            <w:r w:rsidR="00D87035" w:rsidRPr="00FD65C9">
              <w:rPr>
                <w:b/>
                <w:bCs/>
                <w:szCs w:val="22"/>
              </w:rPr>
              <w:t xml:space="preserve">: </w:t>
            </w:r>
            <w:r w:rsidRPr="00FD65C9">
              <w:rPr>
                <w:b/>
                <w:bCs/>
                <w:szCs w:val="22"/>
              </w:rPr>
              <w:t>английский</w:t>
            </w:r>
          </w:p>
        </w:tc>
      </w:tr>
      <w:tr w:rsidR="00D83BF5" w:rsidRPr="00FD65C9" w14:paraId="35F96F24" w14:textId="77777777" w:rsidTr="00FC1EC2">
        <w:trPr>
          <w:cantSplit/>
          <w:trHeight w:val="23"/>
        </w:trPr>
        <w:tc>
          <w:tcPr>
            <w:tcW w:w="9923" w:type="dxa"/>
            <w:gridSpan w:val="2"/>
          </w:tcPr>
          <w:p w14:paraId="59A8A61C" w14:textId="68D3D323" w:rsidR="00D83BF5" w:rsidRPr="00FD65C9" w:rsidRDefault="00E52E0E" w:rsidP="00055F87">
            <w:pPr>
              <w:pStyle w:val="Source"/>
            </w:pPr>
            <w:bookmarkStart w:id="8" w:name="dbluepink" w:colFirst="0" w:colLast="0"/>
            <w:bookmarkStart w:id="9" w:name="dorlang" w:colFirst="1" w:colLast="1"/>
            <w:r w:rsidRPr="00055F87">
              <w:t>Председатель</w:t>
            </w:r>
            <w:r w:rsidRPr="00FD65C9">
              <w:t xml:space="preserve"> </w:t>
            </w:r>
            <w:r w:rsidR="000B2A1B" w:rsidRPr="00FD65C9">
              <w:t>Консультативн</w:t>
            </w:r>
            <w:r w:rsidRPr="00FD65C9">
              <w:t>ой</w:t>
            </w:r>
            <w:r w:rsidR="000B2A1B" w:rsidRPr="00FD65C9">
              <w:t xml:space="preserve"> групп</w:t>
            </w:r>
            <w:r w:rsidR="00AC7564" w:rsidRPr="00FD65C9">
              <w:t>ы</w:t>
            </w:r>
            <w:r w:rsidR="000B2A1B" w:rsidRPr="00FD65C9">
              <w:t xml:space="preserve"> по развитию электросвязи (КГРЭ)</w:t>
            </w:r>
          </w:p>
        </w:tc>
      </w:tr>
      <w:tr w:rsidR="00D83BF5" w:rsidRPr="00FD65C9" w14:paraId="7EDE1565" w14:textId="77777777" w:rsidTr="00FC1EC2">
        <w:trPr>
          <w:cantSplit/>
          <w:trHeight w:val="23"/>
        </w:trPr>
        <w:tc>
          <w:tcPr>
            <w:tcW w:w="9923" w:type="dxa"/>
            <w:gridSpan w:val="2"/>
            <w:vAlign w:val="center"/>
          </w:tcPr>
          <w:p w14:paraId="3D29924B" w14:textId="50AA9B98" w:rsidR="00D83BF5" w:rsidRPr="00FD65C9" w:rsidRDefault="00C15C25" w:rsidP="00055F87">
            <w:pPr>
              <w:pStyle w:val="Title1"/>
              <w:rPr>
                <w:caps/>
              </w:rPr>
            </w:pPr>
            <w:r w:rsidRPr="00055F87">
              <w:t>Отчет</w:t>
            </w:r>
            <w:r w:rsidRPr="00FD65C9">
              <w:t xml:space="preserve"> о тридцать третьем собрании КГРЭ</w:t>
            </w:r>
          </w:p>
        </w:tc>
      </w:tr>
      <w:bookmarkEnd w:id="8"/>
      <w:bookmarkEnd w:id="9"/>
    </w:tbl>
    <w:p w14:paraId="5568948A" w14:textId="77777777" w:rsidR="00E52E0E" w:rsidRPr="00FD65C9" w:rsidRDefault="00E52E0E" w:rsidP="00C15C25">
      <w:pPr>
        <w:tabs>
          <w:tab w:val="left" w:pos="567"/>
          <w:tab w:val="left" w:pos="1701"/>
        </w:tabs>
        <w:spacing w:after="120"/>
        <w:rPr>
          <w:b/>
          <w:bCs/>
        </w:rPr>
      </w:pPr>
    </w:p>
    <w:p w14:paraId="24E671CC" w14:textId="77777777" w:rsidR="00E52E0E" w:rsidRPr="00FD65C9" w:rsidRDefault="00E52E0E">
      <w:pPr>
        <w:tabs>
          <w:tab w:val="clear" w:pos="1134"/>
          <w:tab w:val="clear" w:pos="1871"/>
          <w:tab w:val="clear" w:pos="2268"/>
        </w:tabs>
        <w:overflowPunct/>
        <w:autoSpaceDE/>
        <w:autoSpaceDN/>
        <w:adjustRightInd/>
        <w:spacing w:before="0"/>
        <w:textAlignment w:val="auto"/>
        <w:rPr>
          <w:b/>
          <w:bCs/>
        </w:rPr>
      </w:pPr>
      <w:r w:rsidRPr="00FD65C9">
        <w:rPr>
          <w:b/>
          <w:bCs/>
        </w:rPr>
        <w:br w:type="page"/>
      </w:r>
    </w:p>
    <w:p w14:paraId="5B9112CF" w14:textId="28176766" w:rsidR="00C15C25" w:rsidRPr="00565128" w:rsidRDefault="00C15C25" w:rsidP="00055F87">
      <w:pPr>
        <w:pStyle w:val="Headingb"/>
        <w:rPr>
          <w:rFonts w:cstheme="minorBidi"/>
          <w:lang w:val="ru-RU"/>
        </w:rPr>
      </w:pPr>
      <w:r w:rsidRPr="00565128">
        <w:rPr>
          <w:lang w:val="ru-RU"/>
        </w:rPr>
        <w:lastRenderedPageBreak/>
        <w:t>Введение и основные результаты</w:t>
      </w:r>
    </w:p>
    <w:p w14:paraId="678B7A58" w14:textId="22224F0A" w:rsidR="00C15C25" w:rsidRPr="00FD65C9" w:rsidRDefault="00C15C25" w:rsidP="00055F87">
      <w:pPr>
        <w:rPr>
          <w:rFonts w:cs="Calibri"/>
          <w:color w:val="000000"/>
        </w:rPr>
      </w:pPr>
      <w:r w:rsidRPr="00FD65C9">
        <w:t>Консультативная группа по развитию электросвязи (КГРЭ) провела свое ежегодное собрание под руководством г-жи Регины-Флёр А. Бессу (Кот-д'Ивуар) 7</w:t>
      </w:r>
      <w:r w:rsidR="00822C09">
        <w:rPr>
          <w:rFonts w:cs="Calibri"/>
        </w:rPr>
        <w:t>−</w:t>
      </w:r>
      <w:r w:rsidRPr="00FD65C9">
        <w:t xml:space="preserve">10 апреля 2026 года в Женеве, Швейцария. На мероприятии присутствовали в общей сложности 192 участника из 71 Государства-Члена, в том числе 91 женщина и 101 мужчина. Собрание проходило как дистанционно, так и очно: 73 делегата участвовали в работе виртуально, а 119 </w:t>
      </w:r>
      <w:r w:rsidR="00822C09">
        <w:rPr>
          <w:rFonts w:cs="Calibri"/>
        </w:rPr>
        <w:t>−</w:t>
      </w:r>
      <w:r w:rsidRPr="00FD65C9">
        <w:t xml:space="preserve"> очно.</w:t>
      </w:r>
    </w:p>
    <w:p w14:paraId="6CE1786E" w14:textId="77777777" w:rsidR="00C15C25" w:rsidRPr="00FD65C9" w:rsidRDefault="00C15C25" w:rsidP="00055F87">
      <w:pPr>
        <w:spacing w:after="120"/>
        <w:rPr>
          <w:rFonts w:cs="Calibri"/>
          <w:color w:val="000000"/>
        </w:rPr>
      </w:pPr>
      <w:r w:rsidRPr="00FD65C9">
        <w:t>Поддержку собранию оказало Бюро КГРЭ, в том числе заместители Председателя из различных регионов, а также председатели 1-й и 2-й Исследовательских комиссий Сектора развития Международного союза электросвязи (МСЭ-D). Подробная разбивка участников по членам Бюро КГРЭ приведена в таблице, ниже:</w:t>
      </w:r>
    </w:p>
    <w:tbl>
      <w:tblPr>
        <w:tblStyle w:val="TableGrid"/>
        <w:tblW w:w="9722" w:type="dxa"/>
        <w:tblLayout w:type="fixed"/>
        <w:tblLook w:val="04A0" w:firstRow="1" w:lastRow="0" w:firstColumn="1" w:lastColumn="0" w:noHBand="0" w:noVBand="1"/>
      </w:tblPr>
      <w:tblGrid>
        <w:gridCol w:w="1980"/>
        <w:gridCol w:w="1559"/>
        <w:gridCol w:w="1842"/>
        <w:gridCol w:w="2694"/>
        <w:gridCol w:w="1647"/>
      </w:tblGrid>
      <w:tr w:rsidR="00C15C25" w:rsidRPr="00FD65C9" w14:paraId="37EEEA77" w14:textId="77777777" w:rsidTr="00822C09">
        <w:trPr>
          <w:tblHeader/>
        </w:trPr>
        <w:tc>
          <w:tcPr>
            <w:tcW w:w="1980" w:type="dxa"/>
            <w:hideMark/>
          </w:tcPr>
          <w:p w14:paraId="20D5F479" w14:textId="12849DA2" w:rsidR="00C15C25" w:rsidRPr="00FD65C9" w:rsidRDefault="00B23C4E" w:rsidP="00055F87">
            <w:pPr>
              <w:pStyle w:val="Tabletitle"/>
              <w:jc w:val="left"/>
              <w:rPr>
                <w:rFonts w:cstheme="minorHAnsi"/>
              </w:rPr>
            </w:pPr>
            <w:r w:rsidRPr="00FD65C9">
              <w:t>Позиция</w:t>
            </w:r>
          </w:p>
        </w:tc>
        <w:tc>
          <w:tcPr>
            <w:tcW w:w="1559" w:type="dxa"/>
            <w:hideMark/>
          </w:tcPr>
          <w:p w14:paraId="4B1077A2" w14:textId="77777777" w:rsidR="00C15C25" w:rsidRPr="00FD65C9" w:rsidRDefault="00C15C25" w:rsidP="00055F87">
            <w:pPr>
              <w:pStyle w:val="Tabletitle"/>
              <w:jc w:val="left"/>
              <w:rPr>
                <w:rFonts w:cstheme="minorHAnsi"/>
              </w:rPr>
            </w:pPr>
            <w:r w:rsidRPr="00FD65C9">
              <w:t>Регион</w:t>
            </w:r>
          </w:p>
        </w:tc>
        <w:tc>
          <w:tcPr>
            <w:tcW w:w="1842" w:type="dxa"/>
            <w:hideMark/>
          </w:tcPr>
          <w:p w14:paraId="51CA6C19" w14:textId="77777777" w:rsidR="00C15C25" w:rsidRPr="00FD65C9" w:rsidRDefault="00C15C25" w:rsidP="00055F87">
            <w:pPr>
              <w:pStyle w:val="Tabletitle"/>
              <w:jc w:val="left"/>
              <w:rPr>
                <w:rFonts w:cstheme="minorHAnsi"/>
              </w:rPr>
            </w:pPr>
            <w:r w:rsidRPr="00FD65C9">
              <w:t>Страна</w:t>
            </w:r>
          </w:p>
        </w:tc>
        <w:tc>
          <w:tcPr>
            <w:tcW w:w="2694" w:type="dxa"/>
            <w:hideMark/>
          </w:tcPr>
          <w:p w14:paraId="5DA1EAA6" w14:textId="24AFE0BD" w:rsidR="00C15C25" w:rsidRPr="00FD65C9" w:rsidRDefault="00B23C4E" w:rsidP="00055F87">
            <w:pPr>
              <w:pStyle w:val="Tabletitle"/>
              <w:jc w:val="left"/>
              <w:rPr>
                <w:rFonts w:cstheme="minorHAnsi"/>
              </w:rPr>
            </w:pPr>
            <w:r w:rsidRPr="00FD65C9">
              <w:t>Имя и фамилия</w:t>
            </w:r>
          </w:p>
        </w:tc>
        <w:tc>
          <w:tcPr>
            <w:tcW w:w="1647" w:type="dxa"/>
          </w:tcPr>
          <w:p w14:paraId="27B3CDE7" w14:textId="77777777" w:rsidR="00C15C25" w:rsidRPr="00FD65C9" w:rsidRDefault="00C15C25" w:rsidP="00055F87">
            <w:pPr>
              <w:pStyle w:val="Tabletitle"/>
              <w:jc w:val="left"/>
              <w:rPr>
                <w:rStyle w:val="Strong"/>
                <w:rFonts w:cstheme="minorHAnsi"/>
              </w:rPr>
            </w:pPr>
            <w:r w:rsidRPr="00FD65C9">
              <w:t>Участие</w:t>
            </w:r>
          </w:p>
        </w:tc>
      </w:tr>
      <w:tr w:rsidR="00C15C25" w:rsidRPr="00FD65C9" w14:paraId="0FC11E38" w14:textId="77777777" w:rsidTr="00822C09">
        <w:tc>
          <w:tcPr>
            <w:tcW w:w="1980" w:type="dxa"/>
            <w:hideMark/>
          </w:tcPr>
          <w:p w14:paraId="63A59F03" w14:textId="77777777" w:rsidR="00C15C25" w:rsidRPr="00FD65C9" w:rsidRDefault="00C15C25" w:rsidP="00055F87">
            <w:pPr>
              <w:pStyle w:val="Tabletext"/>
              <w:rPr>
                <w:rFonts w:cstheme="minorHAnsi"/>
              </w:rPr>
            </w:pPr>
            <w:r w:rsidRPr="00FD65C9">
              <w:t>Председатель</w:t>
            </w:r>
          </w:p>
        </w:tc>
        <w:tc>
          <w:tcPr>
            <w:tcW w:w="1559" w:type="dxa"/>
            <w:hideMark/>
          </w:tcPr>
          <w:p w14:paraId="63D21060" w14:textId="77777777" w:rsidR="00C15C25" w:rsidRPr="00FD65C9" w:rsidRDefault="00C15C25" w:rsidP="00055F87">
            <w:pPr>
              <w:pStyle w:val="Tabletext"/>
              <w:rPr>
                <w:rFonts w:cstheme="minorHAnsi"/>
              </w:rPr>
            </w:pPr>
            <w:r w:rsidRPr="00FD65C9">
              <w:t>Африка</w:t>
            </w:r>
          </w:p>
        </w:tc>
        <w:tc>
          <w:tcPr>
            <w:tcW w:w="1842" w:type="dxa"/>
            <w:hideMark/>
          </w:tcPr>
          <w:p w14:paraId="0CCB2E5C" w14:textId="77777777" w:rsidR="00C15C25" w:rsidRPr="00FD65C9" w:rsidRDefault="00C15C25" w:rsidP="00055F87">
            <w:pPr>
              <w:pStyle w:val="Tabletext"/>
              <w:rPr>
                <w:rFonts w:cstheme="minorHAnsi"/>
              </w:rPr>
            </w:pPr>
            <w:r w:rsidRPr="00FD65C9">
              <w:t>Кот-д'Ивуар (Республика)</w:t>
            </w:r>
          </w:p>
        </w:tc>
        <w:tc>
          <w:tcPr>
            <w:tcW w:w="2694" w:type="dxa"/>
            <w:hideMark/>
          </w:tcPr>
          <w:p w14:paraId="69BE4015" w14:textId="6249CB73" w:rsidR="00C15C25" w:rsidRPr="00FD65C9" w:rsidRDefault="00822C09" w:rsidP="00055F87">
            <w:pPr>
              <w:pStyle w:val="Tabletext"/>
              <w:rPr>
                <w:rFonts w:cstheme="minorHAnsi"/>
              </w:rPr>
            </w:pPr>
            <w:r>
              <w:t>г</w:t>
            </w:r>
            <w:r w:rsidR="00C15C25" w:rsidRPr="00FD65C9">
              <w:t>-жа Регина Флёр А. Бессу</w:t>
            </w:r>
          </w:p>
        </w:tc>
        <w:tc>
          <w:tcPr>
            <w:tcW w:w="1647" w:type="dxa"/>
          </w:tcPr>
          <w:p w14:paraId="42AD5C77" w14:textId="305DABD3"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38BB23B2" w14:textId="77777777" w:rsidTr="00822C09">
        <w:tc>
          <w:tcPr>
            <w:tcW w:w="1980" w:type="dxa"/>
            <w:hideMark/>
          </w:tcPr>
          <w:p w14:paraId="7EB10DC7" w14:textId="77777777" w:rsidR="00C15C25" w:rsidRPr="00FD65C9" w:rsidRDefault="00C15C25" w:rsidP="00055F87">
            <w:pPr>
              <w:pStyle w:val="Tabletext"/>
              <w:rPr>
                <w:rFonts w:cstheme="minorHAnsi"/>
              </w:rPr>
            </w:pPr>
            <w:r w:rsidRPr="00FD65C9">
              <w:t>Заместитель Председателя (Председатель 1-й Исследовательской комиссии)</w:t>
            </w:r>
          </w:p>
        </w:tc>
        <w:tc>
          <w:tcPr>
            <w:tcW w:w="1559" w:type="dxa"/>
            <w:hideMark/>
          </w:tcPr>
          <w:p w14:paraId="696A776A" w14:textId="77777777" w:rsidR="00C15C25" w:rsidRPr="00FD65C9" w:rsidRDefault="00C15C25" w:rsidP="00055F87">
            <w:pPr>
              <w:pStyle w:val="Tabletext"/>
              <w:rPr>
                <w:rFonts w:cstheme="minorHAnsi"/>
              </w:rPr>
            </w:pPr>
            <w:r w:rsidRPr="00FD65C9">
              <w:t>Северная и Южная Америка</w:t>
            </w:r>
          </w:p>
        </w:tc>
        <w:tc>
          <w:tcPr>
            <w:tcW w:w="1842" w:type="dxa"/>
            <w:hideMark/>
          </w:tcPr>
          <w:p w14:paraId="3473FB8B" w14:textId="77777777" w:rsidR="00C15C25" w:rsidRPr="00FD65C9" w:rsidRDefault="00C15C25" w:rsidP="00055F87">
            <w:pPr>
              <w:pStyle w:val="Tabletext"/>
              <w:rPr>
                <w:rFonts w:cstheme="minorHAnsi"/>
              </w:rPr>
            </w:pPr>
            <w:r w:rsidRPr="00FD65C9">
              <w:t>Бразилия (Федеративная Республика)</w:t>
            </w:r>
          </w:p>
        </w:tc>
        <w:tc>
          <w:tcPr>
            <w:tcW w:w="2694" w:type="dxa"/>
            <w:hideMark/>
          </w:tcPr>
          <w:p w14:paraId="6085DBC3" w14:textId="77777777" w:rsidR="00C15C25" w:rsidRPr="00FD65C9" w:rsidRDefault="00C15C25" w:rsidP="00055F87">
            <w:pPr>
              <w:pStyle w:val="Tabletext"/>
              <w:rPr>
                <w:rFonts w:cstheme="minorHAnsi"/>
              </w:rPr>
            </w:pPr>
            <w:r w:rsidRPr="00FD65C9">
              <w:t>г-н Роберту Мицуаке Хираяма</w:t>
            </w:r>
          </w:p>
        </w:tc>
        <w:tc>
          <w:tcPr>
            <w:tcW w:w="1647" w:type="dxa"/>
          </w:tcPr>
          <w:p w14:paraId="0A4CA0A2" w14:textId="3CFA8135" w:rsidR="00C15C25" w:rsidRPr="00FD65C9" w:rsidRDefault="00B52650" w:rsidP="00055F87">
            <w:pPr>
              <w:pStyle w:val="Tabletext"/>
              <w:rPr>
                <w:rFonts w:cstheme="minorHAnsi"/>
              </w:rPr>
            </w:pPr>
            <w:r w:rsidRPr="00FD65C9">
              <w:t>Присутствовал</w:t>
            </w:r>
          </w:p>
        </w:tc>
      </w:tr>
      <w:tr w:rsidR="00C15C25" w:rsidRPr="00FD65C9" w14:paraId="7242ADC1" w14:textId="77777777" w:rsidTr="00822C09">
        <w:tc>
          <w:tcPr>
            <w:tcW w:w="1980" w:type="dxa"/>
            <w:hideMark/>
          </w:tcPr>
          <w:p w14:paraId="7E552A05" w14:textId="77777777" w:rsidR="00C15C25" w:rsidRPr="00FD65C9" w:rsidRDefault="00C15C25" w:rsidP="00055F87">
            <w:pPr>
              <w:pStyle w:val="Tabletext"/>
              <w:rPr>
                <w:rFonts w:cstheme="minorHAnsi"/>
              </w:rPr>
            </w:pPr>
            <w:r w:rsidRPr="00FD65C9">
              <w:t>Заместитель Председателя (Председатель 2-й Исследовательской комиссии)</w:t>
            </w:r>
          </w:p>
        </w:tc>
        <w:tc>
          <w:tcPr>
            <w:tcW w:w="1559" w:type="dxa"/>
            <w:hideMark/>
          </w:tcPr>
          <w:p w14:paraId="2439F129" w14:textId="77777777" w:rsidR="00C15C25" w:rsidRPr="00FD65C9" w:rsidRDefault="00C15C25" w:rsidP="00055F87">
            <w:pPr>
              <w:pStyle w:val="Tabletext"/>
              <w:rPr>
                <w:rFonts w:cstheme="minorHAnsi"/>
              </w:rPr>
            </w:pPr>
            <w:r w:rsidRPr="00FD65C9">
              <w:t>Арабские государства</w:t>
            </w:r>
          </w:p>
        </w:tc>
        <w:tc>
          <w:tcPr>
            <w:tcW w:w="1842" w:type="dxa"/>
            <w:hideMark/>
          </w:tcPr>
          <w:p w14:paraId="5DE58896" w14:textId="77777777" w:rsidR="00C15C25" w:rsidRPr="00FD65C9" w:rsidRDefault="00C15C25" w:rsidP="00055F87">
            <w:pPr>
              <w:pStyle w:val="Tabletext"/>
              <w:rPr>
                <w:rFonts w:cstheme="minorHAnsi"/>
              </w:rPr>
            </w:pPr>
            <w:r w:rsidRPr="00FD65C9">
              <w:t>Египет (Арабская Республика)</w:t>
            </w:r>
          </w:p>
        </w:tc>
        <w:tc>
          <w:tcPr>
            <w:tcW w:w="2694" w:type="dxa"/>
            <w:hideMark/>
          </w:tcPr>
          <w:p w14:paraId="49B5C266" w14:textId="77777777" w:rsidR="00C15C25" w:rsidRPr="00FD65C9" w:rsidRDefault="00C15C25" w:rsidP="00055F87">
            <w:pPr>
              <w:pStyle w:val="Tabletext"/>
              <w:rPr>
                <w:rFonts w:cstheme="minorHAnsi"/>
              </w:rPr>
            </w:pPr>
            <w:r w:rsidRPr="00FD65C9">
              <w:t>д-р Фадель Дигхам</w:t>
            </w:r>
          </w:p>
        </w:tc>
        <w:tc>
          <w:tcPr>
            <w:tcW w:w="1647" w:type="dxa"/>
          </w:tcPr>
          <w:p w14:paraId="5CEFB013" w14:textId="0FEC20DC" w:rsidR="00C15C25" w:rsidRPr="00FD65C9" w:rsidRDefault="00B52650" w:rsidP="00055F87">
            <w:pPr>
              <w:pStyle w:val="Tabletext"/>
              <w:rPr>
                <w:rFonts w:cstheme="minorHAnsi"/>
                <w:lang w:val="en-US"/>
              </w:rPr>
            </w:pPr>
            <w:r w:rsidRPr="00FD65C9">
              <w:t>Присутствовал</w:t>
            </w:r>
            <w:r w:rsidRPr="00FD65C9">
              <w:rPr>
                <w:lang w:val="en-US"/>
              </w:rPr>
              <w:t>*</w:t>
            </w:r>
          </w:p>
        </w:tc>
      </w:tr>
      <w:tr w:rsidR="00C15C25" w:rsidRPr="00FD65C9" w14:paraId="5F417762" w14:textId="77777777" w:rsidTr="00822C09">
        <w:tc>
          <w:tcPr>
            <w:tcW w:w="1980" w:type="dxa"/>
            <w:hideMark/>
          </w:tcPr>
          <w:p w14:paraId="0310B1B0"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327D680F" w14:textId="77777777" w:rsidR="00C15C25" w:rsidRPr="00FD65C9" w:rsidRDefault="00C15C25" w:rsidP="00055F87">
            <w:pPr>
              <w:pStyle w:val="Tabletext"/>
              <w:rPr>
                <w:rFonts w:cstheme="minorHAnsi"/>
              </w:rPr>
            </w:pPr>
            <w:r w:rsidRPr="00FD65C9">
              <w:t>Африка</w:t>
            </w:r>
          </w:p>
        </w:tc>
        <w:tc>
          <w:tcPr>
            <w:tcW w:w="1842" w:type="dxa"/>
            <w:hideMark/>
          </w:tcPr>
          <w:p w14:paraId="100DC6FE" w14:textId="77777777" w:rsidR="00C15C25" w:rsidRPr="00FD65C9" w:rsidRDefault="00C15C25" w:rsidP="00055F87">
            <w:pPr>
              <w:pStyle w:val="Tabletext"/>
              <w:rPr>
                <w:rFonts w:cstheme="minorHAnsi"/>
              </w:rPr>
            </w:pPr>
            <w:r w:rsidRPr="00FD65C9">
              <w:t>Зимбабве (Республика)</w:t>
            </w:r>
          </w:p>
        </w:tc>
        <w:tc>
          <w:tcPr>
            <w:tcW w:w="2694" w:type="dxa"/>
            <w:hideMark/>
          </w:tcPr>
          <w:p w14:paraId="7B97C9F3" w14:textId="77777777" w:rsidR="00C15C25" w:rsidRPr="00FD65C9" w:rsidRDefault="00C15C25" w:rsidP="00055F87">
            <w:pPr>
              <w:pStyle w:val="Tabletext"/>
              <w:rPr>
                <w:rFonts w:cstheme="minorHAnsi"/>
              </w:rPr>
            </w:pPr>
            <w:r w:rsidRPr="00FD65C9">
              <w:t>г-жа Сесилия Ньямутсва</w:t>
            </w:r>
          </w:p>
        </w:tc>
        <w:tc>
          <w:tcPr>
            <w:tcW w:w="1647" w:type="dxa"/>
          </w:tcPr>
          <w:p w14:paraId="092B5AA7" w14:textId="1870F4DB"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5C08F91F" w14:textId="77777777" w:rsidTr="00822C09">
        <w:tc>
          <w:tcPr>
            <w:tcW w:w="1980" w:type="dxa"/>
            <w:hideMark/>
          </w:tcPr>
          <w:p w14:paraId="6D8DC5B6"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72E6D285" w14:textId="77777777" w:rsidR="00C15C25" w:rsidRPr="00FD65C9" w:rsidRDefault="00C15C25" w:rsidP="00055F87">
            <w:pPr>
              <w:pStyle w:val="Tabletext"/>
              <w:rPr>
                <w:rFonts w:cstheme="minorHAnsi"/>
              </w:rPr>
            </w:pPr>
            <w:r w:rsidRPr="00FD65C9">
              <w:t>Африка</w:t>
            </w:r>
          </w:p>
        </w:tc>
        <w:tc>
          <w:tcPr>
            <w:tcW w:w="1842" w:type="dxa"/>
            <w:hideMark/>
          </w:tcPr>
          <w:p w14:paraId="1C273ED1" w14:textId="77777777" w:rsidR="00C15C25" w:rsidRPr="00FD65C9" w:rsidRDefault="00C15C25" w:rsidP="00055F87">
            <w:pPr>
              <w:pStyle w:val="Tabletext"/>
              <w:rPr>
                <w:rFonts w:cstheme="minorHAnsi"/>
              </w:rPr>
            </w:pPr>
            <w:r w:rsidRPr="00FD65C9">
              <w:t>Кения (Республика)</w:t>
            </w:r>
          </w:p>
        </w:tc>
        <w:tc>
          <w:tcPr>
            <w:tcW w:w="2694" w:type="dxa"/>
            <w:hideMark/>
          </w:tcPr>
          <w:p w14:paraId="28A18D34" w14:textId="77777777" w:rsidR="00C15C25" w:rsidRPr="00FD65C9" w:rsidRDefault="00C15C25" w:rsidP="00055F87">
            <w:pPr>
              <w:pStyle w:val="Tabletext"/>
              <w:rPr>
                <w:rFonts w:cstheme="minorHAnsi"/>
              </w:rPr>
            </w:pPr>
            <w:r w:rsidRPr="00FD65C9">
              <w:t>инж. Фред Онгаро</w:t>
            </w:r>
          </w:p>
        </w:tc>
        <w:tc>
          <w:tcPr>
            <w:tcW w:w="1647" w:type="dxa"/>
          </w:tcPr>
          <w:p w14:paraId="58B2BCFC" w14:textId="406E2810" w:rsidR="00C15C25" w:rsidRPr="00FD65C9" w:rsidRDefault="00C15C25" w:rsidP="00055F87">
            <w:pPr>
              <w:pStyle w:val="Tabletext"/>
              <w:rPr>
                <w:rFonts w:cstheme="minorHAnsi"/>
              </w:rPr>
            </w:pPr>
            <w:r w:rsidRPr="00FD65C9">
              <w:t>Присутствовал</w:t>
            </w:r>
          </w:p>
        </w:tc>
      </w:tr>
      <w:tr w:rsidR="00C15C25" w:rsidRPr="00FD65C9" w14:paraId="01C6E35B" w14:textId="77777777" w:rsidTr="00822C09">
        <w:tc>
          <w:tcPr>
            <w:tcW w:w="1980" w:type="dxa"/>
            <w:hideMark/>
          </w:tcPr>
          <w:p w14:paraId="5F49F17A"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32C1BFA5" w14:textId="77777777" w:rsidR="00C15C25" w:rsidRPr="00FD65C9" w:rsidRDefault="00C15C25" w:rsidP="00055F87">
            <w:pPr>
              <w:pStyle w:val="Tabletext"/>
              <w:rPr>
                <w:rFonts w:cstheme="minorHAnsi"/>
              </w:rPr>
            </w:pPr>
            <w:r w:rsidRPr="00FD65C9">
              <w:t>Арабские государства</w:t>
            </w:r>
          </w:p>
        </w:tc>
        <w:tc>
          <w:tcPr>
            <w:tcW w:w="1842" w:type="dxa"/>
            <w:hideMark/>
          </w:tcPr>
          <w:p w14:paraId="4DE1ED1D" w14:textId="77777777" w:rsidR="00C15C25" w:rsidRPr="00FD65C9" w:rsidRDefault="00C15C25" w:rsidP="00055F87">
            <w:pPr>
              <w:pStyle w:val="Tabletext"/>
              <w:rPr>
                <w:rFonts w:cstheme="minorHAnsi"/>
              </w:rPr>
            </w:pPr>
            <w:r w:rsidRPr="00FD65C9">
              <w:t>Египет (Арабская Республика)</w:t>
            </w:r>
          </w:p>
        </w:tc>
        <w:tc>
          <w:tcPr>
            <w:tcW w:w="2694" w:type="dxa"/>
            <w:hideMark/>
          </w:tcPr>
          <w:p w14:paraId="6F525902" w14:textId="5C153DBE" w:rsidR="00C15C25" w:rsidRPr="00FD65C9" w:rsidRDefault="00C15C25" w:rsidP="00055F87">
            <w:pPr>
              <w:pStyle w:val="Tabletext"/>
              <w:rPr>
                <w:rFonts w:cstheme="minorHAnsi"/>
              </w:rPr>
            </w:pPr>
            <w:r w:rsidRPr="00FD65C9">
              <w:t>инж. Ахмед Абд Эль-Азиз Гад</w:t>
            </w:r>
          </w:p>
        </w:tc>
        <w:tc>
          <w:tcPr>
            <w:tcW w:w="1647" w:type="dxa"/>
          </w:tcPr>
          <w:p w14:paraId="452D9C02" w14:textId="5D03B19F" w:rsidR="00C15C25" w:rsidRPr="00FD65C9" w:rsidRDefault="00C15C25" w:rsidP="00055F87">
            <w:pPr>
              <w:pStyle w:val="Tabletext"/>
              <w:rPr>
                <w:rFonts w:cstheme="minorHAnsi"/>
              </w:rPr>
            </w:pPr>
            <w:r w:rsidRPr="00FD65C9">
              <w:t>Присутствовал</w:t>
            </w:r>
          </w:p>
        </w:tc>
      </w:tr>
      <w:tr w:rsidR="00C15C25" w:rsidRPr="00FD65C9" w14:paraId="699E0303" w14:textId="77777777" w:rsidTr="00822C09">
        <w:tc>
          <w:tcPr>
            <w:tcW w:w="1980" w:type="dxa"/>
            <w:hideMark/>
          </w:tcPr>
          <w:p w14:paraId="460CB961"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7130953B" w14:textId="77777777" w:rsidR="00C15C25" w:rsidRPr="00FD65C9" w:rsidRDefault="00C15C25" w:rsidP="00055F87">
            <w:pPr>
              <w:pStyle w:val="Tabletext"/>
              <w:rPr>
                <w:rFonts w:cstheme="minorHAnsi"/>
              </w:rPr>
            </w:pPr>
            <w:r w:rsidRPr="00FD65C9">
              <w:t>Арабские государства</w:t>
            </w:r>
          </w:p>
        </w:tc>
        <w:tc>
          <w:tcPr>
            <w:tcW w:w="1842" w:type="dxa"/>
            <w:hideMark/>
          </w:tcPr>
          <w:p w14:paraId="6FD9E4DA" w14:textId="77777777" w:rsidR="00C15C25" w:rsidRPr="00FD65C9" w:rsidRDefault="00C15C25" w:rsidP="00055F87">
            <w:pPr>
              <w:pStyle w:val="Tabletext"/>
              <w:rPr>
                <w:rFonts w:cstheme="minorHAnsi"/>
              </w:rPr>
            </w:pPr>
            <w:r w:rsidRPr="00FD65C9">
              <w:t>Саудовская Аравия (Королевство)</w:t>
            </w:r>
          </w:p>
        </w:tc>
        <w:tc>
          <w:tcPr>
            <w:tcW w:w="2694" w:type="dxa"/>
            <w:hideMark/>
          </w:tcPr>
          <w:p w14:paraId="152D791B" w14:textId="77777777" w:rsidR="00C15C25" w:rsidRPr="00FD65C9" w:rsidRDefault="00C15C25" w:rsidP="00055F87">
            <w:pPr>
              <w:pStyle w:val="Tabletext"/>
              <w:rPr>
                <w:rFonts w:cstheme="minorHAnsi"/>
              </w:rPr>
            </w:pPr>
            <w:r w:rsidRPr="00FD65C9">
              <w:t>г-жа Шахад Альбалави</w:t>
            </w:r>
          </w:p>
        </w:tc>
        <w:tc>
          <w:tcPr>
            <w:tcW w:w="1647" w:type="dxa"/>
          </w:tcPr>
          <w:p w14:paraId="0C8BC8AB" w14:textId="3BEDFE24"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1430397B" w14:textId="77777777" w:rsidTr="00822C09">
        <w:tc>
          <w:tcPr>
            <w:tcW w:w="1980" w:type="dxa"/>
            <w:hideMark/>
          </w:tcPr>
          <w:p w14:paraId="6DE68173"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3F01002E" w14:textId="181AA485" w:rsidR="00C15C25" w:rsidRPr="00055F87" w:rsidRDefault="00C15C25" w:rsidP="00055F87">
            <w:pPr>
              <w:pStyle w:val="Tabletext"/>
              <w:rPr>
                <w:rFonts w:cstheme="minorHAnsi"/>
                <w:lang w:val="en-US"/>
              </w:rPr>
            </w:pPr>
            <w:r w:rsidRPr="00FD65C9">
              <w:t>Азиатско-Тихоокеанский регион</w:t>
            </w:r>
          </w:p>
        </w:tc>
        <w:tc>
          <w:tcPr>
            <w:tcW w:w="1842" w:type="dxa"/>
            <w:hideMark/>
          </w:tcPr>
          <w:p w14:paraId="2470B1AA" w14:textId="77777777" w:rsidR="00C15C25" w:rsidRPr="00FD65C9" w:rsidRDefault="00C15C25" w:rsidP="00055F87">
            <w:pPr>
              <w:pStyle w:val="Tabletext"/>
              <w:rPr>
                <w:rFonts w:cstheme="minorHAnsi"/>
              </w:rPr>
            </w:pPr>
            <w:r w:rsidRPr="00FD65C9">
              <w:t>Китайская Народная Республика</w:t>
            </w:r>
          </w:p>
        </w:tc>
        <w:tc>
          <w:tcPr>
            <w:tcW w:w="2694" w:type="dxa"/>
            <w:hideMark/>
          </w:tcPr>
          <w:p w14:paraId="125C8F24" w14:textId="77777777" w:rsidR="00C15C25" w:rsidRPr="00FD65C9" w:rsidRDefault="00C15C25" w:rsidP="00055F87">
            <w:pPr>
              <w:pStyle w:val="Tabletext"/>
              <w:rPr>
                <w:rFonts w:cstheme="minorHAnsi"/>
              </w:rPr>
            </w:pPr>
            <w:r w:rsidRPr="00FD65C9">
              <w:t>г-жа Кэ Ван</w:t>
            </w:r>
          </w:p>
        </w:tc>
        <w:tc>
          <w:tcPr>
            <w:tcW w:w="1647" w:type="dxa"/>
          </w:tcPr>
          <w:p w14:paraId="03EC1D64" w14:textId="696A086C"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5170B5C1" w14:textId="77777777" w:rsidTr="00822C09">
        <w:tc>
          <w:tcPr>
            <w:tcW w:w="1980" w:type="dxa"/>
            <w:hideMark/>
          </w:tcPr>
          <w:p w14:paraId="1919E759"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11CCF5A3" w14:textId="51264D18" w:rsidR="00C15C25" w:rsidRPr="00055F87" w:rsidRDefault="00C15C25" w:rsidP="00055F87">
            <w:pPr>
              <w:pStyle w:val="Tabletext"/>
              <w:rPr>
                <w:rFonts w:cstheme="minorHAnsi"/>
                <w:lang w:val="en-US"/>
              </w:rPr>
            </w:pPr>
            <w:r w:rsidRPr="00FD65C9">
              <w:t>Азиатско-Тихоокеанский регион</w:t>
            </w:r>
          </w:p>
        </w:tc>
        <w:tc>
          <w:tcPr>
            <w:tcW w:w="1842" w:type="dxa"/>
            <w:hideMark/>
          </w:tcPr>
          <w:p w14:paraId="7EF81972" w14:textId="77777777" w:rsidR="00C15C25" w:rsidRPr="00FD65C9" w:rsidRDefault="00C15C25" w:rsidP="00055F87">
            <w:pPr>
              <w:pStyle w:val="Tabletext"/>
              <w:rPr>
                <w:rFonts w:cstheme="minorHAnsi"/>
              </w:rPr>
            </w:pPr>
            <w:r w:rsidRPr="00FD65C9">
              <w:t>Республика Корея</w:t>
            </w:r>
          </w:p>
        </w:tc>
        <w:tc>
          <w:tcPr>
            <w:tcW w:w="2694" w:type="dxa"/>
            <w:hideMark/>
          </w:tcPr>
          <w:p w14:paraId="0EF52334" w14:textId="77777777" w:rsidR="00C15C25" w:rsidRPr="00FD65C9" w:rsidRDefault="00C15C25" w:rsidP="00055F87">
            <w:pPr>
              <w:pStyle w:val="Tabletext"/>
              <w:rPr>
                <w:rFonts w:cstheme="minorHAnsi"/>
              </w:rPr>
            </w:pPr>
            <w:r w:rsidRPr="00FD65C9">
              <w:t>г-жа Мина Сонмин Чон</w:t>
            </w:r>
          </w:p>
        </w:tc>
        <w:tc>
          <w:tcPr>
            <w:tcW w:w="1647" w:type="dxa"/>
          </w:tcPr>
          <w:p w14:paraId="6D542DDF" w14:textId="4AA3DA59"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393103CF" w14:textId="77777777" w:rsidTr="00822C09">
        <w:tc>
          <w:tcPr>
            <w:tcW w:w="1980" w:type="dxa"/>
            <w:hideMark/>
          </w:tcPr>
          <w:p w14:paraId="6BF97C9C"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5D2E6228" w14:textId="456883DA" w:rsidR="00C15C25" w:rsidRPr="00055F87" w:rsidRDefault="00C15C25" w:rsidP="00055F87">
            <w:pPr>
              <w:pStyle w:val="Tabletext"/>
              <w:rPr>
                <w:rFonts w:cstheme="minorHAnsi"/>
                <w:lang w:val="en-US"/>
              </w:rPr>
            </w:pPr>
            <w:r w:rsidRPr="00FD65C9">
              <w:t>Азиатско-Тихоокеанский регион</w:t>
            </w:r>
          </w:p>
        </w:tc>
        <w:tc>
          <w:tcPr>
            <w:tcW w:w="1842" w:type="dxa"/>
            <w:hideMark/>
          </w:tcPr>
          <w:p w14:paraId="5778918A" w14:textId="77777777" w:rsidR="00C15C25" w:rsidRPr="00FD65C9" w:rsidRDefault="00C15C25" w:rsidP="00055F87">
            <w:pPr>
              <w:pStyle w:val="Tabletext"/>
              <w:rPr>
                <w:rFonts w:cstheme="minorHAnsi"/>
              </w:rPr>
            </w:pPr>
            <w:r w:rsidRPr="00FD65C9">
              <w:t>Иран (Исламская Республика)</w:t>
            </w:r>
          </w:p>
        </w:tc>
        <w:tc>
          <w:tcPr>
            <w:tcW w:w="2694" w:type="dxa"/>
            <w:hideMark/>
          </w:tcPr>
          <w:p w14:paraId="47744262" w14:textId="77777777" w:rsidR="00C15C25" w:rsidRPr="00FD65C9" w:rsidRDefault="00C15C25" w:rsidP="00055F87">
            <w:pPr>
              <w:pStyle w:val="Tabletext"/>
              <w:rPr>
                <w:rFonts w:cstheme="minorHAnsi"/>
              </w:rPr>
            </w:pPr>
            <w:r w:rsidRPr="00FD65C9">
              <w:t>д-р Ахмад Р. Шарафат</w:t>
            </w:r>
          </w:p>
        </w:tc>
        <w:tc>
          <w:tcPr>
            <w:tcW w:w="1647" w:type="dxa"/>
          </w:tcPr>
          <w:p w14:paraId="52238EFB" w14:textId="68670B0A" w:rsidR="00C15C25" w:rsidRPr="00FD65C9" w:rsidRDefault="00C15C25" w:rsidP="00055F87">
            <w:pPr>
              <w:pStyle w:val="Tabletext"/>
              <w:rPr>
                <w:rFonts w:cstheme="minorHAnsi"/>
                <w:lang w:val="en-US"/>
              </w:rPr>
            </w:pPr>
            <w:r w:rsidRPr="00FD65C9">
              <w:t>Присутствовал</w:t>
            </w:r>
            <w:r w:rsidR="00B52650" w:rsidRPr="00FD65C9">
              <w:rPr>
                <w:lang w:val="en-US"/>
              </w:rPr>
              <w:t>*</w:t>
            </w:r>
          </w:p>
        </w:tc>
      </w:tr>
      <w:tr w:rsidR="00C15C25" w:rsidRPr="00FD65C9" w14:paraId="0557DAD6" w14:textId="77777777" w:rsidTr="00822C09">
        <w:tc>
          <w:tcPr>
            <w:tcW w:w="1980" w:type="dxa"/>
            <w:hideMark/>
          </w:tcPr>
          <w:p w14:paraId="286BE0C3"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4D9A5408" w14:textId="77777777" w:rsidR="00C15C25" w:rsidRPr="00FD65C9" w:rsidRDefault="00C15C25" w:rsidP="00055F87">
            <w:pPr>
              <w:pStyle w:val="Tabletext"/>
              <w:rPr>
                <w:rFonts w:cstheme="minorHAnsi"/>
              </w:rPr>
            </w:pPr>
            <w:r w:rsidRPr="00FD65C9">
              <w:t>СНГ</w:t>
            </w:r>
          </w:p>
        </w:tc>
        <w:tc>
          <w:tcPr>
            <w:tcW w:w="1842" w:type="dxa"/>
            <w:hideMark/>
          </w:tcPr>
          <w:p w14:paraId="3496A3C7" w14:textId="77777777" w:rsidR="00C15C25" w:rsidRPr="00FD65C9" w:rsidRDefault="00C15C25" w:rsidP="00055F87">
            <w:pPr>
              <w:pStyle w:val="Tabletext"/>
              <w:rPr>
                <w:rFonts w:cstheme="minorHAnsi"/>
              </w:rPr>
            </w:pPr>
            <w:r w:rsidRPr="00FD65C9">
              <w:t>Кыргызская Республика</w:t>
            </w:r>
          </w:p>
        </w:tc>
        <w:tc>
          <w:tcPr>
            <w:tcW w:w="2694" w:type="dxa"/>
            <w:hideMark/>
          </w:tcPr>
          <w:p w14:paraId="1215E037" w14:textId="77777777" w:rsidR="00C15C25" w:rsidRPr="00FD65C9" w:rsidRDefault="00C15C25" w:rsidP="00055F87">
            <w:pPr>
              <w:pStyle w:val="Tabletext"/>
              <w:rPr>
                <w:rFonts w:cstheme="minorHAnsi"/>
              </w:rPr>
            </w:pPr>
            <w:r w:rsidRPr="00FD65C9">
              <w:t>г-жа Айчурок Маралбек кызы</w:t>
            </w:r>
          </w:p>
        </w:tc>
        <w:tc>
          <w:tcPr>
            <w:tcW w:w="1647" w:type="dxa"/>
          </w:tcPr>
          <w:p w14:paraId="6C474611" w14:textId="4BF32873"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241E4AB2" w14:textId="77777777" w:rsidTr="00822C09">
        <w:tc>
          <w:tcPr>
            <w:tcW w:w="1980" w:type="dxa"/>
            <w:hideMark/>
          </w:tcPr>
          <w:p w14:paraId="1673035C"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55549C10" w14:textId="77777777" w:rsidR="00C15C25" w:rsidRPr="00FD65C9" w:rsidRDefault="00C15C25" w:rsidP="00055F87">
            <w:pPr>
              <w:pStyle w:val="Tabletext"/>
              <w:rPr>
                <w:rFonts w:cstheme="minorHAnsi"/>
              </w:rPr>
            </w:pPr>
            <w:r w:rsidRPr="00FD65C9">
              <w:t>СНГ</w:t>
            </w:r>
          </w:p>
        </w:tc>
        <w:tc>
          <w:tcPr>
            <w:tcW w:w="1842" w:type="dxa"/>
            <w:hideMark/>
          </w:tcPr>
          <w:p w14:paraId="29F40222" w14:textId="77777777" w:rsidR="00C15C25" w:rsidRPr="00FD65C9" w:rsidRDefault="00C15C25" w:rsidP="00055F87">
            <w:pPr>
              <w:pStyle w:val="Tabletext"/>
              <w:rPr>
                <w:rFonts w:cstheme="minorHAnsi"/>
              </w:rPr>
            </w:pPr>
            <w:r w:rsidRPr="00FD65C9">
              <w:t>Российская Федерация</w:t>
            </w:r>
          </w:p>
        </w:tc>
        <w:tc>
          <w:tcPr>
            <w:tcW w:w="2694" w:type="dxa"/>
            <w:hideMark/>
          </w:tcPr>
          <w:p w14:paraId="1102908C" w14:textId="3386E740" w:rsidR="00C15C25" w:rsidRPr="00FD65C9" w:rsidRDefault="00B23C4E" w:rsidP="00055F87">
            <w:pPr>
              <w:pStyle w:val="Tabletext"/>
              <w:rPr>
                <w:rFonts w:cstheme="minorHAnsi"/>
              </w:rPr>
            </w:pPr>
            <w:r w:rsidRPr="00FD65C9">
              <w:t>г</w:t>
            </w:r>
            <w:r w:rsidR="00C15C25" w:rsidRPr="00FD65C9">
              <w:t>-н Арсений Плосский</w:t>
            </w:r>
          </w:p>
        </w:tc>
        <w:tc>
          <w:tcPr>
            <w:tcW w:w="1647" w:type="dxa"/>
          </w:tcPr>
          <w:p w14:paraId="2A6FF532" w14:textId="4A63A602" w:rsidR="00C15C25" w:rsidRPr="00FD65C9" w:rsidRDefault="00C15C25" w:rsidP="00055F87">
            <w:pPr>
              <w:pStyle w:val="Tabletext"/>
              <w:rPr>
                <w:rFonts w:cstheme="minorHAnsi"/>
              </w:rPr>
            </w:pPr>
            <w:r w:rsidRPr="00FD65C9">
              <w:t>Присутствовал</w:t>
            </w:r>
          </w:p>
        </w:tc>
      </w:tr>
      <w:tr w:rsidR="00C15C25" w:rsidRPr="00FD65C9" w14:paraId="10242BD8" w14:textId="77777777" w:rsidTr="00822C09">
        <w:tc>
          <w:tcPr>
            <w:tcW w:w="1980" w:type="dxa"/>
            <w:hideMark/>
          </w:tcPr>
          <w:p w14:paraId="392445BD"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3F942A8B" w14:textId="77777777" w:rsidR="00C15C25" w:rsidRPr="00FD65C9" w:rsidRDefault="00C15C25" w:rsidP="00055F87">
            <w:pPr>
              <w:pStyle w:val="Tabletext"/>
              <w:rPr>
                <w:rFonts w:cstheme="minorHAnsi"/>
              </w:rPr>
            </w:pPr>
            <w:r w:rsidRPr="00FD65C9">
              <w:t>Европа</w:t>
            </w:r>
          </w:p>
        </w:tc>
        <w:tc>
          <w:tcPr>
            <w:tcW w:w="1842" w:type="dxa"/>
            <w:hideMark/>
          </w:tcPr>
          <w:p w14:paraId="3230E9E4" w14:textId="77777777" w:rsidR="00C15C25" w:rsidRPr="00FD65C9" w:rsidRDefault="00C15C25" w:rsidP="00055F87">
            <w:pPr>
              <w:pStyle w:val="Tabletext"/>
              <w:rPr>
                <w:rFonts w:cstheme="minorHAnsi"/>
              </w:rPr>
            </w:pPr>
            <w:r w:rsidRPr="00FD65C9">
              <w:t>Чешская Республика</w:t>
            </w:r>
          </w:p>
        </w:tc>
        <w:tc>
          <w:tcPr>
            <w:tcW w:w="2694" w:type="dxa"/>
            <w:hideMark/>
          </w:tcPr>
          <w:p w14:paraId="1989B00A" w14:textId="77777777" w:rsidR="00C15C25" w:rsidRPr="00FD65C9" w:rsidRDefault="00C15C25" w:rsidP="00055F87">
            <w:pPr>
              <w:pStyle w:val="Tabletext"/>
              <w:rPr>
                <w:rFonts w:cstheme="minorHAnsi"/>
              </w:rPr>
            </w:pPr>
            <w:r w:rsidRPr="00FD65C9">
              <w:t>г-жа Ева Минарикова</w:t>
            </w:r>
          </w:p>
        </w:tc>
        <w:tc>
          <w:tcPr>
            <w:tcW w:w="1647" w:type="dxa"/>
          </w:tcPr>
          <w:p w14:paraId="52332BCD" w14:textId="371947AF"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6D120DC8" w14:textId="77777777" w:rsidTr="00822C09">
        <w:tc>
          <w:tcPr>
            <w:tcW w:w="1980" w:type="dxa"/>
            <w:hideMark/>
          </w:tcPr>
          <w:p w14:paraId="56B2C52D" w14:textId="77777777" w:rsidR="00C15C25" w:rsidRPr="00FD65C9" w:rsidRDefault="00C15C25" w:rsidP="00055F87">
            <w:pPr>
              <w:pStyle w:val="Tabletext"/>
              <w:rPr>
                <w:rFonts w:cstheme="minorHAnsi"/>
              </w:rPr>
            </w:pPr>
            <w:r w:rsidRPr="00FD65C9">
              <w:lastRenderedPageBreak/>
              <w:t>Заместитель Председателя</w:t>
            </w:r>
          </w:p>
        </w:tc>
        <w:tc>
          <w:tcPr>
            <w:tcW w:w="1559" w:type="dxa"/>
            <w:hideMark/>
          </w:tcPr>
          <w:p w14:paraId="234322AC" w14:textId="77777777" w:rsidR="00C15C25" w:rsidRPr="00FD65C9" w:rsidRDefault="00C15C25" w:rsidP="00055F87">
            <w:pPr>
              <w:pStyle w:val="Tabletext"/>
              <w:rPr>
                <w:rFonts w:cstheme="minorHAnsi"/>
              </w:rPr>
            </w:pPr>
            <w:r w:rsidRPr="00FD65C9">
              <w:t>Европа</w:t>
            </w:r>
          </w:p>
        </w:tc>
        <w:tc>
          <w:tcPr>
            <w:tcW w:w="1842" w:type="dxa"/>
            <w:hideMark/>
          </w:tcPr>
          <w:p w14:paraId="6195D35C" w14:textId="77777777" w:rsidR="00C15C25" w:rsidRPr="00FD65C9" w:rsidRDefault="00C15C25" w:rsidP="00055F87">
            <w:pPr>
              <w:pStyle w:val="Tabletext"/>
              <w:rPr>
                <w:rFonts w:cstheme="minorHAnsi"/>
              </w:rPr>
            </w:pPr>
            <w:r w:rsidRPr="00FD65C9">
              <w:t>Литовская Республика</w:t>
            </w:r>
          </w:p>
        </w:tc>
        <w:tc>
          <w:tcPr>
            <w:tcW w:w="2694" w:type="dxa"/>
            <w:hideMark/>
          </w:tcPr>
          <w:p w14:paraId="4BDA5713" w14:textId="77777777" w:rsidR="00C15C25" w:rsidRPr="00FD65C9" w:rsidRDefault="00C15C25" w:rsidP="00055F87">
            <w:pPr>
              <w:pStyle w:val="Tabletext"/>
              <w:rPr>
                <w:rFonts w:cstheme="minorHAnsi"/>
              </w:rPr>
            </w:pPr>
            <w:r w:rsidRPr="00FD65C9">
              <w:t>г-жа Инга Римкевичене</w:t>
            </w:r>
          </w:p>
        </w:tc>
        <w:tc>
          <w:tcPr>
            <w:tcW w:w="1647" w:type="dxa"/>
          </w:tcPr>
          <w:p w14:paraId="124B47E6" w14:textId="2933A7E4" w:rsidR="00C15C25" w:rsidRPr="00FD65C9" w:rsidRDefault="00C15C25" w:rsidP="00055F87">
            <w:pPr>
              <w:pStyle w:val="Tabletext"/>
              <w:rPr>
                <w:rFonts w:cstheme="minorHAnsi"/>
              </w:rPr>
            </w:pPr>
            <w:r w:rsidRPr="00FD65C9">
              <w:t>Присутствовал</w:t>
            </w:r>
            <w:r w:rsidR="00B52650" w:rsidRPr="00FD65C9">
              <w:t>а</w:t>
            </w:r>
          </w:p>
        </w:tc>
      </w:tr>
      <w:tr w:rsidR="00C15C25" w:rsidRPr="00FD65C9" w14:paraId="0DAD2393" w14:textId="77777777" w:rsidTr="00822C09">
        <w:tc>
          <w:tcPr>
            <w:tcW w:w="1980" w:type="dxa"/>
            <w:hideMark/>
          </w:tcPr>
          <w:p w14:paraId="68A79994"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00BBC093" w14:textId="77777777" w:rsidR="00C15C25" w:rsidRPr="00FD65C9" w:rsidRDefault="00C15C25" w:rsidP="00055F87">
            <w:pPr>
              <w:pStyle w:val="Tabletext"/>
              <w:rPr>
                <w:rFonts w:cstheme="minorHAnsi"/>
              </w:rPr>
            </w:pPr>
            <w:r w:rsidRPr="00FD65C9">
              <w:t>Северная и Южная Америка</w:t>
            </w:r>
          </w:p>
        </w:tc>
        <w:tc>
          <w:tcPr>
            <w:tcW w:w="1842" w:type="dxa"/>
            <w:hideMark/>
          </w:tcPr>
          <w:p w14:paraId="3DD779E8" w14:textId="77777777" w:rsidR="00C15C25" w:rsidRPr="00FD65C9" w:rsidRDefault="00C15C25" w:rsidP="00055F87">
            <w:pPr>
              <w:pStyle w:val="Tabletext"/>
              <w:rPr>
                <w:rFonts w:cstheme="minorHAnsi"/>
              </w:rPr>
            </w:pPr>
            <w:r w:rsidRPr="00FD65C9">
              <w:t>Соединенные Штаты Америки</w:t>
            </w:r>
          </w:p>
        </w:tc>
        <w:tc>
          <w:tcPr>
            <w:tcW w:w="2694" w:type="dxa"/>
            <w:hideMark/>
          </w:tcPr>
          <w:p w14:paraId="0E6C7D19" w14:textId="21DAF273" w:rsidR="00C15C25" w:rsidRPr="00FD65C9" w:rsidRDefault="00B52650" w:rsidP="00055F87">
            <w:pPr>
              <w:pStyle w:val="Tabletext"/>
              <w:rPr>
                <w:rFonts w:cstheme="minorHAnsi"/>
              </w:rPr>
            </w:pPr>
            <w:r w:rsidRPr="00FD65C9">
              <w:t>г</w:t>
            </w:r>
            <w:r w:rsidR="00C15C25" w:rsidRPr="00FD65C9">
              <w:t>-н Джордан Брюэр</w:t>
            </w:r>
          </w:p>
        </w:tc>
        <w:tc>
          <w:tcPr>
            <w:tcW w:w="1647" w:type="dxa"/>
          </w:tcPr>
          <w:p w14:paraId="7307CF6B" w14:textId="3DBC97B1" w:rsidR="00C15C25" w:rsidRPr="00FD65C9" w:rsidRDefault="00C15C25" w:rsidP="00055F87">
            <w:pPr>
              <w:pStyle w:val="Tabletext"/>
              <w:rPr>
                <w:rFonts w:cstheme="minorHAnsi"/>
              </w:rPr>
            </w:pPr>
            <w:r w:rsidRPr="00FD65C9">
              <w:t>Присутствовал</w:t>
            </w:r>
          </w:p>
        </w:tc>
      </w:tr>
      <w:tr w:rsidR="00C15C25" w:rsidRPr="00FD65C9" w14:paraId="64EAE397" w14:textId="77777777" w:rsidTr="00822C09">
        <w:tc>
          <w:tcPr>
            <w:tcW w:w="1980" w:type="dxa"/>
            <w:hideMark/>
          </w:tcPr>
          <w:p w14:paraId="463A80DD" w14:textId="77777777" w:rsidR="00C15C25" w:rsidRPr="00FD65C9" w:rsidRDefault="00C15C25" w:rsidP="00055F87">
            <w:pPr>
              <w:pStyle w:val="Tabletext"/>
              <w:rPr>
                <w:rFonts w:cstheme="minorHAnsi"/>
              </w:rPr>
            </w:pPr>
            <w:r w:rsidRPr="00FD65C9">
              <w:t>Заместитель Председателя</w:t>
            </w:r>
          </w:p>
        </w:tc>
        <w:tc>
          <w:tcPr>
            <w:tcW w:w="1559" w:type="dxa"/>
            <w:hideMark/>
          </w:tcPr>
          <w:p w14:paraId="4D6E7C8B" w14:textId="77777777" w:rsidR="00C15C25" w:rsidRPr="00FD65C9" w:rsidRDefault="00C15C25" w:rsidP="00055F87">
            <w:pPr>
              <w:pStyle w:val="Tabletext"/>
              <w:rPr>
                <w:rFonts w:cstheme="minorHAnsi"/>
              </w:rPr>
            </w:pPr>
            <w:r w:rsidRPr="00FD65C9">
              <w:t>Северная и Южная Америка</w:t>
            </w:r>
          </w:p>
        </w:tc>
        <w:tc>
          <w:tcPr>
            <w:tcW w:w="1842" w:type="dxa"/>
            <w:hideMark/>
          </w:tcPr>
          <w:p w14:paraId="22ACCDAB" w14:textId="77777777" w:rsidR="00C15C25" w:rsidRPr="00FD65C9" w:rsidRDefault="00C15C25" w:rsidP="00055F87">
            <w:pPr>
              <w:pStyle w:val="Tabletext"/>
              <w:rPr>
                <w:rFonts w:cstheme="minorHAnsi"/>
              </w:rPr>
            </w:pPr>
            <w:r w:rsidRPr="00FD65C9">
              <w:t>Бразилия (Федеративная Республика)</w:t>
            </w:r>
          </w:p>
        </w:tc>
        <w:tc>
          <w:tcPr>
            <w:tcW w:w="2694" w:type="dxa"/>
            <w:hideMark/>
          </w:tcPr>
          <w:p w14:paraId="5A5AE58C" w14:textId="77777777" w:rsidR="00C15C25" w:rsidRPr="00FD65C9" w:rsidRDefault="00C15C25" w:rsidP="00055F87">
            <w:pPr>
              <w:pStyle w:val="Tabletext"/>
              <w:rPr>
                <w:rFonts w:cstheme="minorHAnsi"/>
              </w:rPr>
            </w:pPr>
            <w:r w:rsidRPr="00FD65C9">
              <w:t>г-жа Андреа Мамприм Гриппа</w:t>
            </w:r>
          </w:p>
        </w:tc>
        <w:tc>
          <w:tcPr>
            <w:tcW w:w="1647" w:type="dxa"/>
          </w:tcPr>
          <w:p w14:paraId="6C251030" w14:textId="2C3C5C20" w:rsidR="00C15C25" w:rsidRPr="00FD65C9" w:rsidRDefault="00C15C25" w:rsidP="00055F87">
            <w:pPr>
              <w:pStyle w:val="Tabletext"/>
              <w:rPr>
                <w:rFonts w:cstheme="minorHAnsi"/>
              </w:rPr>
            </w:pPr>
            <w:r w:rsidRPr="00FD65C9">
              <w:t>Присутствовал</w:t>
            </w:r>
            <w:r w:rsidR="00B52650" w:rsidRPr="00FD65C9">
              <w:t>а</w:t>
            </w:r>
          </w:p>
        </w:tc>
      </w:tr>
    </w:tbl>
    <w:p w14:paraId="222A161D" w14:textId="1E36915D" w:rsidR="00C15C25" w:rsidRPr="00FD65C9" w:rsidRDefault="00C15C25" w:rsidP="00C15C25">
      <w:pPr>
        <w:spacing w:after="120"/>
        <w:rPr>
          <w:sz w:val="18"/>
          <w:szCs w:val="14"/>
        </w:rPr>
      </w:pPr>
      <w:r w:rsidRPr="00FD65C9">
        <w:t>*</w:t>
      </w:r>
      <w:r w:rsidR="00055F87">
        <w:rPr>
          <w:lang w:val="en-US"/>
        </w:rPr>
        <w:tab/>
      </w:r>
      <w:r w:rsidRPr="00FD65C9">
        <w:t>Дистанционно.</w:t>
      </w:r>
    </w:p>
    <w:p w14:paraId="439F0C7C" w14:textId="77777777" w:rsidR="00C15C25" w:rsidRPr="00FD65C9" w:rsidRDefault="00C15C25" w:rsidP="00055F87">
      <w:r w:rsidRPr="00FD65C9">
        <w:t>КГРЭ рассмотрела представленные ей отчеты и вклады, приняла к сведению итоги ВКРЭ-25, ход выполнения Кигалийского плана действий и первоначальные договоренности по выполнению Бакинского плана действий, а также одобрила Оперативный план МСЭ-D на 2026 год. КГРЭ также рассмотрела вопросы, касающиеся проектов МСЭ-D, членства и партнерских отношений, регионального присутствия, сотрудничества с другими Секторами МСЭ, подготовки к ПК-26 и использования шести официальных языков Союза на равной основе. Собрание утвердило набор исходящих заявлений о взаимодействии, отражающих согласованные руководящие указания и последующие действия.</w:t>
      </w:r>
    </w:p>
    <w:p w14:paraId="47AEC27E" w14:textId="2DDB1B78" w:rsidR="00C15C25" w:rsidRPr="00FD65C9" w:rsidRDefault="00055F87" w:rsidP="00055F87">
      <w:pPr>
        <w:pStyle w:val="Heading1"/>
      </w:pPr>
      <w:r w:rsidRPr="00565128">
        <w:t>1</w:t>
      </w:r>
      <w:r w:rsidRPr="00565128">
        <w:tab/>
      </w:r>
      <w:r w:rsidR="00C15C25" w:rsidRPr="00055F87">
        <w:t>Выступление</w:t>
      </w:r>
      <w:r w:rsidR="00C15C25" w:rsidRPr="00FD65C9">
        <w:t xml:space="preserve"> Генерального секретаря</w:t>
      </w:r>
    </w:p>
    <w:p w14:paraId="166846A0" w14:textId="2000FB08" w:rsidR="00C15C25" w:rsidRPr="00FD65C9" w:rsidRDefault="00C15C25" w:rsidP="00055F87">
      <w:r w:rsidRPr="00FD65C9">
        <w:t>В своем вступительном слове Генеральный секретарь приветствовала участников 33-го собрания Консультативной группы по развитию электросвязи (КГРЭ), отметив, что это первое собрание КГРЭ после Всемирной конференции по развитию электросвязи 2025 года (ВКРЭ-25)</w:t>
      </w:r>
      <w:r w:rsidR="00B86D30" w:rsidRPr="00FD65C9">
        <w:t>, которая прошла</w:t>
      </w:r>
      <w:r w:rsidRPr="00FD65C9">
        <w:t xml:space="preserve"> в Баку (Азербайджан)</w:t>
      </w:r>
      <w:r w:rsidR="00B86D30" w:rsidRPr="00FD65C9">
        <w:t xml:space="preserve">, </w:t>
      </w:r>
      <w:r w:rsidRPr="00FD65C9">
        <w:t>и последнее собрание перед Полномочной конференцией 2026 года. Она подчеркнула, что собрание проходит в решающий момент для Союза, поскольку продолжается глобальная цифровая трансформация, хотя сохраняются значительные пробелы в возможности установления соединений.</w:t>
      </w:r>
    </w:p>
    <w:p w14:paraId="396A1C5A" w14:textId="4FF02F41" w:rsidR="00C15C25" w:rsidRPr="00FD65C9" w:rsidRDefault="00C15C25" w:rsidP="00055F87">
      <w:r w:rsidRPr="00FD65C9">
        <w:t>Генеральный секретарь напомнила, что четверть населения мира по-прежнему не имеет доступа к интернету, подчеркнув неотложный характер мандата МСЭ-D и важность воплощения решений ВКРЭ</w:t>
      </w:r>
      <w:r w:rsidR="00822C09">
        <w:noBreakHyphen/>
      </w:r>
      <w:r w:rsidRPr="00FD65C9">
        <w:t xml:space="preserve">25 в реальность, </w:t>
      </w:r>
      <w:r w:rsidR="00B86D30" w:rsidRPr="00FD65C9">
        <w:t>что</w:t>
      </w:r>
      <w:r w:rsidRPr="00FD65C9">
        <w:t xml:space="preserve"> обеспечит ощутимое воздействие. Она подчеркнула, что принятые в Баку решения имеют особое значение в этом контексте, поскольку они обеспечивают основу для ускорения прогресса на пути к универсальной и реальной возможности установления соединений.</w:t>
      </w:r>
    </w:p>
    <w:p w14:paraId="36CE7353" w14:textId="77777777" w:rsidR="00C15C25" w:rsidRPr="00FD65C9" w:rsidRDefault="00C15C25" w:rsidP="00055F87">
      <w:r w:rsidRPr="00FD65C9">
        <w:t>Говоря об итогах ВКРЭ-25, она отметила принятие эффективного Плана действий, комплексных региональных инициатив и десяти новых Резолюций, включая первую Резолюцию ВКРЭ, посвященную искусственному интеллекту в интересах развития. В заключение она призвала КГРЭ сосредоточиться на эффективном осуществлении и коллективной ответственности, подтвердив центральную роль МСЭ-D в преодолении цифрового разрыва и поддержке открытого для всех цифрового развития во всем мире.</w:t>
      </w:r>
    </w:p>
    <w:p w14:paraId="292B0DB2" w14:textId="06C3AF95" w:rsidR="00C15C25" w:rsidRPr="00055F87" w:rsidRDefault="00055F87" w:rsidP="00055F87">
      <w:pPr>
        <w:pStyle w:val="Heading1"/>
      </w:pPr>
      <w:r w:rsidRPr="00055F87">
        <w:t>2</w:t>
      </w:r>
      <w:r w:rsidRPr="00055F87">
        <w:tab/>
      </w:r>
      <w:r w:rsidR="00C15C25" w:rsidRPr="00055F87">
        <w:t>Выступления других избираемых должностных лиц</w:t>
      </w:r>
    </w:p>
    <w:p w14:paraId="73B937A2" w14:textId="77777777" w:rsidR="00C15C25" w:rsidRPr="00FD65C9" w:rsidRDefault="00C15C25" w:rsidP="00822C09">
      <w:r w:rsidRPr="00FD65C9">
        <w:t>В своем вступительном слове Директор Бюро стандартизации электросвязи (БСЭ) г-н Сейдзо Оноэ приветствовал делегатов и подчеркнул тесные и взаимодополняющие отношения между Секторами стандартизации и развития МСЭ. Он подчеркнул, что БСЭ и Бюро развития электросвязи (БРЭ) "естественным образом идут рука об руку", причем стандартизация обеспечивает технические основы, а деятельность в области развития поддерживает внедрение, создание потенциала и воздействие на рынок.</w:t>
      </w:r>
    </w:p>
    <w:p w14:paraId="2398371E" w14:textId="77777777" w:rsidR="00C15C25" w:rsidRPr="00FD65C9" w:rsidRDefault="00C15C25" w:rsidP="00055F87">
      <w:r w:rsidRPr="00FD65C9">
        <w:lastRenderedPageBreak/>
        <w:t>Г-н Оноэ подчеркнул важность продолжения сотрудничества между Секторами для обеспечения того, чтобы международные стандарты эффективно поддерживали открытое для всех и устойчивое цифровое развитие, особенно в развивающихся странах. Он подчеркнул, что для максимального увеличения преимуществ ИКТ для всех Государств-Членов необходима более тесная увязка между работой в области стандартизации и приоритетами в области развития.</w:t>
      </w:r>
    </w:p>
    <w:p w14:paraId="218737B7" w14:textId="2E560279" w:rsidR="00C15C25" w:rsidRPr="00FD65C9" w:rsidRDefault="00C15C25" w:rsidP="00055F87">
      <w:r w:rsidRPr="00FD65C9">
        <w:t xml:space="preserve">В заключение </w:t>
      </w:r>
      <w:r w:rsidR="00B22705" w:rsidRPr="00FD65C9">
        <w:t>выступающий</w:t>
      </w:r>
      <w:r w:rsidRPr="00FD65C9">
        <w:t xml:space="preserve"> подтвердил приверженность БСЭ тесному сотрудничеству с БРЭ и КГРЭ в выполнении решений ВКРЭ и в решении общих задач МСЭ, призвав к постоянному сотрудничеству для преобразования технических стандартов в ощутимые результаты в области развития.</w:t>
      </w:r>
    </w:p>
    <w:p w14:paraId="5B713BB3" w14:textId="654F7FDE" w:rsidR="00C15C25" w:rsidRPr="00055F87" w:rsidRDefault="00055F87" w:rsidP="00055F87">
      <w:pPr>
        <w:pStyle w:val="Heading1"/>
      </w:pPr>
      <w:r w:rsidRPr="00055F87">
        <w:t>3</w:t>
      </w:r>
      <w:r w:rsidRPr="00055F87">
        <w:tab/>
      </w:r>
      <w:r w:rsidR="00C15C25" w:rsidRPr="00055F87">
        <w:t>Выступление Директора Бюро развития электросвязи</w:t>
      </w:r>
    </w:p>
    <w:p w14:paraId="220C222A" w14:textId="77777777" w:rsidR="00C15C25" w:rsidRPr="00FD65C9" w:rsidRDefault="00C15C25" w:rsidP="00055F87">
      <w:r w:rsidRPr="00FD65C9">
        <w:t>В своем вступительном слове Директор Бюро развития электросвязи (БРЭ) д-р Космас Лакисан Завазава приветствовал делегатов 33-го собрания Консультативной группы по развитию электросвязи (КГРЭ-26) и подчеркнул особую значимость этого первого собрания КГРЭ после Всемирной конференции по развитию электросвязи 2025 года (ВКРЭ-25). Он отметил, что собрание ознаменовало собой переход от решений конференции к их выполнению, поскольку МСЭ-D начинает новый цикл работы.</w:t>
      </w:r>
    </w:p>
    <w:p w14:paraId="46875A75" w14:textId="77777777" w:rsidR="00C15C25" w:rsidRPr="00FD65C9" w:rsidRDefault="00C15C25" w:rsidP="00822C09">
      <w:r w:rsidRPr="00FD65C9">
        <w:t>Д-р Завазава подчеркнул, что ВКРЭ-25 предоставила МСЭ-D обновленный мандат, призвав КГРЭ сосредоточиться на практических результатах и измеримом воздействии на Государства-Члены. Он напомнил о главных приоритетах развития, которыми руководствуется в своей работе БРЭ, в частности о преодолении разрывов в цифровых возможностях установления соединений и навыках, ускорении устойчивой цифровой трансформации и обеспечении того, чтобы конечные результаты развития были всеохватными и ориентированными на людей, особенно для развивающихся стран.</w:t>
      </w:r>
    </w:p>
    <w:p w14:paraId="51A612FE" w14:textId="31AD916E" w:rsidR="00C15C25" w:rsidRPr="00FD65C9" w:rsidRDefault="00ED4EAD" w:rsidP="00822C09">
      <w:pPr>
        <w:rPr>
          <w:rFonts w:cstheme="minorHAnsi"/>
          <w:szCs w:val="24"/>
        </w:rPr>
      </w:pPr>
      <w:r w:rsidRPr="00FD65C9">
        <w:t>Оратор</w:t>
      </w:r>
      <w:r w:rsidR="00C15C25" w:rsidRPr="00FD65C9">
        <w:t xml:space="preserve"> подчеркнул важность тесного сотрудничества между Государствами-Членами, Бюро КГРЭ, исследовательскими комиссиями МСЭ-D, региональными отделениями и партнерами и выразил признательность членам за их постоянное участие и поддержку. Завершая свое выступление, д-р Завазава призвал КГРЭ проводить обсуждения в духе сотрудничества и совместной ответственности, с тем чтобы обеспечить эффективное воплощение решений ВКРЭ-25 в конкретные результаты в регионах и сообществах.</w:t>
      </w:r>
    </w:p>
    <w:p w14:paraId="6B3387F7" w14:textId="0720E5AD" w:rsidR="00C15C25" w:rsidRPr="00FD65C9" w:rsidRDefault="00C15C25" w:rsidP="00055F87">
      <w:r w:rsidRPr="00FD65C9">
        <w:t xml:space="preserve">С полным текстом выступления Директора БРЭ можно ознакомиться </w:t>
      </w:r>
      <w:hyperlink r:id="rId12" w:history="1">
        <w:r w:rsidRPr="00FD65C9">
          <w:rPr>
            <w:rStyle w:val="Hyperlink"/>
          </w:rPr>
          <w:t>здесь</w:t>
        </w:r>
      </w:hyperlink>
      <w:r w:rsidRPr="00FD65C9">
        <w:t xml:space="preserve">. Директор БРЭ также использовал презентацию, которая была размещена в Документе </w:t>
      </w:r>
      <w:hyperlink r:id="rId13">
        <w:r w:rsidR="008113DE" w:rsidRPr="00FD65C9">
          <w:rPr>
            <w:rStyle w:val="Hyperlink"/>
            <w:rFonts w:cstheme="minorHAnsi"/>
          </w:rPr>
          <w:t>TDAG-26/INF/11</w:t>
        </w:r>
      </w:hyperlink>
      <w:r w:rsidRPr="00FD65C9">
        <w:t>.</w:t>
      </w:r>
      <w:hyperlink r:id="rId14"/>
      <w:hyperlink r:id="rId15"/>
    </w:p>
    <w:p w14:paraId="32F40BF0" w14:textId="6BDCA8DA" w:rsidR="00C15C25" w:rsidRPr="00055F87" w:rsidRDefault="00055F87" w:rsidP="00055F87">
      <w:pPr>
        <w:pStyle w:val="Heading1"/>
      </w:pPr>
      <w:r w:rsidRPr="00565128">
        <w:t>4</w:t>
      </w:r>
      <w:r w:rsidRPr="00565128">
        <w:tab/>
      </w:r>
      <w:r w:rsidR="00C15C25" w:rsidRPr="00055F87">
        <w:t>Вступительные замечания председателя КГРЭ</w:t>
      </w:r>
    </w:p>
    <w:p w14:paraId="577ABDBE" w14:textId="0DCA5107" w:rsidR="00C15C25" w:rsidRPr="00FD65C9" w:rsidRDefault="00C15C25" w:rsidP="00822C09">
      <w:r w:rsidRPr="00FD65C9">
        <w:t xml:space="preserve">В своих вступительных замечаниях Председатель КГРЭ г-жа Регина-Флёр А. Бессу приветствовала делегатов и участников, которые принимали участие </w:t>
      </w:r>
      <w:r w:rsidR="00B22705" w:rsidRPr="00FD65C9">
        <w:t xml:space="preserve">в собрании </w:t>
      </w:r>
      <w:r w:rsidRPr="00FD65C9">
        <w:t xml:space="preserve">как очно </w:t>
      </w:r>
      <w:r w:rsidR="00B22705" w:rsidRPr="00FD65C9">
        <w:t xml:space="preserve">в </w:t>
      </w:r>
      <w:r w:rsidRPr="00FD65C9">
        <w:t xml:space="preserve">Женеве, так и дистанционно, и официально открыла 33-е собрание Консультативной группы по развитию электросвязи (КГРЭ-26). Она выразила признательность Государствам-Членам, Членам Сектора, Академическим организациям и партнерам за их постоянное участие и приверженность работе Сектора развития электросвязи МСЭ. </w:t>
      </w:r>
    </w:p>
    <w:p w14:paraId="1ACE0DC6" w14:textId="60CCC733" w:rsidR="00C15C25" w:rsidRPr="00FD65C9" w:rsidRDefault="00C15C25" w:rsidP="00822C09">
      <w:r w:rsidRPr="00FD65C9">
        <w:t>Председатель подчеркнул</w:t>
      </w:r>
      <w:r w:rsidR="00B22705" w:rsidRPr="00FD65C9">
        <w:t>а</w:t>
      </w:r>
      <w:r w:rsidRPr="00FD65C9">
        <w:t xml:space="preserve"> особую важность </w:t>
      </w:r>
      <w:r w:rsidR="00ED4EAD" w:rsidRPr="00FD65C9">
        <w:t xml:space="preserve">сессии </w:t>
      </w:r>
      <w:r w:rsidRPr="00FD65C9">
        <w:t>КГРЭ-26</w:t>
      </w:r>
      <w:r w:rsidR="00ED4EAD" w:rsidRPr="00FD65C9">
        <w:t xml:space="preserve">, которая стала </w:t>
      </w:r>
      <w:r w:rsidRPr="00FD65C9">
        <w:t>перв</w:t>
      </w:r>
      <w:r w:rsidR="00ED4EAD" w:rsidRPr="00FD65C9">
        <w:t>ым</w:t>
      </w:r>
      <w:r w:rsidRPr="00FD65C9">
        <w:t xml:space="preserve"> собрани</w:t>
      </w:r>
      <w:r w:rsidR="00ED4EAD" w:rsidRPr="00FD65C9">
        <w:t>ем</w:t>
      </w:r>
      <w:r w:rsidRPr="00FD65C9">
        <w:t xml:space="preserve"> Консультативной группы после Всемирной конференции по развитию электросвязи 2025 года (ВКРЭ</w:t>
      </w:r>
      <w:r w:rsidR="00143513">
        <w:noBreakHyphen/>
      </w:r>
      <w:r w:rsidRPr="00FD65C9">
        <w:t>25). Она отметила, что собрание ознаменовало начало нового исследовательского периода и решающий переход от решений, принятых на ВКРЭ-25, к их эффективному выполнению в рамках программы работы МСЭ-D.</w:t>
      </w:r>
    </w:p>
    <w:p w14:paraId="6DF3200C" w14:textId="4B7167F2" w:rsidR="00C15C25" w:rsidRPr="00FD65C9" w:rsidRDefault="00C15C25" w:rsidP="00822C09">
      <w:r w:rsidRPr="00FD65C9">
        <w:t xml:space="preserve">Она выразила признательность членам за доверие, оказанное ей назначением на пост председателя </w:t>
      </w:r>
      <w:r w:rsidR="006B4F38">
        <w:t xml:space="preserve">КГРЭ на </w:t>
      </w:r>
      <w:r w:rsidRPr="00FD65C9">
        <w:t xml:space="preserve">ВКРЭ-25, и признала роль вновь избранного руководства Бюро </w:t>
      </w:r>
      <w:r w:rsidR="00ED4EAD" w:rsidRPr="00FD65C9">
        <w:t xml:space="preserve">КГРЭ </w:t>
      </w:r>
      <w:r w:rsidRPr="00FD65C9">
        <w:t xml:space="preserve">и </w:t>
      </w:r>
      <w:r w:rsidR="00ED4EAD" w:rsidRPr="00FD65C9">
        <w:t xml:space="preserve">руководства </w:t>
      </w:r>
      <w:r w:rsidRPr="00FD65C9">
        <w:t xml:space="preserve">исследовательских комиссий в </w:t>
      </w:r>
      <w:r w:rsidR="00ED4EAD" w:rsidRPr="00FD65C9">
        <w:t>управлении</w:t>
      </w:r>
      <w:r w:rsidRPr="00FD65C9">
        <w:t xml:space="preserve"> работой Консультативной группы в течение нового цикла. Председатель призвал</w:t>
      </w:r>
      <w:r w:rsidR="00ED4EAD" w:rsidRPr="00FD65C9">
        <w:t>а</w:t>
      </w:r>
      <w:r w:rsidRPr="00FD65C9">
        <w:t xml:space="preserve"> участников </w:t>
      </w:r>
      <w:r w:rsidR="00ED4EAD" w:rsidRPr="00FD65C9">
        <w:t>провести</w:t>
      </w:r>
      <w:r w:rsidRPr="00FD65C9">
        <w:t xml:space="preserve"> собрани</w:t>
      </w:r>
      <w:r w:rsidR="00ED4EAD" w:rsidRPr="00FD65C9">
        <w:t>е</w:t>
      </w:r>
      <w:r w:rsidRPr="00FD65C9">
        <w:t xml:space="preserve"> в духе сотрудничества, открытости и </w:t>
      </w:r>
      <w:r w:rsidRPr="00FD65C9">
        <w:lastRenderedPageBreak/>
        <w:t>эффективности, с тем чтобы обеспечить проведение целенаправленных, ориентированных на результаты обсуждений, которые будут способствовать успешному выполнению решений ВКРЭ-25.</w:t>
      </w:r>
    </w:p>
    <w:p w14:paraId="23215244" w14:textId="685BDA19" w:rsidR="00C15C25" w:rsidRPr="00FD65C9" w:rsidRDefault="00055F87" w:rsidP="00055F87">
      <w:pPr>
        <w:pStyle w:val="Heading1"/>
      </w:pPr>
      <w:r w:rsidRPr="00055F87">
        <w:t>5</w:t>
      </w:r>
      <w:r w:rsidRPr="00055F87">
        <w:tab/>
      </w:r>
      <w:r w:rsidR="00C15C25" w:rsidRPr="00055F87">
        <w:t>Принятие</w:t>
      </w:r>
      <w:r w:rsidR="00C15C25" w:rsidRPr="00FD65C9">
        <w:rPr>
          <w:bCs/>
        </w:rPr>
        <w:t xml:space="preserve"> повестки дня и плана распределения времени</w:t>
      </w:r>
    </w:p>
    <w:p w14:paraId="549BF5A4" w14:textId="27746923" w:rsidR="003A5CC9" w:rsidRPr="004622E8" w:rsidRDefault="00C15C25" w:rsidP="00055F87">
      <w:pPr>
        <w:pStyle w:val="Headingb"/>
        <w:rPr>
          <w:bCs/>
          <w:lang w:val="ru-RU"/>
        </w:rPr>
      </w:pPr>
      <w:r w:rsidRPr="004622E8">
        <w:rPr>
          <w:bCs/>
          <w:lang w:val="ru-RU"/>
        </w:rPr>
        <w:t xml:space="preserve">Документ </w:t>
      </w:r>
      <w:hyperlink r:id="rId16" w:history="1">
        <w:r w:rsidRPr="004622E8">
          <w:rPr>
            <w:rStyle w:val="Hyperlink"/>
            <w:bCs/>
            <w:lang w:val="ru-RU"/>
          </w:rPr>
          <w:t>1</w:t>
        </w:r>
      </w:hyperlink>
      <w:r w:rsidRPr="004622E8">
        <w:rPr>
          <w:bCs/>
          <w:lang w:val="ru-RU"/>
        </w:rPr>
        <w:t xml:space="preserve"> (Директор БРЭ) </w:t>
      </w:r>
      <w:r w:rsidR="004622E8" w:rsidRPr="004622E8">
        <w:rPr>
          <w:rFonts w:cs="Calibri"/>
          <w:bCs/>
          <w:lang w:val="ru-RU"/>
        </w:rPr>
        <w:t>−</w:t>
      </w:r>
      <w:r w:rsidR="00ED4EAD" w:rsidRPr="004622E8">
        <w:rPr>
          <w:bCs/>
          <w:lang w:val="ru-RU"/>
        </w:rPr>
        <w:t xml:space="preserve"> </w:t>
      </w:r>
      <w:r w:rsidRPr="004622E8">
        <w:rPr>
          <w:bCs/>
          <w:lang w:val="ru-RU"/>
        </w:rPr>
        <w:t>Проект повестки дня</w:t>
      </w:r>
    </w:p>
    <w:p w14:paraId="351DEA51" w14:textId="77777777" w:rsidR="00C15C25" w:rsidRPr="00FD65C9" w:rsidRDefault="00C15C25" w:rsidP="00055F87">
      <w:pPr>
        <w:spacing w:after="120"/>
        <w:rPr>
          <w:rFonts w:cstheme="minorHAnsi"/>
          <w:szCs w:val="24"/>
        </w:rPr>
      </w:pPr>
      <w:r w:rsidRPr="00FD65C9">
        <w:t>Повестка дня, содержащаяся в Документе 1, была принята без поправок.</w:t>
      </w:r>
    </w:p>
    <w:p w14:paraId="57B2E33E" w14:textId="20BCE8E3" w:rsidR="00C15C25" w:rsidRPr="00FD65C9" w:rsidRDefault="00C15C25" w:rsidP="00C15C25">
      <w:pPr>
        <w:pBdr>
          <w:top w:val="single" w:sz="4" w:space="4" w:color="000000"/>
          <w:left w:val="single" w:sz="4" w:space="4" w:color="000000"/>
          <w:bottom w:val="single" w:sz="4" w:space="4" w:color="000000"/>
          <w:right w:val="single" w:sz="4" w:space="4" w:color="000000"/>
        </w:pBdr>
        <w:tabs>
          <w:tab w:val="left" w:pos="567"/>
          <w:tab w:val="left" w:pos="1701"/>
        </w:tabs>
        <w:spacing w:after="120"/>
        <w:rPr>
          <w:rFonts w:cs="Calibri"/>
          <w:szCs w:val="24"/>
        </w:rPr>
      </w:pPr>
      <w:r w:rsidRPr="00FD65C9">
        <w:t>КГРЭ согласовала предложенную повестку дня</w:t>
      </w:r>
      <w:r w:rsidR="00ED4EAD" w:rsidRPr="00FD65C9">
        <w:t>.</w:t>
      </w:r>
    </w:p>
    <w:p w14:paraId="63714DF4" w14:textId="5DB5815E" w:rsidR="003A5CC9" w:rsidRPr="004622E8" w:rsidRDefault="00C15C25" w:rsidP="00055F87">
      <w:pPr>
        <w:pStyle w:val="Headingb"/>
        <w:rPr>
          <w:bCs/>
          <w:lang w:val="ru-RU"/>
        </w:rPr>
      </w:pPr>
      <w:r w:rsidRPr="004622E8">
        <w:rPr>
          <w:bCs/>
          <w:lang w:val="ru-RU"/>
        </w:rPr>
        <w:t xml:space="preserve">Документ </w:t>
      </w:r>
      <w:hyperlink r:id="rId17" w:history="1">
        <w:r w:rsidRPr="00FD65C9">
          <w:rPr>
            <w:rStyle w:val="Hyperlink"/>
            <w:bCs/>
          </w:rPr>
          <w:t>DT</w:t>
        </w:r>
        <w:r w:rsidRPr="004622E8">
          <w:rPr>
            <w:rStyle w:val="Hyperlink"/>
            <w:bCs/>
            <w:lang w:val="ru-RU"/>
          </w:rPr>
          <w:t>/1</w:t>
        </w:r>
      </w:hyperlink>
      <w:r w:rsidRPr="004622E8">
        <w:rPr>
          <w:bCs/>
          <w:lang w:val="ru-RU"/>
        </w:rPr>
        <w:t xml:space="preserve"> (Директор БРЭ) </w:t>
      </w:r>
      <w:r w:rsidR="004622E8" w:rsidRPr="004622E8">
        <w:rPr>
          <w:rFonts w:cs="Calibri"/>
          <w:bCs/>
          <w:lang w:val="ru-RU"/>
        </w:rPr>
        <w:t>−</w:t>
      </w:r>
      <w:r w:rsidRPr="004622E8">
        <w:rPr>
          <w:bCs/>
          <w:lang w:val="ru-RU"/>
        </w:rPr>
        <w:t xml:space="preserve"> План распределения времени</w:t>
      </w:r>
    </w:p>
    <w:p w14:paraId="04B17A29" w14:textId="5E392F2A" w:rsidR="00C15C25" w:rsidRPr="00FD65C9" w:rsidRDefault="00C15C25" w:rsidP="00055F87">
      <w:pPr>
        <w:spacing w:after="120"/>
        <w:rPr>
          <w:szCs w:val="24"/>
        </w:rPr>
      </w:pPr>
      <w:r w:rsidRPr="00FD65C9">
        <w:t>Секретариат БРЭ представил предлагаемый план распределения времени. КГРЭ приняла к сведению предлагаем</w:t>
      </w:r>
      <w:r w:rsidR="004255FE" w:rsidRPr="00FD65C9">
        <w:t>ую</w:t>
      </w:r>
      <w:r w:rsidRPr="00FD65C9">
        <w:t xml:space="preserve"> организацию работы и график рассмотрения пунктов повестки дня.</w:t>
      </w:r>
    </w:p>
    <w:tbl>
      <w:tblPr>
        <w:tblStyle w:val="TableGrid"/>
        <w:tblW w:w="0" w:type="auto"/>
        <w:tblLayout w:type="fixed"/>
        <w:tblLook w:val="04A0" w:firstRow="1" w:lastRow="0" w:firstColumn="1" w:lastColumn="0" w:noHBand="0" w:noVBand="1"/>
      </w:tblPr>
      <w:tblGrid>
        <w:gridCol w:w="9629"/>
      </w:tblGrid>
      <w:tr w:rsidR="00C15C25" w:rsidRPr="00FD65C9" w14:paraId="79B06D35" w14:textId="77777777" w:rsidTr="008C5330">
        <w:tc>
          <w:tcPr>
            <w:tcW w:w="9629" w:type="dxa"/>
          </w:tcPr>
          <w:p w14:paraId="27A82C18" w14:textId="77777777" w:rsidR="00C15C25" w:rsidRPr="00FD65C9" w:rsidRDefault="00C15C25" w:rsidP="008C5330">
            <w:pPr>
              <w:spacing w:after="120"/>
              <w:rPr>
                <w:rFonts w:cstheme="minorBidi"/>
              </w:rPr>
            </w:pPr>
            <w:r w:rsidRPr="00FD65C9">
              <w:rPr>
                <w:color w:val="000000"/>
              </w:rPr>
              <w:t>КГРЭ приняла к сведению план распределения времени, содержащийся в Документе DT/1.</w:t>
            </w:r>
          </w:p>
        </w:tc>
      </w:tr>
    </w:tbl>
    <w:p w14:paraId="005A77F4" w14:textId="2EA6F853" w:rsidR="00C15C25" w:rsidRPr="00FD65C9" w:rsidRDefault="00822C09" w:rsidP="00822C09">
      <w:pPr>
        <w:pStyle w:val="Heading1"/>
      </w:pPr>
      <w:r w:rsidRPr="00143513">
        <w:t>6</w:t>
      </w:r>
      <w:r w:rsidRPr="00143513">
        <w:tab/>
      </w:r>
      <w:r w:rsidR="00C15C25" w:rsidRPr="00822C09">
        <w:t>Итоги ВКРЭ-25</w:t>
      </w:r>
    </w:p>
    <w:p w14:paraId="29B87C1F" w14:textId="2DEBDCDE" w:rsidR="00C15C25" w:rsidRPr="00143513" w:rsidRDefault="00C15C25" w:rsidP="00055F87">
      <w:pPr>
        <w:pStyle w:val="Headingb"/>
        <w:rPr>
          <w:rFonts w:cstheme="minorBidi"/>
          <w:bCs/>
          <w:lang w:val="ru-RU"/>
        </w:rPr>
      </w:pPr>
      <w:r w:rsidRPr="00143513">
        <w:rPr>
          <w:bCs/>
          <w:lang w:val="ru-RU"/>
        </w:rPr>
        <w:t xml:space="preserve">Документ </w:t>
      </w:r>
      <w:hyperlink r:id="rId18" w:history="1">
        <w:r w:rsidR="008113DE" w:rsidRPr="00143513">
          <w:rPr>
            <w:rStyle w:val="Hyperlink"/>
            <w:rFonts w:cstheme="minorBidi"/>
            <w:bCs/>
            <w:lang w:val="ru-RU"/>
          </w:rPr>
          <w:t>3(</w:t>
        </w:r>
        <w:r w:rsidR="008113DE" w:rsidRPr="00FD65C9">
          <w:rPr>
            <w:rStyle w:val="Hyperlink"/>
            <w:rFonts w:cstheme="minorBidi"/>
            <w:bCs/>
          </w:rPr>
          <w:t>Rev</w:t>
        </w:r>
        <w:r w:rsidR="008113DE" w:rsidRPr="00143513">
          <w:rPr>
            <w:rStyle w:val="Hyperlink"/>
            <w:rFonts w:cstheme="minorBidi"/>
            <w:bCs/>
            <w:lang w:val="ru-RU"/>
          </w:rPr>
          <w:t>.2)</w:t>
        </w:r>
      </w:hyperlink>
      <w:r w:rsidRPr="00143513">
        <w:rPr>
          <w:bCs/>
          <w:lang w:val="ru-RU"/>
        </w:rPr>
        <w:t xml:space="preserve"> (Директор БРЭ) </w:t>
      </w:r>
      <w:r w:rsidR="004622E8">
        <w:rPr>
          <w:rFonts w:cs="Calibri"/>
          <w:bCs/>
          <w:lang w:val="ru-RU"/>
        </w:rPr>
        <w:t>−</w:t>
      </w:r>
      <w:r w:rsidRPr="00143513">
        <w:rPr>
          <w:bCs/>
          <w:lang w:val="ru-RU"/>
        </w:rPr>
        <w:t xml:space="preserve"> Итоги Всемирной конференции по развитию электросвязи 2025</w:t>
      </w:r>
      <w:r w:rsidR="00143513">
        <w:rPr>
          <w:bCs/>
          <w:lang w:val="ru-RU"/>
        </w:rPr>
        <w:t> </w:t>
      </w:r>
      <w:r w:rsidRPr="00143513">
        <w:rPr>
          <w:bCs/>
          <w:lang w:val="ru-RU"/>
        </w:rPr>
        <w:t>года (ВКРЭ-25)</w:t>
      </w:r>
      <w:hyperlink r:id="rId19" w:history="1">
        <w:bookmarkStart w:id="10" w:name="_Hlt227156592"/>
        <w:bookmarkStart w:id="11" w:name="_Hlt227156593"/>
        <w:bookmarkEnd w:id="10"/>
        <w:bookmarkEnd w:id="11"/>
      </w:hyperlink>
    </w:p>
    <w:p w14:paraId="257E78BF" w14:textId="560953F7" w:rsidR="00C15C25" w:rsidRPr="00FD65C9" w:rsidRDefault="00C15C25" w:rsidP="00055F87">
      <w:r w:rsidRPr="00FD65C9">
        <w:t>КГРЭ рассмотрела Документ 3(Rev.2), в котором содержится комплексный обзор итогов ВКРЭ-25 и их последствий для работы Сектора развития в течение цикла 2026</w:t>
      </w:r>
      <w:r w:rsidR="00143513">
        <w:rPr>
          <w:rFonts w:cs="Calibri"/>
        </w:rPr>
        <w:t>−</w:t>
      </w:r>
      <w:r w:rsidRPr="00FD65C9">
        <w:t xml:space="preserve">2029 годов. В ходе обсуждения было подтверждено, что Бакинский план действий вместе с Бакинской декларацией, пересмотренными и новыми </w:t>
      </w:r>
      <w:r w:rsidR="006B4F38" w:rsidRPr="00FD65C9">
        <w:t>Резолюциями</w:t>
      </w:r>
      <w:r w:rsidRPr="00FD65C9">
        <w:t>, региональными инициативами и Вопросами исследовательских комиссий обеспечивает согласованную и ориентированную на будущее основу для деятельности МСЭ-D.</w:t>
      </w:r>
    </w:p>
    <w:p w14:paraId="7FEB042F" w14:textId="13B0CB4A" w:rsidR="00C15C25" w:rsidRPr="00FD65C9" w:rsidRDefault="00C15C25" w:rsidP="00055F87">
      <w:r w:rsidRPr="00FD65C9">
        <w:t>Участники в целом приветствовали итоги ВКРЭ-25 и подчеркнули важность эффективного и своевременного выполнения</w:t>
      </w:r>
      <w:r w:rsidR="00445599" w:rsidRPr="00FD65C9">
        <w:t xml:space="preserve"> решений с уделением </w:t>
      </w:r>
      <w:r w:rsidRPr="00FD65C9">
        <w:t>особо</w:t>
      </w:r>
      <w:r w:rsidR="00445599" w:rsidRPr="00FD65C9">
        <w:t>го</w:t>
      </w:r>
      <w:r w:rsidRPr="00FD65C9">
        <w:t xml:space="preserve"> внимани</w:t>
      </w:r>
      <w:r w:rsidR="00445599" w:rsidRPr="00FD65C9">
        <w:t>я</w:t>
      </w:r>
      <w:r w:rsidRPr="00FD65C9">
        <w:t xml:space="preserve"> преобразованию глобальных мандатов в измеримое воздействие на национальном и региональном уровнях. Было достигнуто единое мнение о необходимости сохранения акцента на пяти взаимосвязанных приоритетах, принятых Конференцией.</w:t>
      </w:r>
    </w:p>
    <w:p w14:paraId="760C863E" w14:textId="4CA624C2" w:rsidR="00C15C25" w:rsidRPr="00FD65C9" w:rsidRDefault="00C15C25" w:rsidP="00055F87">
      <w:r w:rsidRPr="00FD65C9">
        <w:t>Одна из делегаций подчеркнула необходимость больше</w:t>
      </w:r>
      <w:r w:rsidR="00FD0C89" w:rsidRPr="00FD65C9">
        <w:t>го</w:t>
      </w:r>
      <w:r w:rsidRPr="00FD65C9">
        <w:t xml:space="preserve"> упорядочения и гармонизации процедур во всех Секторах МСЭ, включая согласование практики, касающейся </w:t>
      </w:r>
      <w:r w:rsidR="00445599" w:rsidRPr="00FD65C9">
        <w:t>избрания</w:t>
      </w:r>
      <w:r w:rsidRPr="00FD65C9">
        <w:t xml:space="preserve"> руковод</w:t>
      </w:r>
      <w:r w:rsidR="00445599" w:rsidRPr="00FD65C9">
        <w:t>ящих групп</w:t>
      </w:r>
      <w:r w:rsidRPr="00FD65C9">
        <w:t xml:space="preserve"> исследовательских комиссий и рассмотрения </w:t>
      </w:r>
      <w:r w:rsidR="00445599" w:rsidRPr="00FD65C9">
        <w:t>Р</w:t>
      </w:r>
      <w:r w:rsidRPr="00FD65C9">
        <w:t xml:space="preserve">езолюций. Были высказаны также замечания относительно преемственности специальных знаний </w:t>
      </w:r>
      <w:r w:rsidR="002D2E84" w:rsidRPr="00FD65C9">
        <w:t xml:space="preserve">и опыта </w:t>
      </w:r>
      <w:r w:rsidRPr="00FD65C9">
        <w:t xml:space="preserve">после реструктуризации Вопросов исследовательских комиссий и </w:t>
      </w:r>
      <w:r w:rsidR="00FA2328" w:rsidRPr="00FD65C9">
        <w:t xml:space="preserve">было </w:t>
      </w:r>
      <w:r w:rsidRPr="00FD65C9">
        <w:t>предложено обеспечить, чтобы знания</w:t>
      </w:r>
      <w:r w:rsidR="002D2E84" w:rsidRPr="00FD65C9">
        <w:t xml:space="preserve"> и опыт</w:t>
      </w:r>
      <w:r w:rsidRPr="00FD65C9">
        <w:t xml:space="preserve">, </w:t>
      </w:r>
      <w:r w:rsidR="002D2E84" w:rsidRPr="00FD65C9">
        <w:t>полученные в рамках работы</w:t>
      </w:r>
      <w:r w:rsidRPr="00FD65C9">
        <w:t xml:space="preserve"> </w:t>
      </w:r>
      <w:r w:rsidR="002D2E84" w:rsidRPr="00FD65C9">
        <w:t xml:space="preserve">по </w:t>
      </w:r>
      <w:r w:rsidRPr="00FD65C9">
        <w:t>Вопрос</w:t>
      </w:r>
      <w:r w:rsidR="002D2E84" w:rsidRPr="00FD65C9">
        <w:t>ам</w:t>
      </w:r>
      <w:r w:rsidRPr="00FD65C9">
        <w:t>, рассмотрение которых было прекращено, сохранялись благодаря работе Докладчиков и связанным с ней механизмам.</w:t>
      </w:r>
    </w:p>
    <w:p w14:paraId="5986EC70" w14:textId="40909F83" w:rsidR="00C15C25" w:rsidRPr="00FD65C9" w:rsidRDefault="00C15C25" w:rsidP="00C15C25">
      <w:pPr>
        <w:tabs>
          <w:tab w:val="left" w:pos="567"/>
          <w:tab w:val="left" w:pos="1701"/>
        </w:tabs>
        <w:spacing w:after="120"/>
      </w:pPr>
      <w:r w:rsidRPr="00FD65C9">
        <w:t xml:space="preserve">Другие делегации приветствовали итоги ВКРЭ-25 и подчеркнули важность эффективного выполнения Бакинского плана действий, в том числе активного взаимодействия с отраслью и партнерами. </w:t>
      </w:r>
      <w:r w:rsidR="00CB6011" w:rsidRPr="00FD65C9">
        <w:rPr>
          <w:color w:val="000000"/>
        </w:rPr>
        <w:t>Участники выразили благодарность за успешное проведение ВКРЭ</w:t>
      </w:r>
      <w:r w:rsidR="00CB6011" w:rsidRPr="00FD65C9">
        <w:rPr>
          <w:color w:val="000000"/>
        </w:rPr>
        <w:noBreakHyphen/>
        <w:t>25 и особую признательность Азербайджанской Республике, выступившей в роли принимающей страны Конференции.</w:t>
      </w:r>
    </w:p>
    <w:p w14:paraId="28295E87" w14:textId="104727E3" w:rsidR="00C15C25" w:rsidRPr="00FD65C9" w:rsidRDefault="00C15C25" w:rsidP="00055F87">
      <w:r w:rsidRPr="00FD65C9">
        <w:t xml:space="preserve">Одна из делегаций отметила, что в Бакинской декларации, принятой на ВКРЭ-25, содержится призыв к </w:t>
      </w:r>
      <w:r w:rsidR="002D2E84" w:rsidRPr="00FD65C9">
        <w:t xml:space="preserve">созданию открытого для всех </w:t>
      </w:r>
      <w:r w:rsidRPr="00FD65C9">
        <w:t>и устойчиво</w:t>
      </w:r>
      <w:r w:rsidR="002D2E84" w:rsidRPr="00FD65C9">
        <w:t>го</w:t>
      </w:r>
      <w:r w:rsidRPr="00FD65C9">
        <w:t xml:space="preserve"> цифрово</w:t>
      </w:r>
      <w:r w:rsidR="002D2E84" w:rsidRPr="00FD65C9">
        <w:t>го</w:t>
      </w:r>
      <w:r w:rsidRPr="00FD65C9">
        <w:t xml:space="preserve"> будуще</w:t>
      </w:r>
      <w:r w:rsidR="002D2E84" w:rsidRPr="00FD65C9">
        <w:t>го</w:t>
      </w:r>
      <w:r w:rsidRPr="00FD65C9">
        <w:t xml:space="preserve">. В целях реализации Бакинской декларации </w:t>
      </w:r>
      <w:r w:rsidR="00C45783" w:rsidRPr="00FD65C9">
        <w:t>Г</w:t>
      </w:r>
      <w:r w:rsidRPr="00FD65C9">
        <w:t xml:space="preserve">осударства – </w:t>
      </w:r>
      <w:r w:rsidR="00C45783" w:rsidRPr="00FD65C9">
        <w:t>Ч</w:t>
      </w:r>
      <w:r w:rsidRPr="00FD65C9">
        <w:t xml:space="preserve">лены МСЭ приняли Бакинский план действий, в котором определено стратегическое направление деятельности Сектора МСЭ-D до 2029 года. </w:t>
      </w:r>
      <w:r w:rsidR="006B27AA" w:rsidRPr="00FD65C9">
        <w:t>Его п</w:t>
      </w:r>
      <w:r w:rsidR="003738B5" w:rsidRPr="00FD65C9">
        <w:t xml:space="preserve">родуктивная деятельность в рамках ориентированного на результаты управления выводит цифровую </w:t>
      </w:r>
      <w:r w:rsidR="003738B5" w:rsidRPr="00FD65C9">
        <w:lastRenderedPageBreak/>
        <w:t>трансформацию и обеспечение глобальной возможности установления соединений на новый уровень</w:t>
      </w:r>
      <w:r w:rsidRPr="00FD65C9">
        <w:t>.</w:t>
      </w:r>
    </w:p>
    <w:p w14:paraId="561C32B7" w14:textId="77777777" w:rsidR="00C15C25" w:rsidRPr="00FD65C9" w:rsidRDefault="00C15C25" w:rsidP="00055F87">
      <w:r w:rsidRPr="00FD65C9">
        <w:t>БРЭ в ответ напомнило, что элементы, касающиеся рамок и показателей реализации, рассматриваются в других документах КГРЭ, и предложило делегациям обращаться к соответствующим приложениям и информационным панелям для получения более подробной информации.</w:t>
      </w:r>
    </w:p>
    <w:p w14:paraId="12D26FDF" w14:textId="77777777" w:rsidR="00C15C25" w:rsidRPr="00FD65C9" w:rsidRDefault="00C15C25" w:rsidP="00822C09">
      <w:pPr>
        <w:spacing w:after="120"/>
      </w:pPr>
      <w:r w:rsidRPr="00FD65C9">
        <w:t>В целом КГРЭ приняла к сведению Документ 3(Rev.2) и подтвердила свою роль в обеспечении стратегических руководящих указаний для поддержки эффективного, открытого для всех и ориентированного на результаты выполнения решений ВКРЭ-25 на протяжении всего исследовательского периода.</w:t>
      </w:r>
    </w:p>
    <w:tbl>
      <w:tblPr>
        <w:tblStyle w:val="TableGrid"/>
        <w:tblW w:w="0" w:type="auto"/>
        <w:tblLayout w:type="fixed"/>
        <w:tblLook w:val="04A0" w:firstRow="1" w:lastRow="0" w:firstColumn="1" w:lastColumn="0" w:noHBand="0" w:noVBand="1"/>
      </w:tblPr>
      <w:tblGrid>
        <w:gridCol w:w="9629"/>
      </w:tblGrid>
      <w:tr w:rsidR="00C15C25" w:rsidRPr="00FD65C9" w14:paraId="4B82CBEA" w14:textId="77777777" w:rsidTr="008C5330">
        <w:tc>
          <w:tcPr>
            <w:tcW w:w="9629" w:type="dxa"/>
          </w:tcPr>
          <w:p w14:paraId="2E1A8C3D" w14:textId="2D4A93EA" w:rsidR="00C15C25" w:rsidRPr="00FD65C9" w:rsidRDefault="00C15C25" w:rsidP="008C5330">
            <w:pPr>
              <w:tabs>
                <w:tab w:val="left" w:pos="567"/>
                <w:tab w:val="left" w:pos="1701"/>
              </w:tabs>
              <w:spacing w:after="120"/>
              <w:textAlignment w:val="auto"/>
            </w:pPr>
            <w:r w:rsidRPr="00FD65C9">
              <w:rPr>
                <w:color w:val="000000"/>
              </w:rPr>
              <w:t xml:space="preserve">КГРЭ приняла к сведению Документ 3(Rev.2) и </w:t>
            </w:r>
            <w:r w:rsidR="00B55E0C" w:rsidRPr="00FD65C9">
              <w:rPr>
                <w:color w:val="000000"/>
              </w:rPr>
              <w:t>презентацию</w:t>
            </w:r>
            <w:r w:rsidRPr="00FD65C9">
              <w:rPr>
                <w:color w:val="000000"/>
              </w:rPr>
              <w:t xml:space="preserve"> </w:t>
            </w:r>
            <w:r w:rsidR="006B4F38">
              <w:rPr>
                <w:color w:val="000000"/>
              </w:rPr>
              <w:t>об</w:t>
            </w:r>
            <w:r w:rsidRPr="00FD65C9">
              <w:rPr>
                <w:color w:val="000000"/>
              </w:rPr>
              <w:t xml:space="preserve"> </w:t>
            </w:r>
            <w:r w:rsidR="006B4F38">
              <w:rPr>
                <w:color w:val="000000"/>
              </w:rPr>
              <w:t>итогах</w:t>
            </w:r>
            <w:r w:rsidRPr="00FD65C9">
              <w:rPr>
                <w:color w:val="000000"/>
              </w:rPr>
              <w:t xml:space="preserve"> ВКРЭ-25. КГРЭ </w:t>
            </w:r>
            <w:r w:rsidR="00662E21" w:rsidRPr="00FD65C9">
              <w:rPr>
                <w:color w:val="000000"/>
              </w:rPr>
              <w:t xml:space="preserve">приветствовала </w:t>
            </w:r>
            <w:r w:rsidR="00B55E0C" w:rsidRPr="00FD65C9">
              <w:rPr>
                <w:color w:val="000000"/>
              </w:rPr>
              <w:t>презентацию</w:t>
            </w:r>
            <w:r w:rsidRPr="00FD65C9">
              <w:rPr>
                <w:color w:val="000000"/>
              </w:rPr>
              <w:t xml:space="preserve">, в </w:t>
            </w:r>
            <w:r w:rsidR="003738B5" w:rsidRPr="00FD65C9">
              <w:rPr>
                <w:color w:val="000000"/>
              </w:rPr>
              <w:t xml:space="preserve">ходе </w:t>
            </w:r>
            <w:r w:rsidRPr="00FD65C9">
              <w:rPr>
                <w:color w:val="000000"/>
              </w:rPr>
              <w:t>которо</w:t>
            </w:r>
            <w:r w:rsidR="00B55E0C" w:rsidRPr="00FD65C9">
              <w:rPr>
                <w:color w:val="000000"/>
              </w:rPr>
              <w:t>й</w:t>
            </w:r>
            <w:r w:rsidR="003738B5" w:rsidRPr="00FD65C9">
              <w:rPr>
                <w:color w:val="000000"/>
              </w:rPr>
              <w:t xml:space="preserve"> был</w:t>
            </w:r>
            <w:r w:rsidRPr="00FD65C9">
              <w:rPr>
                <w:color w:val="000000"/>
              </w:rPr>
              <w:t xml:space="preserve"> представлен обзор Бакинской декларации, Бакинского плана действий, </w:t>
            </w:r>
            <w:r w:rsidR="003C1C11" w:rsidRPr="00FD65C9">
              <w:rPr>
                <w:color w:val="000000"/>
              </w:rPr>
              <w:t>Резолюций</w:t>
            </w:r>
            <w:r w:rsidRPr="00FD65C9">
              <w:rPr>
                <w:color w:val="000000"/>
              </w:rPr>
              <w:t>, региональных инициатив и Вопросов исследовательских комиссий, а также состоялся обмен мнениями по вопросам, касающимся реализации, упорядочения и преемственности специальных знаний</w:t>
            </w:r>
            <w:r w:rsidR="00CB6011" w:rsidRPr="00FD65C9">
              <w:rPr>
                <w:color w:val="000000"/>
              </w:rPr>
              <w:t xml:space="preserve"> и опыта</w:t>
            </w:r>
            <w:r w:rsidRPr="00FD65C9">
              <w:rPr>
                <w:color w:val="000000"/>
              </w:rPr>
              <w:t xml:space="preserve">. </w:t>
            </w:r>
            <w:r w:rsidR="00CB6011" w:rsidRPr="00FD65C9">
              <w:rPr>
                <w:color w:val="000000"/>
              </w:rPr>
              <w:t>Участники выразили благодарность за успешное проведение ВКРЭ</w:t>
            </w:r>
            <w:r w:rsidR="00CB6011" w:rsidRPr="00FD65C9">
              <w:rPr>
                <w:color w:val="000000"/>
              </w:rPr>
              <w:noBreakHyphen/>
              <w:t>25 и особую признательность Азербайджанской Республике, выступившей в роли принимающей страны Конференции</w:t>
            </w:r>
            <w:r w:rsidRPr="00FD65C9">
              <w:rPr>
                <w:color w:val="000000"/>
              </w:rPr>
              <w:t>.</w:t>
            </w:r>
          </w:p>
        </w:tc>
      </w:tr>
    </w:tbl>
    <w:p w14:paraId="73D59BFB" w14:textId="58B908E3" w:rsidR="00C15C25" w:rsidRPr="004622E8" w:rsidRDefault="00C15C25" w:rsidP="00055F87">
      <w:pPr>
        <w:pStyle w:val="Headingb"/>
        <w:rPr>
          <w:rFonts w:cstheme="minorBidi"/>
          <w:lang w:val="ru-RU"/>
        </w:rPr>
      </w:pPr>
      <w:r w:rsidRPr="004622E8">
        <w:rPr>
          <w:lang w:val="ru-RU"/>
        </w:rPr>
        <w:t xml:space="preserve">Документ </w:t>
      </w:r>
      <w:hyperlink r:id="rId20" w:history="1">
        <w:r w:rsidR="008113DE" w:rsidRPr="004622E8">
          <w:rPr>
            <w:rStyle w:val="Hyperlink"/>
            <w:rFonts w:cstheme="minorBidi"/>
            <w:bCs/>
            <w:lang w:val="ru-RU"/>
          </w:rPr>
          <w:t>33</w:t>
        </w:r>
      </w:hyperlink>
      <w:r w:rsidRPr="004622E8">
        <w:rPr>
          <w:lang w:val="ru-RU"/>
        </w:rPr>
        <w:t xml:space="preserve"> (Российская Федерация) </w:t>
      </w:r>
      <w:r w:rsidR="004622E8" w:rsidRPr="004622E8">
        <w:rPr>
          <w:rFonts w:cs="Calibri"/>
          <w:lang w:val="ru-RU"/>
        </w:rPr>
        <w:t>−</w:t>
      </w:r>
      <w:r w:rsidRPr="004622E8">
        <w:rPr>
          <w:lang w:val="ru-RU"/>
        </w:rPr>
        <w:t xml:space="preserve"> Прозрачность оценки финансовых последствий Резолюций ВКРЭ-25 и методика расчета бюджета</w:t>
      </w:r>
      <w:hyperlink r:id="rId21" w:history="1"/>
    </w:p>
    <w:p w14:paraId="64CDF36D" w14:textId="0BA7A299" w:rsidR="00C15C25" w:rsidRPr="00FD65C9" w:rsidRDefault="00C15C25" w:rsidP="00143513">
      <w:r w:rsidRPr="00FD65C9">
        <w:t xml:space="preserve">КГРЭ рассмотрела Документ 33, в котором выражается обеспокоенность относительно прозрачности, сферы охвата и методики, используемой при оценке финансовых последствий Резолюций, принятых на ВКРЭ-25. </w:t>
      </w:r>
      <w:r w:rsidR="0066418C" w:rsidRPr="00FD65C9">
        <w:t>В ходе обсуждения о</w:t>
      </w:r>
      <w:r w:rsidRPr="00FD65C9">
        <w:t>сновное внимание уделялось необходимости более четкого разъяснения того, как составляются финансовые сметы, включая критерии, используемые для выбора конкретных резолюций для калькуляции расходов, увязку мандатов и статей бюджета, а также предположения, лежащие в основе прогнозируемых потребностей в ресурсах.</w:t>
      </w:r>
    </w:p>
    <w:p w14:paraId="4C00978E" w14:textId="0EFC7C7E" w:rsidR="00C15C25" w:rsidRPr="00FD65C9" w:rsidRDefault="00C15C25" w:rsidP="00143513">
      <w:r w:rsidRPr="00FD65C9">
        <w:t xml:space="preserve">Несколько делегаций отметили, что оценка, по-видимому, охватывает ограниченный набор </w:t>
      </w:r>
      <w:r w:rsidR="0045600B" w:rsidRPr="00FD65C9">
        <w:t xml:space="preserve">Резолюций </w:t>
      </w:r>
      <w:r w:rsidRPr="00FD65C9">
        <w:t xml:space="preserve">ВКРЭ-25, при этом отсутствует достаточная ясность в отношении того, почему этим Резолюциям отдается приоритет и как связанные с ними затраты соотносятся с более широким набором решений </w:t>
      </w:r>
      <w:r w:rsidR="0066418C" w:rsidRPr="00FD65C9">
        <w:t>К</w:t>
      </w:r>
      <w:r w:rsidRPr="00FD65C9">
        <w:t xml:space="preserve">онференции. </w:t>
      </w:r>
      <w:r w:rsidR="00A5605E" w:rsidRPr="00FD65C9">
        <w:t xml:space="preserve">Делегаты также выразили </w:t>
      </w:r>
      <w:r w:rsidRPr="00FD65C9">
        <w:t xml:space="preserve">обеспокоенность по поводу степени детализации, в том числе отсутствия </w:t>
      </w:r>
      <w:r w:rsidR="004D375A">
        <w:t>прозрачной</w:t>
      </w:r>
      <w:r w:rsidRPr="00FD65C9">
        <w:t xml:space="preserve"> методики, объясняющей, как рассчитываются сметы расходов и каким образом отдельные статьи бюджета соответствуют конкретным мандатам или видам деятельности.</w:t>
      </w:r>
    </w:p>
    <w:p w14:paraId="4DC2FF32" w14:textId="22891078" w:rsidR="00C15C25" w:rsidRPr="00FD65C9" w:rsidRDefault="00C15C25" w:rsidP="00143513">
      <w:r w:rsidRPr="00FD65C9">
        <w:t xml:space="preserve">В то же время КГРЭ приняла к сведению представленные БРЭ разъяснения относительно прагматичного и основанного на опыте подхода, используемого при оценке затрат, </w:t>
      </w:r>
      <w:r w:rsidR="00A5605E" w:rsidRPr="00FD65C9">
        <w:t>включая</w:t>
      </w:r>
      <w:r w:rsidRPr="00FD65C9">
        <w:t xml:space="preserve"> опор</w:t>
      </w:r>
      <w:r w:rsidR="00A5605E" w:rsidRPr="00FD65C9">
        <w:t>у</w:t>
      </w:r>
      <w:r w:rsidRPr="00FD65C9">
        <w:t xml:space="preserve"> на реализацию проектов и использование начального финансирования для мобилизации внебюджетных ресурсов. </w:t>
      </w:r>
      <w:r w:rsidR="00A5605E" w:rsidRPr="00FD65C9">
        <w:t>Делегаты отметили</w:t>
      </w:r>
      <w:r w:rsidRPr="00FD65C9">
        <w:t>, что такой подход направлен на то, чтобы избежать нереалистичных или дублирующихся затрат и сохранить гибкость при реализации.</w:t>
      </w:r>
    </w:p>
    <w:p w14:paraId="4CC50E7C" w14:textId="767092DF" w:rsidR="00C15C25" w:rsidRPr="00FD65C9" w:rsidRDefault="00C15C25" w:rsidP="00055F87">
      <w:pPr>
        <w:spacing w:after="120"/>
      </w:pPr>
      <w:r w:rsidRPr="00FD65C9">
        <w:t xml:space="preserve">КГРЭ согласилась с тем, что дальнейшее разъяснение было бы полезно для укрепления доверия, предсказуемости и общего понимания среди Государств-Членов до рассмотрения Советом МСЭ. </w:t>
      </w:r>
      <w:r w:rsidR="00A5605E" w:rsidRPr="00FD65C9">
        <w:t>Широкий консенсус сложился вокруг того, что прозрачность следует повышать за счет более внятных описательных пояснений, применения ориентировочных диапазонов либо сценариев, а также четкого указания на то, каким образом финансовые оценки способствуют действенной реализации решений ВКРЭ</w:t>
      </w:r>
      <w:r w:rsidR="00A5605E" w:rsidRPr="00FD65C9">
        <w:noBreakHyphen/>
        <w:t>25.</w:t>
      </w:r>
    </w:p>
    <w:tbl>
      <w:tblPr>
        <w:tblStyle w:val="TableGrid"/>
        <w:tblW w:w="0" w:type="auto"/>
        <w:tblLayout w:type="fixed"/>
        <w:tblLook w:val="04A0" w:firstRow="1" w:lastRow="0" w:firstColumn="1" w:lastColumn="0" w:noHBand="0" w:noVBand="1"/>
      </w:tblPr>
      <w:tblGrid>
        <w:gridCol w:w="9629"/>
      </w:tblGrid>
      <w:tr w:rsidR="00C15C25" w:rsidRPr="00FD65C9" w14:paraId="540FE93B" w14:textId="77777777" w:rsidTr="008C5330">
        <w:tc>
          <w:tcPr>
            <w:tcW w:w="9629" w:type="dxa"/>
          </w:tcPr>
          <w:p w14:paraId="3EC98569" w14:textId="77777777" w:rsidR="00C15C25" w:rsidRPr="00FD65C9" w:rsidRDefault="00C15C25" w:rsidP="008C5330">
            <w:pPr>
              <w:spacing w:after="120"/>
            </w:pPr>
            <w:r w:rsidRPr="00FD65C9">
              <w:rPr>
                <w:color w:val="000000"/>
              </w:rPr>
              <w:t xml:space="preserve">КГРЭ приняла к сведению Документ 33. БРЭ было предложено предоставить дополнительную информацию о финансовых последствиях для других Резолюций, прокомментировать, почему Резолюция 55 и Резолюция 76 стали основным источником дополнительных затрат, и объяснить </w:t>
            </w:r>
            <w:r w:rsidRPr="00FD65C9">
              <w:rPr>
                <w:color w:val="000000"/>
              </w:rPr>
              <w:lastRenderedPageBreak/>
              <w:t xml:space="preserve">взаимосвязь между текстом Резолюции и конкретной бюджетной оценкой на следующем собрании КГРЭ. </w:t>
            </w:r>
          </w:p>
        </w:tc>
      </w:tr>
    </w:tbl>
    <w:p w14:paraId="01735F58" w14:textId="1AACB571" w:rsidR="00C15C25" w:rsidRPr="004622E8" w:rsidRDefault="00C15C25" w:rsidP="00055F87">
      <w:pPr>
        <w:pStyle w:val="Headingb"/>
        <w:keepNext/>
        <w:rPr>
          <w:rFonts w:cstheme="minorBidi"/>
          <w:bCs/>
          <w:lang w:val="ru-RU"/>
        </w:rPr>
      </w:pPr>
      <w:r w:rsidRPr="004622E8">
        <w:rPr>
          <w:bCs/>
          <w:lang w:val="ru-RU"/>
        </w:rPr>
        <w:lastRenderedPageBreak/>
        <w:t xml:space="preserve">Документ </w:t>
      </w:r>
      <w:hyperlink r:id="rId22">
        <w:r w:rsidR="008113DE" w:rsidRPr="004622E8">
          <w:rPr>
            <w:rStyle w:val="Hyperlink"/>
            <w:rFonts w:cstheme="minorBidi"/>
            <w:bCs/>
            <w:lang w:val="ru-RU"/>
          </w:rPr>
          <w:t>4</w:t>
        </w:r>
      </w:hyperlink>
      <w:r w:rsidRPr="004622E8">
        <w:rPr>
          <w:bCs/>
          <w:lang w:val="ru-RU"/>
        </w:rPr>
        <w:t xml:space="preserve"> (Директор БРЭ) </w:t>
      </w:r>
      <w:r w:rsidR="004622E8" w:rsidRPr="004622E8">
        <w:rPr>
          <w:rFonts w:cs="Calibri"/>
          <w:bCs/>
          <w:lang w:val="ru-RU"/>
        </w:rPr>
        <w:t>−</w:t>
      </w:r>
      <w:r w:rsidRPr="004622E8">
        <w:rPr>
          <w:bCs/>
          <w:lang w:val="ru-RU"/>
        </w:rPr>
        <w:t xml:space="preserve"> Реализация мер в связи с финансовыми последствиями Резолюций, принятых ВКРЭ-25</w:t>
      </w:r>
      <w:hyperlink r:id="rId23"/>
    </w:p>
    <w:p w14:paraId="421D5D74" w14:textId="6BCF2703" w:rsidR="00C15C25" w:rsidRPr="00FD65C9" w:rsidRDefault="00C15C25" w:rsidP="00055F87">
      <w:r w:rsidRPr="00FD65C9">
        <w:t xml:space="preserve">КГРЭ обсудила Документ 4 вместе с соответствующими документами, касающимися финансовых последствий Резолюций ВКРЭ-25, уделив особое внимание предлагаемому подходу к выполнению новых мандатов с помощью проектов и внебюджетных ресурсов. В ходе обсуждения </w:t>
      </w:r>
      <w:r w:rsidR="00041E69" w:rsidRPr="00FD65C9">
        <w:t>участники признали</w:t>
      </w:r>
      <w:r w:rsidRPr="00FD65C9">
        <w:t xml:space="preserve"> масштаб и </w:t>
      </w:r>
      <w:r w:rsidR="00147086" w:rsidRPr="00FD65C9">
        <w:t>значимость</w:t>
      </w:r>
      <w:r w:rsidRPr="00FD65C9">
        <w:t xml:space="preserve"> итоговых документов, принятых на ВКРЭ-25, а также необходимость разработки прагматичной и устойчивой стратегии финансирования.</w:t>
      </w:r>
    </w:p>
    <w:p w14:paraId="7B97049A" w14:textId="77777777" w:rsidR="00C15C25" w:rsidRPr="00FD65C9" w:rsidRDefault="00C15C25" w:rsidP="00055F87">
      <w:r w:rsidRPr="00FD65C9">
        <w:t>Участники признали модель реализации на основе проектов, представленную Секретариатом БРЭ, как проверенный механизм преобразования итогов конференций в ощутимые результаты, особенно при поддержке целевого начального финансирования для активизации партнерских отношений и мобилизации внешних ресурсов. Было отмечено, что этот подход успешно применялся в предыдущих циклах и мог бы помочь избежать чрезмерной нагрузки на регулярный бюджет, повышая при этом гибкость и результативность.</w:t>
      </w:r>
    </w:p>
    <w:p w14:paraId="6B988EF7" w14:textId="33455608" w:rsidR="00C15C25" w:rsidRPr="00FD65C9" w:rsidRDefault="00C15C25" w:rsidP="00055F87">
      <w:r w:rsidRPr="00FD65C9">
        <w:t xml:space="preserve">В то же время несколько делегаций </w:t>
      </w:r>
      <w:r w:rsidR="00303D3B" w:rsidRPr="00FD65C9">
        <w:t>выразили желание</w:t>
      </w:r>
      <w:r w:rsidRPr="00FD65C9">
        <w:t xml:space="preserve"> получить бóльшую ясность в отношении связи между конкретными </w:t>
      </w:r>
      <w:r w:rsidR="00303D3B" w:rsidRPr="00FD65C9">
        <w:t>Р</w:t>
      </w:r>
      <w:r w:rsidRPr="00FD65C9">
        <w:t xml:space="preserve">езолюциями и предлагаемым финансовым подходом, в том числе </w:t>
      </w:r>
      <w:r w:rsidR="00303D3B" w:rsidRPr="00FD65C9">
        <w:t xml:space="preserve">в отношении </w:t>
      </w:r>
      <w:r w:rsidRPr="00FD65C9">
        <w:t>того, каким образом будут устанавливаться приоритеты новых мандатов, как определяются пределы расходов и как этот подход соотносится с оценками, уже проведенными Рабочей группой Совета по финансовым и людским ресурсам. Были также подняты вопросы относительно прозрачности допущений, сопоставимости с предыдущими циклами конференций и последствий для рассмотрения Советом.</w:t>
      </w:r>
    </w:p>
    <w:p w14:paraId="56B17FB5" w14:textId="77777777" w:rsidR="00C15C25" w:rsidRPr="00FD65C9" w:rsidRDefault="00C15C25" w:rsidP="00055F87">
      <w:pPr>
        <w:spacing w:after="120"/>
      </w:pPr>
      <w:r w:rsidRPr="00FD65C9">
        <w:t>КГРЭ приняла к сведению пояснения, представленные БРЭ, в том числе обоснование использования масштабируемых способов реализации проектов, ориентировочных диапазонов финансирования и намерение доработать документацию для более точного отражения вклада Государств-Членов. Участники сошлись во мнении о важности обеспечения того, чтобы в любом передаваемом Совету МСЭ предложении были четко сформулированы как стратегическое обоснование, так и финансовая логика, лежащие в основе такого подхода.</w:t>
      </w:r>
    </w:p>
    <w:tbl>
      <w:tblPr>
        <w:tblStyle w:val="TableGrid"/>
        <w:tblW w:w="0" w:type="auto"/>
        <w:tblLayout w:type="fixed"/>
        <w:tblLook w:val="04A0" w:firstRow="1" w:lastRow="0" w:firstColumn="1" w:lastColumn="0" w:noHBand="0" w:noVBand="1"/>
      </w:tblPr>
      <w:tblGrid>
        <w:gridCol w:w="9629"/>
      </w:tblGrid>
      <w:tr w:rsidR="00C15C25" w:rsidRPr="00FD65C9" w14:paraId="45FAF6AA" w14:textId="77777777" w:rsidTr="008C5330">
        <w:tc>
          <w:tcPr>
            <w:tcW w:w="9629" w:type="dxa"/>
          </w:tcPr>
          <w:p w14:paraId="727D24D5" w14:textId="77777777" w:rsidR="00C15C25" w:rsidRPr="00FD65C9" w:rsidRDefault="00C15C25" w:rsidP="008C5330">
            <w:pPr>
              <w:tabs>
                <w:tab w:val="left" w:pos="567"/>
                <w:tab w:val="left" w:pos="1701"/>
              </w:tabs>
              <w:spacing w:after="120"/>
              <w:textAlignment w:val="auto"/>
            </w:pPr>
            <w:r w:rsidRPr="00FD65C9">
              <w:rPr>
                <w:color w:val="000000"/>
              </w:rPr>
              <w:t xml:space="preserve">КГРЭ приняла к сведению Документ 4. БРЭ предоставит информацию о затратах по проектам и добавит ее в таблицу на следующей сессии КГРЭ. </w:t>
            </w:r>
          </w:p>
        </w:tc>
      </w:tr>
    </w:tbl>
    <w:p w14:paraId="47D5B831" w14:textId="52E8782D" w:rsidR="00C15C25" w:rsidRPr="00143513" w:rsidRDefault="00C15C25" w:rsidP="00055F87">
      <w:pPr>
        <w:pStyle w:val="Headingb"/>
        <w:rPr>
          <w:rFonts w:cstheme="minorBidi"/>
          <w:bCs/>
          <w:lang w:val="ru-RU"/>
        </w:rPr>
      </w:pPr>
      <w:r w:rsidRPr="00143513">
        <w:rPr>
          <w:bCs/>
          <w:lang w:val="ru-RU"/>
        </w:rPr>
        <w:t xml:space="preserve">Документ </w:t>
      </w:r>
      <w:hyperlink r:id="rId24" w:history="1">
        <w:r w:rsidR="008113DE" w:rsidRPr="00143513">
          <w:rPr>
            <w:rStyle w:val="Hyperlink"/>
            <w:rFonts w:cstheme="minorBidi"/>
            <w:bCs/>
            <w:lang w:val="ru-RU"/>
          </w:rPr>
          <w:t>19</w:t>
        </w:r>
      </w:hyperlink>
      <w:r w:rsidRPr="00143513">
        <w:rPr>
          <w:bCs/>
          <w:lang w:val="ru-RU"/>
        </w:rPr>
        <w:t xml:space="preserve"> (Директор БРЭ) </w:t>
      </w:r>
      <w:r w:rsidR="004622E8">
        <w:rPr>
          <w:rFonts w:cs="Calibri"/>
          <w:bCs/>
          <w:lang w:val="ru-RU"/>
        </w:rPr>
        <w:t>−</w:t>
      </w:r>
      <w:r w:rsidRPr="00143513">
        <w:rPr>
          <w:bCs/>
          <w:lang w:val="ru-RU"/>
        </w:rPr>
        <w:t xml:space="preserve"> Финансовые последствия региональных инициатив, принятых ВКРЭ</w:t>
      </w:r>
      <w:r w:rsidR="00143513">
        <w:rPr>
          <w:bCs/>
          <w:lang w:val="ru-RU"/>
        </w:rPr>
        <w:noBreakHyphen/>
      </w:r>
      <w:r w:rsidRPr="00143513">
        <w:rPr>
          <w:bCs/>
          <w:lang w:val="ru-RU"/>
        </w:rPr>
        <w:t>25</w:t>
      </w:r>
      <w:hyperlink r:id="rId25" w:history="1"/>
    </w:p>
    <w:p w14:paraId="6D0800DF" w14:textId="77777777" w:rsidR="00C15C25" w:rsidRPr="00FD65C9" w:rsidRDefault="00C15C25" w:rsidP="00055F87">
      <w:r w:rsidRPr="00FD65C9">
        <w:t>КГРЭ рассмотрела Документ 19 в рамках более широкого обсуждения вопроса о финансировании итогов ВКРЭ-25, при этом особое внимание было уделено региональным инициативам, принятым Конференцией. Документ был представлен как предложение по рассмотрению финансовых последствий этих инициатив с помощью подхода к реализации проектов при поддержке целевого начального финансирования для мобилизации дополнительных ресурсов.</w:t>
      </w:r>
    </w:p>
    <w:p w14:paraId="67165961" w14:textId="0F0AA8BD" w:rsidR="00C15C25" w:rsidRPr="00FD65C9" w:rsidRDefault="00C15C25" w:rsidP="00055F87">
      <w:r w:rsidRPr="00FD65C9">
        <w:t xml:space="preserve">В ходе обсуждения было подчеркнуто, что региональные инициативы в основном реализуются в рамках проектов и что ограниченное начальное финансирование со стороны Союза исторически играет роль катализатора в привлечении партнеров и обеспечении возможности крупномасштабных инвестиций. </w:t>
      </w:r>
      <w:r w:rsidR="00684898" w:rsidRPr="00FD65C9">
        <w:t>Ряд</w:t>
      </w:r>
      <w:r w:rsidRPr="00FD65C9">
        <w:t xml:space="preserve"> делегаций отметили, что такой подход доказал свою эффективность в предыдущих циклах, позволяя МСЭ-D масштабировать виды деятельности, избегая при этом нагрузки на регулярный бюджет.</w:t>
      </w:r>
    </w:p>
    <w:p w14:paraId="5F6FCD81" w14:textId="660221E4" w:rsidR="00C15C25" w:rsidRPr="00FD65C9" w:rsidRDefault="00C15C25" w:rsidP="00055F87">
      <w:r w:rsidRPr="00FD65C9">
        <w:t xml:space="preserve">В то же время делегации просили внести бóльшую ясность и обеспечить прозрачность в отношении </w:t>
      </w:r>
      <w:r w:rsidR="00684898" w:rsidRPr="00FD65C9">
        <w:t>допущений</w:t>
      </w:r>
      <w:r w:rsidRPr="00FD65C9">
        <w:t xml:space="preserve">, лежащих в основе предлагаемого финансового пакета, в том числе того, как </w:t>
      </w:r>
      <w:r w:rsidRPr="00FD65C9">
        <w:lastRenderedPageBreak/>
        <w:t>определяются ориентировочные уровни финансирования, как будут поддерживаться проекты различного масштаба и как этот подход соотносится с общей стратегией мобилизации ресурсов. Были также подняты вопросы относительно требований к совместному финансированию и их потенциального воздействия на некоторые развивающиеся страны, в частности на наименее развитые страны.</w:t>
      </w:r>
    </w:p>
    <w:p w14:paraId="5F2BC3F3" w14:textId="2C4AE2AD" w:rsidR="00C15C25" w:rsidRPr="00FD65C9" w:rsidRDefault="00C15C25" w:rsidP="00055F87">
      <w:r w:rsidRPr="00FD65C9">
        <w:t xml:space="preserve">КГРЭ приняла к сведению пояснения, представленные БРЭ, в том числе обоснование предложения дифференцированных уровней финансирования в течение цикла, намерение использовать опыт, накопленный в ходе предыдущих циклов ВКРЭ, а также акцент на гибкости в разработке проектов и партнерских отношениях. </w:t>
      </w:r>
      <w:r w:rsidR="00684898" w:rsidRPr="00FD65C9">
        <w:t>Участники достигли</w:t>
      </w:r>
      <w:r w:rsidRPr="00FD65C9">
        <w:t xml:space="preserve"> широко</w:t>
      </w:r>
      <w:r w:rsidR="00684898" w:rsidRPr="00FD65C9">
        <w:t>го</w:t>
      </w:r>
      <w:r w:rsidRPr="00FD65C9">
        <w:t xml:space="preserve"> </w:t>
      </w:r>
      <w:r w:rsidR="00684898" w:rsidRPr="00FD65C9">
        <w:t>консенсуса</w:t>
      </w:r>
      <w:r w:rsidRPr="00FD65C9">
        <w:t xml:space="preserve"> относительно того, что финансовый подход к региональным инициативам должен быть четко сформулированным, реалистичным и увязанным с возможностями осуществления, сохраняя при этом доверие Государств-Членов к этому процессу.</w:t>
      </w:r>
    </w:p>
    <w:p w14:paraId="2D09254F" w14:textId="4129E268" w:rsidR="00C15C25" w:rsidRPr="00FD65C9" w:rsidRDefault="00C15C25" w:rsidP="00055F87">
      <w:r w:rsidRPr="00FD65C9">
        <w:t xml:space="preserve">КГРЭ </w:t>
      </w:r>
      <w:r w:rsidR="00C77B50" w:rsidRPr="00FD65C9">
        <w:t>приняла решение отразить</w:t>
      </w:r>
      <w:r w:rsidRPr="00FD65C9">
        <w:t xml:space="preserve"> суть обсуждения Документа 19 в заявлении о взаимодействии в адрес Совета вместе с соответствующими соображениями, поднятыми в рамках Документов 4 и 33, чтобы помочь Совету </w:t>
      </w:r>
      <w:r w:rsidR="00D53DE0" w:rsidRPr="00FD65C9">
        <w:t>провести информированное</w:t>
      </w:r>
      <w:r w:rsidRPr="00FD65C9">
        <w:t xml:space="preserve"> обсуждени</w:t>
      </w:r>
      <w:r w:rsidR="00D53DE0" w:rsidRPr="00FD65C9">
        <w:t>е</w:t>
      </w:r>
      <w:r w:rsidRPr="00FD65C9">
        <w:t xml:space="preserve"> вопроса о финансировании региональных инициатив ВКРЭ-25.</w:t>
      </w:r>
    </w:p>
    <w:p w14:paraId="52E90DFB" w14:textId="29BF851A" w:rsidR="00C15C25" w:rsidRPr="00FD65C9" w:rsidRDefault="00C15C25" w:rsidP="00055F87">
      <w:pPr>
        <w:spacing w:after="120"/>
      </w:pPr>
      <w:r w:rsidRPr="00FD65C9">
        <w:t xml:space="preserve">КГРЭ утвердила заявление о взаимодействии, содержащееся в Документе </w:t>
      </w:r>
      <w:hyperlink r:id="rId26" w:history="1">
        <w:r w:rsidR="008113DE" w:rsidRPr="00FD65C9">
          <w:rPr>
            <w:rStyle w:val="Hyperlink"/>
          </w:rPr>
          <w:t>TDAG-26/DT/5(Rev.2)</w:t>
        </w:r>
      </w:hyperlink>
      <w:r w:rsidRPr="00FD65C9">
        <w:t>.</w:t>
      </w:r>
      <w:hyperlink r:id="rId27" w:history="1">
        <w:bookmarkStart w:id="12" w:name="_Hlt227156619"/>
        <w:bookmarkStart w:id="13" w:name="_Hlt227156620"/>
        <w:bookmarkStart w:id="14" w:name="_Hlt227155087"/>
        <w:bookmarkStart w:id="15" w:name="_Hlt227155088"/>
        <w:bookmarkEnd w:id="12"/>
        <w:bookmarkEnd w:id="13"/>
        <w:bookmarkEnd w:id="14"/>
        <w:bookmarkEnd w:id="15"/>
      </w:hyperlink>
    </w:p>
    <w:tbl>
      <w:tblPr>
        <w:tblStyle w:val="TableGrid"/>
        <w:tblW w:w="0" w:type="auto"/>
        <w:tblLayout w:type="fixed"/>
        <w:tblLook w:val="04A0" w:firstRow="1" w:lastRow="0" w:firstColumn="1" w:lastColumn="0" w:noHBand="0" w:noVBand="1"/>
      </w:tblPr>
      <w:tblGrid>
        <w:gridCol w:w="9629"/>
      </w:tblGrid>
      <w:tr w:rsidR="00C15C25" w:rsidRPr="00FD65C9" w14:paraId="56CECEC3" w14:textId="77777777" w:rsidTr="008C5330">
        <w:tc>
          <w:tcPr>
            <w:tcW w:w="9629" w:type="dxa"/>
          </w:tcPr>
          <w:p w14:paraId="51CA3E8F" w14:textId="77777777" w:rsidR="00C15C25" w:rsidRPr="00FD65C9" w:rsidRDefault="00C15C25" w:rsidP="008C5330">
            <w:pPr>
              <w:spacing w:after="120"/>
            </w:pPr>
            <w:r w:rsidRPr="00FD65C9">
              <w:rPr>
                <w:color w:val="000000"/>
              </w:rPr>
              <w:t>КГРЭ приняла к сведению Документ 19 (совместно с Документами 4 и 33). После обсуждения и представленного БРЭ разъяснения Литве, Российской Федерации, Соединенному Королевству и Соединенным Штатам Америки было предложено подготовить проект заявления о взаимодействии для рассмотрения на пленарном заседании КГРЭ.</w:t>
            </w:r>
          </w:p>
        </w:tc>
      </w:tr>
    </w:tbl>
    <w:p w14:paraId="56DEEE5F" w14:textId="496DE7AB" w:rsidR="00C15C25" w:rsidRPr="00565128" w:rsidRDefault="00C15C25" w:rsidP="00055F87">
      <w:pPr>
        <w:pStyle w:val="Headingb"/>
        <w:rPr>
          <w:rFonts w:cstheme="minorBidi"/>
          <w:lang w:val="ru-RU"/>
        </w:rPr>
      </w:pPr>
      <w:r w:rsidRPr="00143513">
        <w:rPr>
          <w:lang w:val="ru-RU"/>
        </w:rPr>
        <w:t xml:space="preserve">Документ </w:t>
      </w:r>
      <w:hyperlink r:id="rId28" w:history="1">
        <w:r w:rsidRPr="00143513">
          <w:rPr>
            <w:rStyle w:val="Hyperlink"/>
            <w:bCs/>
            <w:lang w:val="ru-RU"/>
          </w:rPr>
          <w:t>37</w:t>
        </w:r>
        <w:r w:rsidR="008113DE" w:rsidRPr="00143513">
          <w:rPr>
            <w:rStyle w:val="Hyperlink"/>
            <w:bCs/>
            <w:lang w:val="ru-RU"/>
          </w:rPr>
          <w:t xml:space="preserve"> </w:t>
        </w:r>
        <w:r w:rsidRPr="00143513">
          <w:rPr>
            <w:rStyle w:val="Hyperlink"/>
            <w:bCs/>
            <w:lang w:val="ru-RU"/>
          </w:rPr>
          <w:t>(+ Приложения 1</w:t>
        </w:r>
        <w:r w:rsidR="00143513">
          <w:rPr>
            <w:rStyle w:val="Hyperlink"/>
            <w:rFonts w:cs="Calibri"/>
            <w:bCs/>
            <w:lang w:val="ru-RU"/>
          </w:rPr>
          <w:t>−</w:t>
        </w:r>
        <w:r w:rsidRPr="00143513">
          <w:rPr>
            <w:rStyle w:val="Hyperlink"/>
            <w:bCs/>
            <w:lang w:val="ru-RU"/>
          </w:rPr>
          <w:t>2)</w:t>
        </w:r>
      </w:hyperlink>
      <w:r w:rsidRPr="00143513">
        <w:rPr>
          <w:lang w:val="ru-RU"/>
        </w:rPr>
        <w:t xml:space="preserve"> (Австралия, Канада) </w:t>
      </w:r>
      <w:r w:rsidR="004622E8">
        <w:rPr>
          <w:rFonts w:cs="Calibri"/>
          <w:lang w:val="ru-RU"/>
        </w:rPr>
        <w:t>−</w:t>
      </w:r>
      <w:r w:rsidRPr="00143513">
        <w:rPr>
          <w:lang w:val="ru-RU"/>
        </w:rPr>
        <w:t xml:space="preserve"> Предложение по общему рассмотрению </w:t>
      </w:r>
      <w:r w:rsidR="006130CC" w:rsidRPr="00565128">
        <w:rPr>
          <w:lang w:val="ru-RU"/>
        </w:rPr>
        <w:t>Р</w:t>
      </w:r>
      <w:r w:rsidRPr="00565128">
        <w:rPr>
          <w:lang w:val="ru-RU"/>
        </w:rPr>
        <w:t>езолюций всемирных конференций по развитию электросвязи</w:t>
      </w:r>
      <w:hyperlink r:id="rId29">
        <w:bookmarkStart w:id="16" w:name="_Hlt227156622"/>
        <w:bookmarkStart w:id="17" w:name="_Hlt227155090"/>
        <w:bookmarkEnd w:id="16"/>
        <w:bookmarkEnd w:id="17"/>
      </w:hyperlink>
    </w:p>
    <w:p w14:paraId="416BA30E" w14:textId="75129BB0" w:rsidR="00C15C25" w:rsidRPr="00FD65C9" w:rsidRDefault="00C15C25" w:rsidP="00055F87">
      <w:r w:rsidRPr="00FD65C9">
        <w:t xml:space="preserve">КГРЭ рассмотрела Документ 37, представленный Австралией и Канадой, в котором предлагается </w:t>
      </w:r>
      <w:r w:rsidR="008059C2">
        <w:t xml:space="preserve">осуществить </w:t>
      </w:r>
      <w:r w:rsidRPr="00FD65C9">
        <w:t>об</w:t>
      </w:r>
      <w:r w:rsidR="008059C2">
        <w:t xml:space="preserve">щее рассмотрение </w:t>
      </w:r>
      <w:r w:rsidRPr="00FD65C9">
        <w:t>и упорядоч</w:t>
      </w:r>
      <w:r w:rsidR="008059C2">
        <w:t xml:space="preserve">ение </w:t>
      </w:r>
      <w:r w:rsidRPr="00FD65C9">
        <w:t>Резолюци</w:t>
      </w:r>
      <w:r w:rsidR="008059C2">
        <w:t>й</w:t>
      </w:r>
      <w:r w:rsidRPr="00FD65C9">
        <w:t xml:space="preserve"> ВКРЭ с целью повышения их согласованности, актуальности и удобства использования в последующих циклах конференций. В</w:t>
      </w:r>
      <w:r w:rsidR="00143513">
        <w:t> </w:t>
      </w:r>
      <w:r w:rsidRPr="00FD65C9">
        <w:t xml:space="preserve">ходе обсуждения было признано, что накопление Резолюций с течением времени может привести к усложнению, дублированию и устареванию ссылок, </w:t>
      </w:r>
      <w:r w:rsidR="006130CC" w:rsidRPr="00FD65C9">
        <w:t>и это</w:t>
      </w:r>
      <w:r w:rsidRPr="00FD65C9">
        <w:t xml:space="preserve"> может повлиять на ясность с точки зрения их выполнения.</w:t>
      </w:r>
    </w:p>
    <w:p w14:paraId="595B232E" w14:textId="7B8861C0" w:rsidR="00C15C25" w:rsidRPr="00FD65C9" w:rsidRDefault="00C15C25" w:rsidP="00055F87">
      <w:r w:rsidRPr="00FD65C9">
        <w:t xml:space="preserve">Широкую поддержку получил принцип структурного анализа, включая обновление устаревших ссылок, выявление случаев дублирования и улучшение согласованности между </w:t>
      </w:r>
      <w:r w:rsidR="006130CC" w:rsidRPr="00FD65C9">
        <w:t>Р</w:t>
      </w:r>
      <w:r w:rsidRPr="00FD65C9">
        <w:t xml:space="preserve">езолюциями и текущими мандатами. </w:t>
      </w:r>
      <w:r w:rsidR="006130CC" w:rsidRPr="00FD65C9">
        <w:t>Ряд</w:t>
      </w:r>
      <w:r w:rsidRPr="00FD65C9">
        <w:t xml:space="preserve"> делегаций подчеркнули, что такая работа должна повысить прозрачность и эффективность при сохранении политического замысла и согласованного баланса существующих </w:t>
      </w:r>
      <w:r w:rsidR="005351B4" w:rsidRPr="00FD65C9">
        <w:t>Р</w:t>
      </w:r>
      <w:r w:rsidRPr="00FD65C9">
        <w:t>езолюций.</w:t>
      </w:r>
    </w:p>
    <w:p w14:paraId="18618669" w14:textId="16F5A50F" w:rsidR="00C15C25" w:rsidRPr="00FD65C9" w:rsidRDefault="00C15C25" w:rsidP="00055F87">
      <w:r w:rsidRPr="00FD65C9">
        <w:t xml:space="preserve">В то же время КГРЭ подчеркнула, что </w:t>
      </w:r>
      <w:r w:rsidR="00CC5CA5" w:rsidRPr="00FD65C9">
        <w:t xml:space="preserve">необходимо обеспечить четкий фокус в рамках </w:t>
      </w:r>
      <w:r w:rsidR="008059C2">
        <w:t>рассмотрения</w:t>
      </w:r>
      <w:r w:rsidR="00CC5CA5" w:rsidRPr="00FD65C9">
        <w:t xml:space="preserve"> и его поэтапное проведение, а также избегать</w:t>
      </w:r>
      <w:r w:rsidRPr="00FD65C9">
        <w:t xml:space="preserve"> какого-либо </w:t>
      </w:r>
      <w:r w:rsidR="008059C2">
        <w:t xml:space="preserve">пересмотра </w:t>
      </w:r>
      <w:r w:rsidRPr="00FD65C9">
        <w:t>важных политических решений, прин</w:t>
      </w:r>
      <w:r w:rsidR="008059C2">
        <w:t xml:space="preserve">ятых </w:t>
      </w:r>
      <w:r w:rsidRPr="00FD65C9">
        <w:t xml:space="preserve">ВКРЭ. Были даны пояснения относительно того, что данное предложение направлено не на пересмотр мандатов, а скорее на начало технической и редакционной оптимизации, включая </w:t>
      </w:r>
      <w:r w:rsidR="00CC5CA5" w:rsidRPr="00FD65C9">
        <w:t>консолидацию</w:t>
      </w:r>
      <w:r w:rsidRPr="00FD65C9">
        <w:t>, где это уместно, и более четкие перекрестные ссылки.</w:t>
      </w:r>
    </w:p>
    <w:p w14:paraId="706E36CB" w14:textId="1E3D634E" w:rsidR="00C15C25" w:rsidRPr="00FD65C9" w:rsidRDefault="00C15C25" w:rsidP="00055F87">
      <w:r w:rsidRPr="00FD65C9">
        <w:t xml:space="preserve">В ходе обсуждения </w:t>
      </w:r>
      <w:r w:rsidR="00CC5CA5" w:rsidRPr="00FD65C9">
        <w:t>подчеркивалась</w:t>
      </w:r>
      <w:r w:rsidRPr="00FD65C9">
        <w:t xml:space="preserve"> важность надзора со стороны Государств-Членов и роль КГРЭ в руководстве процессом. </w:t>
      </w:r>
      <w:r w:rsidR="00CC5CA5" w:rsidRPr="00FD65C9">
        <w:t>Участники отметили</w:t>
      </w:r>
      <w:r w:rsidRPr="00FD65C9">
        <w:t>, что БРЭ могло бы начать подготовительную работу, например по выявлению устаревших ссылок, в то время как вопрос о любо</w:t>
      </w:r>
      <w:r w:rsidR="00143513">
        <w:t>й</w:t>
      </w:r>
      <w:r w:rsidRPr="00FD65C9">
        <w:t xml:space="preserve"> более широко</w:t>
      </w:r>
      <w:r w:rsidR="00CC5CA5" w:rsidRPr="00FD65C9">
        <w:t xml:space="preserve">й консолидации </w:t>
      </w:r>
      <w:r w:rsidRPr="00FD65C9">
        <w:t xml:space="preserve">или реструктуризации </w:t>
      </w:r>
      <w:r w:rsidR="00CC5CA5" w:rsidRPr="00FD65C9">
        <w:t>мог бы</w:t>
      </w:r>
      <w:r w:rsidRPr="00FD65C9">
        <w:t xml:space="preserve"> рассматриваться в рамках соответствующего рабочего механизма КГРЭ на более позднем этапе, ближе к подготовке к следующей ВКРЭ.</w:t>
      </w:r>
    </w:p>
    <w:p w14:paraId="4F3902FB" w14:textId="78E60D0A" w:rsidR="00C15C25" w:rsidRPr="00FD65C9" w:rsidRDefault="00C15C25" w:rsidP="00055F87">
      <w:pPr>
        <w:spacing w:after="120"/>
      </w:pPr>
      <w:r w:rsidRPr="00FD65C9">
        <w:t xml:space="preserve">КГРЭ </w:t>
      </w:r>
      <w:r w:rsidR="00CC5CA5" w:rsidRPr="00FD65C9">
        <w:t xml:space="preserve">приняла решение принять к сведению </w:t>
      </w:r>
      <w:r w:rsidRPr="00FD65C9">
        <w:t>предложение, содержащееся в Документе 37</w:t>
      </w:r>
      <w:r w:rsidR="00CC5CA5" w:rsidRPr="00FD65C9">
        <w:t xml:space="preserve"> и отразить предусмотренное в нем намерение </w:t>
      </w:r>
      <w:r w:rsidRPr="00FD65C9">
        <w:t xml:space="preserve">в кратком обзоре выводов этого собрания, включая возможность </w:t>
      </w:r>
      <w:r w:rsidRPr="00FD65C9">
        <w:lastRenderedPageBreak/>
        <w:t>поручения последующей деятельности соответствующей рабочей группе КГРЭ по методам работы и упорядочению в целях обеспечения непрерывности и недопущения потери динамики.</w:t>
      </w:r>
    </w:p>
    <w:tbl>
      <w:tblPr>
        <w:tblStyle w:val="TableGrid"/>
        <w:tblW w:w="0" w:type="auto"/>
        <w:tblLayout w:type="fixed"/>
        <w:tblLook w:val="04A0" w:firstRow="1" w:lastRow="0" w:firstColumn="1" w:lastColumn="0" w:noHBand="0" w:noVBand="1"/>
      </w:tblPr>
      <w:tblGrid>
        <w:gridCol w:w="9629"/>
      </w:tblGrid>
      <w:tr w:rsidR="00C15C25" w:rsidRPr="00FD65C9" w14:paraId="41AE4BD6" w14:textId="77777777" w:rsidTr="008C5330">
        <w:tc>
          <w:tcPr>
            <w:tcW w:w="9629" w:type="dxa"/>
          </w:tcPr>
          <w:p w14:paraId="59342CFA" w14:textId="27A8B4C2" w:rsidR="00C15C25" w:rsidRPr="00FD65C9" w:rsidRDefault="00C15C25" w:rsidP="008C5330">
            <w:pPr>
              <w:tabs>
                <w:tab w:val="left" w:pos="567"/>
                <w:tab w:val="left" w:pos="1701"/>
              </w:tabs>
              <w:spacing w:after="120"/>
              <w:textAlignment w:val="auto"/>
            </w:pPr>
            <w:r w:rsidRPr="00FD65C9">
              <w:rPr>
                <w:color w:val="000000"/>
              </w:rPr>
              <w:t xml:space="preserve">КГРЭ с удовлетворением приняла к сведению </w:t>
            </w:r>
            <w:r w:rsidR="00CC5CA5" w:rsidRPr="00FD65C9">
              <w:rPr>
                <w:color w:val="000000"/>
              </w:rPr>
              <w:t xml:space="preserve">данный документ </w:t>
            </w:r>
            <w:r w:rsidRPr="00FD65C9">
              <w:rPr>
                <w:color w:val="000000"/>
              </w:rPr>
              <w:t>и приветствовала широкую поддержку</w:t>
            </w:r>
            <w:r w:rsidR="00CC5CA5" w:rsidRPr="00FD65C9">
              <w:rPr>
                <w:color w:val="000000"/>
              </w:rPr>
              <w:t xml:space="preserve"> собрания</w:t>
            </w:r>
            <w:r w:rsidRPr="00FD65C9">
              <w:rPr>
                <w:color w:val="000000"/>
              </w:rPr>
              <w:t xml:space="preserve">. </w:t>
            </w:r>
            <w:r w:rsidR="00CC5CA5" w:rsidRPr="00FD65C9">
              <w:rPr>
                <w:color w:val="000000"/>
              </w:rPr>
              <w:t xml:space="preserve">В качестве надлежащих механизмов для рассмотрения данного предложения были выбраны </w:t>
            </w:r>
            <w:r w:rsidRPr="00FD65C9">
              <w:rPr>
                <w:color w:val="000000"/>
              </w:rPr>
              <w:t>Межсекторальная координационная группа и Рабочая группа КГРЭ по упорядочению резолюций</w:t>
            </w:r>
            <w:r w:rsidR="00CC5CA5" w:rsidRPr="00FD65C9">
              <w:rPr>
                <w:color w:val="000000"/>
              </w:rPr>
              <w:t>, когда она будет создана в соответствующее время,</w:t>
            </w:r>
            <w:r w:rsidRPr="00FD65C9">
              <w:rPr>
                <w:color w:val="000000"/>
              </w:rPr>
              <w:t xml:space="preserve"> при сохранении приоритетов конкретных Секторов. БРЭ </w:t>
            </w:r>
            <w:r w:rsidR="00E70105" w:rsidRPr="00FD65C9">
              <w:rPr>
                <w:color w:val="000000"/>
              </w:rPr>
              <w:t>поручается</w:t>
            </w:r>
            <w:r w:rsidRPr="00FD65C9">
              <w:rPr>
                <w:color w:val="000000"/>
              </w:rPr>
              <w:t xml:space="preserve"> реализовать это предложение в тесной координации с Рабочей группой КГРЭ по упорядочению резолюций. </w:t>
            </w:r>
          </w:p>
        </w:tc>
      </w:tr>
    </w:tbl>
    <w:p w14:paraId="56A0227D" w14:textId="6F06B000" w:rsidR="00C15C25" w:rsidRPr="00664A63" w:rsidRDefault="00C15C25" w:rsidP="00055F87">
      <w:pPr>
        <w:pStyle w:val="Headingb"/>
        <w:rPr>
          <w:rFonts w:cstheme="minorBidi"/>
          <w:lang w:val="ru-RU"/>
        </w:rPr>
      </w:pPr>
      <w:r w:rsidRPr="00664A63">
        <w:rPr>
          <w:lang w:val="ru-RU"/>
        </w:rPr>
        <w:t xml:space="preserve">Документ </w:t>
      </w:r>
      <w:hyperlink r:id="rId30">
        <w:r w:rsidR="008113DE" w:rsidRPr="00664A63">
          <w:rPr>
            <w:rStyle w:val="Hyperlink"/>
            <w:rFonts w:cstheme="minorBidi"/>
            <w:bCs/>
            <w:lang w:val="ru-RU"/>
          </w:rPr>
          <w:t>45</w:t>
        </w:r>
      </w:hyperlink>
      <w:r w:rsidRPr="00664A63">
        <w:rPr>
          <w:lang w:val="ru-RU"/>
        </w:rPr>
        <w:t xml:space="preserve"> (Болгария, Германия, Литва, Польша, Румыния, Соединенное Королевство, Франция, Чешская Республика, Швеция) </w:t>
      </w:r>
      <w:r w:rsidR="004622E8">
        <w:rPr>
          <w:rFonts w:cs="Calibri"/>
          <w:lang w:val="ru-RU"/>
        </w:rPr>
        <w:t>−</w:t>
      </w:r>
      <w:r w:rsidRPr="00664A63">
        <w:rPr>
          <w:lang w:val="ru-RU"/>
        </w:rPr>
        <w:t xml:space="preserve"> Предложения по совершенствованию будущих конференций</w:t>
      </w:r>
      <w:hyperlink r:id="rId31"/>
    </w:p>
    <w:p w14:paraId="5857F5C4" w14:textId="77777777" w:rsidR="00C15C25" w:rsidRPr="00FD65C9" w:rsidRDefault="00C15C25" w:rsidP="00055F87">
      <w:r w:rsidRPr="00FD65C9">
        <w:t>КГРЭ рассмотрела Документ 45, представленный группой Государств-Членов, в котором предлагается комплекс мер, направленных на повышение эффективности, прозрачности и открытости будущих ВКРЭ на основе уроков, извлеченных из опыта последних конференций.</w:t>
      </w:r>
    </w:p>
    <w:p w14:paraId="417C50AC" w14:textId="4583D03E" w:rsidR="00C15C25" w:rsidRPr="00FD65C9" w:rsidRDefault="00C15C25" w:rsidP="00055F87">
      <w:r w:rsidRPr="00FD65C9">
        <w:t xml:space="preserve">В ходе обсуждения в целом приветствовалась цель этого предложения, при этом несколько делегаций признали ценность </w:t>
      </w:r>
      <w:r w:rsidR="009A6577" w:rsidRPr="00FD65C9">
        <w:t>заблаговременных</w:t>
      </w:r>
      <w:r w:rsidRPr="00FD65C9">
        <w:t xml:space="preserve"> и </w:t>
      </w:r>
      <w:r w:rsidR="009A6577" w:rsidRPr="00FD65C9">
        <w:t>более четко выстроенных</w:t>
      </w:r>
      <w:r w:rsidRPr="00FD65C9">
        <w:t xml:space="preserve"> подготовительных процессов, улучшенной координации между регионами и более </w:t>
      </w:r>
      <w:r w:rsidR="009A6577" w:rsidRPr="00FD65C9">
        <w:t>упорядоченной</w:t>
      </w:r>
      <w:r w:rsidRPr="00FD65C9">
        <w:t xml:space="preserve"> организации работы конференции. Участники отметили, что такие усовершенствования могли бы способствовать более эффективному использованию времени в ходе конференций, уменьшению нагрузки на делегации, располагающие ограниченными ресурсами, и расширению общего участия.</w:t>
      </w:r>
    </w:p>
    <w:p w14:paraId="592FA29C" w14:textId="7CF44958" w:rsidR="00C15C25" w:rsidRPr="00FD65C9" w:rsidRDefault="00C15C25" w:rsidP="00055F87">
      <w:r w:rsidRPr="00FD65C9">
        <w:t xml:space="preserve">В то же время несколько делегаций подчеркнули необходимость проявлять осторожность при укреплении межрегиональной координации, </w:t>
      </w:r>
      <w:r w:rsidR="009A6577" w:rsidRPr="00FD65C9">
        <w:t>отметив</w:t>
      </w:r>
      <w:r w:rsidRPr="00FD65C9">
        <w:t xml:space="preserve">, что </w:t>
      </w:r>
      <w:r w:rsidR="009A6577" w:rsidRPr="00FD65C9">
        <w:t xml:space="preserve">следует сохранять </w:t>
      </w:r>
      <w:r w:rsidRPr="00FD65C9">
        <w:t xml:space="preserve">региональное разнообразие мнений и что подготовительные механизмы не должны ограничивать гибкость или создавать ожидания единых региональных позиций. </w:t>
      </w:r>
      <w:r w:rsidR="008059C2" w:rsidRPr="008059C2">
        <w:t>Были также высказаны опасения</w:t>
      </w:r>
      <w:r w:rsidR="008059C2">
        <w:t xml:space="preserve"> </w:t>
      </w:r>
      <w:r w:rsidRPr="00FD65C9">
        <w:t xml:space="preserve">по поводу </w:t>
      </w:r>
      <w:r w:rsidR="008059C2" w:rsidRPr="008059C2">
        <w:t>возможного</w:t>
      </w:r>
      <w:r w:rsidR="008059C2">
        <w:t xml:space="preserve"> </w:t>
      </w:r>
      <w:r w:rsidRPr="00FD65C9">
        <w:t>излишне</w:t>
      </w:r>
      <w:r w:rsidR="008059C2">
        <w:t xml:space="preserve">го усложнения </w:t>
      </w:r>
      <w:r w:rsidRPr="00FD65C9">
        <w:t>процедур или дублирования существующих механизмов.</w:t>
      </w:r>
    </w:p>
    <w:p w14:paraId="137E297E" w14:textId="77777777" w:rsidR="00C15C25" w:rsidRPr="00FD65C9" w:rsidRDefault="00C15C25" w:rsidP="00055F87">
      <w:r w:rsidRPr="00FD65C9">
        <w:t>КГРЭ обсудила важность уточнения сферы охвата предложений и последующих мер в связи с ними, в том числе того, как они будут реализовываться в рамках КГРЭ и можно ли рассматривать элементы в рамках существующих или будущих рабочих групп КГРЭ, особенно тех, которые занимаются методами работы и упорядочением. Было подчеркнуто, что необходимо сохранить динамику, обеспечив при этом, чтобы любые последующие меры по-прежнему определялись Государствами-Членами.</w:t>
      </w:r>
    </w:p>
    <w:p w14:paraId="6A0A930C" w14:textId="63AACCD8" w:rsidR="00C15C25" w:rsidRPr="00FD65C9" w:rsidRDefault="00C15C25" w:rsidP="00055F87">
      <w:pPr>
        <w:spacing w:after="120"/>
      </w:pPr>
      <w:r w:rsidRPr="00FD65C9">
        <w:t>КГРЭ приняла к сведению Документ 45 и согласилась с тем, что содержащиеся в нем основные идеи должны быть отражены в кратком обзоре выводов и что дальнейшее рассмотрение должно быть проведено на соответствующем этапе подготовительного цикла ВКРЭ, включая возможную последующую деятельность в рамках соответствующ</w:t>
      </w:r>
      <w:r w:rsidR="00C828F3" w:rsidRPr="00FD65C9">
        <w:t xml:space="preserve">его графика работы </w:t>
      </w:r>
      <w:r w:rsidRPr="00FD65C9">
        <w:t>КГРЭ.</w:t>
      </w:r>
    </w:p>
    <w:tbl>
      <w:tblPr>
        <w:tblStyle w:val="TableGrid"/>
        <w:tblW w:w="0" w:type="auto"/>
        <w:tblLayout w:type="fixed"/>
        <w:tblLook w:val="04A0" w:firstRow="1" w:lastRow="0" w:firstColumn="1" w:lastColumn="0" w:noHBand="0" w:noVBand="1"/>
      </w:tblPr>
      <w:tblGrid>
        <w:gridCol w:w="9629"/>
      </w:tblGrid>
      <w:tr w:rsidR="00C15C25" w:rsidRPr="00FD65C9" w14:paraId="5F1AB2EF" w14:textId="77777777" w:rsidTr="008C5330">
        <w:tc>
          <w:tcPr>
            <w:tcW w:w="9629" w:type="dxa"/>
          </w:tcPr>
          <w:p w14:paraId="32B8301E" w14:textId="2A816E4F" w:rsidR="00C15C25" w:rsidRPr="00FD65C9" w:rsidRDefault="00C15C25" w:rsidP="008C5330">
            <w:pPr>
              <w:tabs>
                <w:tab w:val="left" w:pos="567"/>
                <w:tab w:val="left" w:pos="1701"/>
              </w:tabs>
              <w:spacing w:after="120"/>
              <w:textAlignment w:val="auto"/>
            </w:pPr>
            <w:r w:rsidRPr="00FD65C9">
              <w:rPr>
                <w:color w:val="000000"/>
              </w:rPr>
              <w:t>КГРЭ приняла к сведению Документ 45 и предложения, направленные на совершенствование процедурных, организационных и подготовительных мероприятий для будущих ВКРЭ. Рабочей группе КГРЭ по методам работы, когда она будет создана в соответствующее время, будет предложено учесть и включить это предложение при обновлении своего круга ведения.</w:t>
            </w:r>
          </w:p>
        </w:tc>
      </w:tr>
    </w:tbl>
    <w:p w14:paraId="1E4F51F8" w14:textId="54E03A32" w:rsidR="00C15C25" w:rsidRPr="004622E8" w:rsidRDefault="00C15C25" w:rsidP="00055F87">
      <w:pPr>
        <w:pStyle w:val="Headingb"/>
        <w:rPr>
          <w:rFonts w:cstheme="minorBidi"/>
          <w:bCs/>
          <w:lang w:val="ru-RU"/>
        </w:rPr>
      </w:pPr>
      <w:r w:rsidRPr="004622E8">
        <w:rPr>
          <w:bCs/>
          <w:lang w:val="ru-RU"/>
        </w:rPr>
        <w:t xml:space="preserve">Документ </w:t>
      </w:r>
      <w:hyperlink r:id="rId32">
        <w:r w:rsidR="008113DE" w:rsidRPr="004622E8">
          <w:rPr>
            <w:rStyle w:val="Hyperlink"/>
            <w:rFonts w:cstheme="minorBidi"/>
            <w:bCs/>
            <w:lang w:val="ru-RU"/>
          </w:rPr>
          <w:t>18</w:t>
        </w:r>
      </w:hyperlink>
      <w:r w:rsidRPr="004622E8">
        <w:rPr>
          <w:bCs/>
          <w:lang w:val="ru-RU"/>
        </w:rPr>
        <w:t xml:space="preserve"> (Директор БРЭ) </w:t>
      </w:r>
      <w:r w:rsidR="004622E8" w:rsidRPr="004622E8">
        <w:rPr>
          <w:rFonts w:cs="Calibri"/>
          <w:bCs/>
          <w:lang w:val="ru-RU"/>
        </w:rPr>
        <w:t>−</w:t>
      </w:r>
      <w:r w:rsidRPr="004622E8">
        <w:rPr>
          <w:bCs/>
          <w:lang w:val="ru-RU"/>
        </w:rPr>
        <w:t xml:space="preserve"> Сфера деятельности и методы работы КГРЭ</w:t>
      </w:r>
      <w:hyperlink r:id="rId33">
        <w:bookmarkStart w:id="18" w:name="_Hlt227156631"/>
        <w:bookmarkEnd w:id="18"/>
      </w:hyperlink>
    </w:p>
    <w:p w14:paraId="64085415" w14:textId="67FCAD3E" w:rsidR="00C15C25" w:rsidRPr="00FD65C9" w:rsidRDefault="00C15C25" w:rsidP="00055F87">
      <w:r w:rsidRPr="00FD65C9">
        <w:t xml:space="preserve">КГРЭ рассмотрела Документ 18, в котором содержится сводное описание мандата, сферы </w:t>
      </w:r>
      <w:r w:rsidR="00C47855" w:rsidRPr="00FD65C9">
        <w:t>деятельности</w:t>
      </w:r>
      <w:r w:rsidRPr="00FD65C9">
        <w:t xml:space="preserve"> и методов работы КГРЭ с учетом коррективов, вытекающих из решений ВКРЭ-25. Документ был представлен в качестве справочной основы, предназначенной для поддержки эффективного функционирования КГРЭ в течение нового исследовательского периода.</w:t>
      </w:r>
    </w:p>
    <w:p w14:paraId="2E8EA44A" w14:textId="77777777" w:rsidR="00C15C25" w:rsidRPr="00FD65C9" w:rsidRDefault="00C15C25" w:rsidP="004622E8">
      <w:pPr>
        <w:keepNext/>
      </w:pPr>
      <w:r w:rsidRPr="00FD65C9">
        <w:lastRenderedPageBreak/>
        <w:t>В документе:</w:t>
      </w:r>
    </w:p>
    <w:p w14:paraId="31416B9F" w14:textId="6480A981" w:rsidR="00C15C25" w:rsidRPr="00055F87" w:rsidRDefault="003A5CC9" w:rsidP="00055F87">
      <w:pPr>
        <w:pStyle w:val="enumlev1"/>
      </w:pPr>
      <w:r>
        <w:t>•</w:t>
      </w:r>
      <w:r>
        <w:tab/>
      </w:r>
      <w:r w:rsidR="00C15C25" w:rsidRPr="00FD65C9">
        <w:t xml:space="preserve">содержится </w:t>
      </w:r>
      <w:r w:rsidR="008059C2">
        <w:t>обобщенная</w:t>
      </w:r>
      <w:r w:rsidR="00C15C25" w:rsidRPr="00FD65C9">
        <w:t xml:space="preserve"> информация о консультативной роли КГРЭ при Директоре БРЭ, </w:t>
      </w:r>
      <w:r w:rsidR="00C15C25" w:rsidRPr="00055F87">
        <w:t>включая рассмотрение приоритетов, программ, стратегий, оперативного планирования и финансовых вопросов Сектора развития;</w:t>
      </w:r>
    </w:p>
    <w:p w14:paraId="35CA8A34" w14:textId="7F081E9C" w:rsidR="00C15C25" w:rsidRPr="00055F87" w:rsidRDefault="003A5CC9" w:rsidP="00055F87">
      <w:pPr>
        <w:pStyle w:val="enumlev1"/>
      </w:pPr>
      <w:r w:rsidRPr="00055F87">
        <w:t>•</w:t>
      </w:r>
      <w:r w:rsidRPr="00055F87">
        <w:tab/>
      </w:r>
      <w:r w:rsidR="00C828F3" w:rsidRPr="00055F87">
        <w:t>содержится напоминание</w:t>
      </w:r>
      <w:r w:rsidR="00C15C25" w:rsidRPr="00055F87">
        <w:t xml:space="preserve"> об ответственности КГРЭ за рассмотрение хода выполнения, обеспечение согласованности задач и ресурсов, а также за предоставление руководящих указаний в целях повышения эффективности и результативности;</w:t>
      </w:r>
    </w:p>
    <w:p w14:paraId="3624C5C2" w14:textId="758B4E24" w:rsidR="00C15C25" w:rsidRPr="00FD65C9" w:rsidRDefault="003A5CC9" w:rsidP="00055F87">
      <w:pPr>
        <w:pStyle w:val="enumlev1"/>
      </w:pPr>
      <w:r w:rsidRPr="00055F87">
        <w:t>•</w:t>
      </w:r>
      <w:r w:rsidRPr="00055F87">
        <w:tab/>
      </w:r>
      <w:r w:rsidR="00C15C25" w:rsidRPr="00055F87">
        <w:t>подтверждается</w:t>
      </w:r>
      <w:r w:rsidR="00C15C25" w:rsidRPr="00FD65C9">
        <w:t xml:space="preserve"> роль КГРЭ в обеспечении непрерывности и гибкости в работе МСЭ-D в период между конференциями, включая руководство деятельностью исследовательских комиссий МСЭ-D и содействие координации и синергии;</w:t>
      </w:r>
    </w:p>
    <w:p w14:paraId="3BC3674A" w14:textId="7C41A480" w:rsidR="00C15C25" w:rsidRPr="00FD65C9" w:rsidRDefault="003A5CC9" w:rsidP="003A5CC9">
      <w:pPr>
        <w:pStyle w:val="enumlev1"/>
      </w:pPr>
      <w:r>
        <w:t>•</w:t>
      </w:r>
      <w:r>
        <w:tab/>
      </w:r>
      <w:r w:rsidR="00C15C25" w:rsidRPr="00FD65C9">
        <w:t>подчеркивается роль КГРЭ в содействии сотрудничеству в рамках Союза и с внешними партнерами, а также ее способность при необходимости создавать группы с определенным мандатом;</w:t>
      </w:r>
    </w:p>
    <w:p w14:paraId="525E441E" w14:textId="7D50B237" w:rsidR="00C15C25" w:rsidRPr="00FD65C9" w:rsidRDefault="003A5CC9" w:rsidP="003A5CC9">
      <w:pPr>
        <w:pStyle w:val="enumlev1"/>
      </w:pPr>
      <w:r>
        <w:t>•</w:t>
      </w:r>
      <w:r>
        <w:tab/>
      </w:r>
      <w:r w:rsidR="00C15C25" w:rsidRPr="00FD65C9">
        <w:t>содержится напоминание о методах работы КГРЭ, в том числе о ежегодных очных собраниях, дополняемых механизмами работы с использованием электронных средств, а также о роли Бюро КГРЭ в подготовке собраний, эффективном распределении времени и обеспечении целенаправленных обсуждений.</w:t>
      </w:r>
    </w:p>
    <w:p w14:paraId="0568229F" w14:textId="3DCA902F" w:rsidR="00C15C25" w:rsidRPr="00FD65C9" w:rsidRDefault="00057BB7" w:rsidP="00055F87">
      <w:r w:rsidRPr="00FD65C9">
        <w:t>Было особо отмечено</w:t>
      </w:r>
      <w:r w:rsidR="00C15C25" w:rsidRPr="00FD65C9">
        <w:t xml:space="preserve"> вытекающее из ВКРЭ-25 требование к КГРЭ назначить на своем первом собрании двух своих представителей заместителями председателя Межсекторальной координационной группы (МСКГ) по вопросам, представляющим взаимный интерес, в целях укрепления межсекторальной координации.</w:t>
      </w:r>
    </w:p>
    <w:p w14:paraId="0704DA93" w14:textId="77777777" w:rsidR="00C15C25" w:rsidRPr="00FD65C9" w:rsidRDefault="00C15C25" w:rsidP="00055F87">
      <w:pPr>
        <w:spacing w:after="120"/>
      </w:pPr>
      <w:r w:rsidRPr="00FD65C9">
        <w:t>В отношении представления Документа 18 замечаний высказано не было.</w:t>
      </w:r>
    </w:p>
    <w:tbl>
      <w:tblPr>
        <w:tblStyle w:val="TableGrid"/>
        <w:tblW w:w="0" w:type="auto"/>
        <w:tblLayout w:type="fixed"/>
        <w:tblLook w:val="04A0" w:firstRow="1" w:lastRow="0" w:firstColumn="1" w:lastColumn="0" w:noHBand="0" w:noVBand="1"/>
      </w:tblPr>
      <w:tblGrid>
        <w:gridCol w:w="9629"/>
      </w:tblGrid>
      <w:tr w:rsidR="00C15C25" w:rsidRPr="00FD65C9" w14:paraId="59FB9E80" w14:textId="77777777" w:rsidTr="008C5330">
        <w:tc>
          <w:tcPr>
            <w:tcW w:w="9629" w:type="dxa"/>
          </w:tcPr>
          <w:p w14:paraId="6041DE57" w14:textId="406F492E" w:rsidR="00C15C25" w:rsidRPr="00FD65C9" w:rsidRDefault="00C15C25" w:rsidP="008C5330">
            <w:pPr>
              <w:spacing w:after="120"/>
              <w:rPr>
                <w:szCs w:val="24"/>
              </w:rPr>
            </w:pPr>
            <w:r w:rsidRPr="00FD65C9">
              <w:rPr>
                <w:color w:val="000000"/>
              </w:rPr>
              <w:t xml:space="preserve">КГРЭ приняла к сведению Документ 18 о сфере </w:t>
            </w:r>
            <w:r w:rsidR="00870989" w:rsidRPr="00FD65C9">
              <w:t xml:space="preserve">деятельности </w:t>
            </w:r>
            <w:r w:rsidRPr="00FD65C9">
              <w:rPr>
                <w:color w:val="000000"/>
              </w:rPr>
              <w:t>и методах работы КГРЭ.</w:t>
            </w:r>
          </w:p>
        </w:tc>
      </w:tr>
    </w:tbl>
    <w:p w14:paraId="24FC67BF" w14:textId="6349C173" w:rsidR="00C15C25" w:rsidRPr="00565128" w:rsidRDefault="00C15C25" w:rsidP="00055F87">
      <w:pPr>
        <w:pStyle w:val="Headingb"/>
        <w:rPr>
          <w:rFonts w:cstheme="minorBidi"/>
          <w:lang w:val="ru-RU"/>
        </w:rPr>
      </w:pPr>
      <w:r w:rsidRPr="004622E8">
        <w:rPr>
          <w:lang w:val="ru-RU"/>
        </w:rPr>
        <w:t xml:space="preserve">Документ </w:t>
      </w:r>
      <w:hyperlink r:id="rId34">
        <w:r w:rsidR="008113DE" w:rsidRPr="004622E8">
          <w:rPr>
            <w:rStyle w:val="Hyperlink"/>
            <w:rFonts w:cstheme="minorBidi"/>
            <w:bCs/>
            <w:lang w:val="ru-RU"/>
          </w:rPr>
          <w:t>22(</w:t>
        </w:r>
        <w:r w:rsidR="008113DE" w:rsidRPr="00FD65C9">
          <w:rPr>
            <w:rStyle w:val="Hyperlink"/>
            <w:rFonts w:cstheme="minorBidi"/>
            <w:bCs/>
          </w:rPr>
          <w:t>Rev</w:t>
        </w:r>
        <w:r w:rsidR="008113DE" w:rsidRPr="004622E8">
          <w:rPr>
            <w:rStyle w:val="Hyperlink"/>
            <w:rFonts w:cstheme="minorBidi"/>
            <w:bCs/>
            <w:lang w:val="ru-RU"/>
          </w:rPr>
          <w:t>.2)</w:t>
        </w:r>
      </w:hyperlink>
      <w:r w:rsidRPr="004622E8">
        <w:rPr>
          <w:lang w:val="ru-RU"/>
        </w:rPr>
        <w:t xml:space="preserve"> (Директор БРЭ) </w:t>
      </w:r>
      <w:r w:rsidR="004622E8" w:rsidRPr="004622E8">
        <w:rPr>
          <w:rFonts w:cs="Calibri"/>
          <w:lang w:val="ru-RU"/>
        </w:rPr>
        <w:t>−</w:t>
      </w:r>
      <w:r w:rsidR="00870989" w:rsidRPr="004622E8">
        <w:rPr>
          <w:lang w:val="ru-RU"/>
        </w:rPr>
        <w:t xml:space="preserve"> </w:t>
      </w:r>
      <w:r w:rsidRPr="004622E8">
        <w:rPr>
          <w:lang w:val="ru-RU"/>
        </w:rPr>
        <w:t xml:space="preserve">Отчет о результатах ВКРЭ-25, относящихся к наименее развитым странам (НРС), развивающимся странам, не имеющим выхода к морю </w:t>
      </w:r>
      <w:r w:rsidRPr="00565128">
        <w:rPr>
          <w:lang w:val="ru-RU"/>
        </w:rPr>
        <w:t>(ЛЛДС), и малым островным развивающимся государствам (СИДС)</w:t>
      </w:r>
      <w:hyperlink r:id="rId35"/>
    </w:p>
    <w:p w14:paraId="0224DCA9" w14:textId="7E674AF0" w:rsidR="00C15C25" w:rsidRPr="00FD65C9" w:rsidRDefault="00C15C25" w:rsidP="00055F87">
      <w:r w:rsidRPr="00FD65C9">
        <w:t xml:space="preserve">КГРЭ рассмотрела Документ 22(Rev.2), в котором представлен обзор итогов ВКРЭ-25, имеющих особое значение для НРС, ЛЛДС и СИДС. </w:t>
      </w:r>
      <w:r w:rsidR="00870989" w:rsidRPr="00FD65C9">
        <w:t>Документ обсуждался как синтез подходов к решению конкретных проблем развития, стоящих перед этими группами стран, на основе Бакинской декларации, Бакинского плана действий, соответствующих Резолюций и региональных инициатив.</w:t>
      </w:r>
    </w:p>
    <w:p w14:paraId="5B3203CD" w14:textId="75BBE4B9" w:rsidR="00C15C25" w:rsidRPr="00FD65C9" w:rsidRDefault="00C15C25" w:rsidP="00055F87">
      <w:pPr>
        <w:rPr>
          <w:rFonts w:cstheme="minorBidi"/>
        </w:rPr>
      </w:pPr>
      <w:r w:rsidRPr="00FD65C9">
        <w:t xml:space="preserve">В ходе обсуждения было </w:t>
      </w:r>
      <w:r w:rsidR="00870989" w:rsidRPr="00FD65C9">
        <w:t xml:space="preserve">вновь </w:t>
      </w:r>
      <w:r w:rsidRPr="00FD65C9">
        <w:t>подтверждено, что решение</w:t>
      </w:r>
      <w:r w:rsidR="00870989" w:rsidRPr="00FD65C9">
        <w:t xml:space="preserve"> проблемы </w:t>
      </w:r>
      <w:r w:rsidRPr="00FD65C9">
        <w:t xml:space="preserve">сохраняющихся цифровых разрывов, затрагивающих НРС, ЛЛДС и СИДС, остается одним из основных приоритетов Сектора развития. Делегации подчеркнули важность </w:t>
      </w:r>
      <w:r w:rsidR="00870989" w:rsidRPr="00FD65C9">
        <w:t>решений</w:t>
      </w:r>
      <w:r w:rsidRPr="00FD65C9">
        <w:t>, связанных с универсальной и реальной возможностью установления соединений, приемлемостью в ценовом отношении, устойчивостью цифровой инфраструктуры, развитием потенциала и открытой для всех цифровой трансформацией, отметив, что эти элементы особенно важны для стран, сталкивающихся со структурными ограничениями, такими как удаленность, отсутствие экономии масштаба и уязвимость перед внешними потрясениями и стихийными бедствиями.</w:t>
      </w:r>
    </w:p>
    <w:p w14:paraId="28C8C976" w14:textId="251FBC15" w:rsidR="00C15C25" w:rsidRPr="00FD65C9" w:rsidRDefault="00C15C25" w:rsidP="00055F87">
      <w:pPr>
        <w:rPr>
          <w:rFonts w:cstheme="minorBidi"/>
        </w:rPr>
      </w:pPr>
      <w:r w:rsidRPr="00FD65C9">
        <w:t xml:space="preserve">КГРЭ отметила, что в итоговых документах ВКРЭ-25 </w:t>
      </w:r>
      <w:r w:rsidR="000659B3" w:rsidRPr="00FD65C9">
        <w:t>особый акцент сделан на страновом подходе к реализации с учетом специфики регионов</w:t>
      </w:r>
      <w:r w:rsidRPr="00FD65C9">
        <w:t>, при этом региональные инициативы и проекты определены в качестве ключевых инструментов преобразования мандатов конференций в ощутимые результаты для НРС, ЛЛДС и СИДС. Подчеркивалась стимулирующая роль партнерских отношений и начального финансирования как определяющей для мобилизации дополнительных ресурсов и расширения масштабов мероприятий в этих условиях.</w:t>
      </w:r>
    </w:p>
    <w:p w14:paraId="39E57342" w14:textId="73270C19" w:rsidR="00C15C25" w:rsidRPr="00FD65C9" w:rsidRDefault="00C15C25" w:rsidP="00055F87">
      <w:pPr>
        <w:rPr>
          <w:rFonts w:cstheme="minorBidi"/>
        </w:rPr>
      </w:pPr>
      <w:r w:rsidRPr="00FD65C9">
        <w:lastRenderedPageBreak/>
        <w:t xml:space="preserve">В ходе обсуждения также была подчеркнута важность контроля и </w:t>
      </w:r>
      <w:r w:rsidR="000659B3" w:rsidRPr="00FD65C9">
        <w:t xml:space="preserve">предоставления </w:t>
      </w:r>
      <w:r w:rsidRPr="00FD65C9">
        <w:t xml:space="preserve">отчетности </w:t>
      </w:r>
      <w:r w:rsidR="000659B3" w:rsidRPr="00FD65C9">
        <w:t xml:space="preserve">по выполнению решений, касающихся </w:t>
      </w:r>
      <w:r w:rsidRPr="00FD65C9">
        <w:t xml:space="preserve">этих страновых групп, включая необходимость четких показателей и </w:t>
      </w:r>
      <w:r w:rsidR="004D375A">
        <w:t>прозрачных</w:t>
      </w:r>
      <w:r w:rsidRPr="00FD65C9">
        <w:t xml:space="preserve"> механизмов отчетности для демонстрации прогресса и обоснования корректирующих мер, когда это необходимо. Участники </w:t>
      </w:r>
      <w:r w:rsidR="000659B3" w:rsidRPr="00FD65C9">
        <w:t xml:space="preserve">собрания </w:t>
      </w:r>
      <w:r w:rsidRPr="00FD65C9">
        <w:t>призвали продолжать уделять внимание обеспечению того, чтобы подходы к реализации оставались открытыми для всех и учитывали различные потребности НРС, ЛЛДС и СИДС.</w:t>
      </w:r>
    </w:p>
    <w:p w14:paraId="32837814" w14:textId="48907C6C" w:rsidR="00C15C25" w:rsidRPr="00FD65C9" w:rsidRDefault="00C15C25" w:rsidP="00055F87">
      <w:pPr>
        <w:spacing w:after="120"/>
        <w:rPr>
          <w:rFonts w:cstheme="minorBidi"/>
        </w:rPr>
      </w:pPr>
      <w:r w:rsidRPr="00FD65C9">
        <w:t>КГРЭ приняла к сведению Документ 22(Rev.2) в качестве информативного обзора и согласилась с тем, что он является полезным справочным материалом для руководства при выполнении решений ВКРЭ</w:t>
      </w:r>
      <w:r w:rsidR="004622E8">
        <w:noBreakHyphen/>
      </w:r>
      <w:r w:rsidRPr="00FD65C9">
        <w:t>25 в поддержку наиболее уязвимых и структурно неблагополучных стран в текущем исследовательском периоде.</w:t>
      </w:r>
    </w:p>
    <w:tbl>
      <w:tblPr>
        <w:tblStyle w:val="TableGrid"/>
        <w:tblW w:w="0" w:type="auto"/>
        <w:tblLayout w:type="fixed"/>
        <w:tblLook w:val="04A0" w:firstRow="1" w:lastRow="0" w:firstColumn="1" w:lastColumn="0" w:noHBand="0" w:noVBand="1"/>
      </w:tblPr>
      <w:tblGrid>
        <w:gridCol w:w="9629"/>
      </w:tblGrid>
      <w:tr w:rsidR="00C15C25" w:rsidRPr="00FD65C9" w14:paraId="0A52D090" w14:textId="77777777" w:rsidTr="008C5330">
        <w:tc>
          <w:tcPr>
            <w:tcW w:w="9629" w:type="dxa"/>
          </w:tcPr>
          <w:p w14:paraId="78A26D94" w14:textId="77777777" w:rsidR="00C15C25" w:rsidRPr="00FD65C9" w:rsidRDefault="00C15C25" w:rsidP="008C5330">
            <w:pPr>
              <w:spacing w:after="120"/>
              <w:rPr>
                <w:szCs w:val="24"/>
              </w:rPr>
            </w:pPr>
            <w:r w:rsidRPr="00FD65C9">
              <w:rPr>
                <w:color w:val="000000"/>
              </w:rPr>
              <w:t>КГРЭ приняла к сведению Документ 22(Rev.2) о результатах ВКРЭ-25, относящихся к наименее развитым странам (НРС), развивающимся странам, не имеющим выхода к морю (ЛЛДС), и малым островным развивающимся государствам (СИДС).</w:t>
            </w:r>
          </w:p>
        </w:tc>
      </w:tr>
    </w:tbl>
    <w:p w14:paraId="2617D94A" w14:textId="6F67AF1F" w:rsidR="00C15C25" w:rsidRPr="004622E8" w:rsidRDefault="00C15C25" w:rsidP="00055F87">
      <w:pPr>
        <w:pStyle w:val="Headingb"/>
        <w:rPr>
          <w:rFonts w:cstheme="minorBidi"/>
          <w:lang w:val="ru-RU"/>
        </w:rPr>
      </w:pPr>
      <w:r w:rsidRPr="004622E8">
        <w:rPr>
          <w:lang w:val="ru-RU"/>
        </w:rPr>
        <w:t xml:space="preserve">Документ </w:t>
      </w:r>
      <w:hyperlink r:id="rId36" w:history="1">
        <w:r w:rsidR="008113DE" w:rsidRPr="004622E8">
          <w:rPr>
            <w:rStyle w:val="Hyperlink"/>
            <w:rFonts w:cstheme="minorBidi"/>
            <w:bCs/>
            <w:lang w:val="ru-RU"/>
          </w:rPr>
          <w:t>34(</w:t>
        </w:r>
        <w:r w:rsidR="008113DE" w:rsidRPr="00FD65C9">
          <w:rPr>
            <w:rStyle w:val="Hyperlink"/>
            <w:rFonts w:cstheme="minorBidi"/>
            <w:bCs/>
          </w:rPr>
          <w:t>Rev</w:t>
        </w:r>
        <w:r w:rsidR="008113DE" w:rsidRPr="004622E8">
          <w:rPr>
            <w:rStyle w:val="Hyperlink"/>
            <w:rFonts w:cstheme="minorBidi"/>
            <w:bCs/>
            <w:lang w:val="ru-RU"/>
          </w:rPr>
          <w:t>.3)</w:t>
        </w:r>
      </w:hyperlink>
      <w:r w:rsidRPr="004622E8">
        <w:rPr>
          <w:lang w:val="ru-RU"/>
        </w:rPr>
        <w:t xml:space="preserve"> (Армения, Беларусь, АО "Казахтелеком" (Казахстан), Кыргызстан, Российская Федерация) </w:t>
      </w:r>
      <w:r w:rsidR="004622E8" w:rsidRPr="004622E8">
        <w:rPr>
          <w:rFonts w:cs="Calibri"/>
          <w:lang w:val="ru-RU"/>
        </w:rPr>
        <w:t>−</w:t>
      </w:r>
      <w:r w:rsidRPr="004622E8">
        <w:rPr>
          <w:lang w:val="ru-RU"/>
        </w:rPr>
        <w:t xml:space="preserve"> </w:t>
      </w:r>
      <w:r w:rsidR="00E824CF" w:rsidRPr="004622E8">
        <w:rPr>
          <w:lang w:val="ru-RU"/>
        </w:rPr>
        <w:t xml:space="preserve">Предложения по выполнению Резолюции 8 Всемирной конференции по развитию электросвязи в части кругов ведения Групп экспертов по статистике </w:t>
      </w:r>
      <w:hyperlink r:id="rId37" w:history="1">
        <w:bookmarkStart w:id="19" w:name="_Hlt227155172"/>
        <w:bookmarkStart w:id="20" w:name="_Hlt227155173"/>
        <w:bookmarkEnd w:id="19"/>
        <w:bookmarkEnd w:id="20"/>
      </w:hyperlink>
    </w:p>
    <w:p w14:paraId="7BF7AF77" w14:textId="5EA1BA8A" w:rsidR="00C15C25" w:rsidRPr="00FD65C9" w:rsidRDefault="00E824CF" w:rsidP="00055F87">
      <w:r w:rsidRPr="00FD65C9">
        <w:t xml:space="preserve">Российская Федерация представила </w:t>
      </w:r>
      <w:r w:rsidR="00C15C25" w:rsidRPr="00FD65C9">
        <w:t xml:space="preserve">Документ TDAG-26/34, </w:t>
      </w:r>
      <w:r w:rsidRPr="00FD65C9">
        <w:t>направленный</w:t>
      </w:r>
      <w:r w:rsidR="00C15C25" w:rsidRPr="00FD65C9">
        <w:t xml:space="preserve"> Арменией, Кыргызстаном, Российской Федерацией и АО "Казахтелеком" (Казахстан). Во вкладе предлагается включить новые положения в Резолюцию 8 и пересмотреть круг ведения </w:t>
      </w:r>
      <w:r w:rsidR="004B3A02" w:rsidRPr="004B3A02">
        <w:t>Группы экспертов по показателям электросвязи/ИКТ</w:t>
      </w:r>
      <w:r w:rsidR="00C15C25" w:rsidRPr="00FD65C9">
        <w:t xml:space="preserve"> (EGTI) и </w:t>
      </w:r>
      <w:r w:rsidR="004B3A02" w:rsidRPr="004B3A02">
        <w:t>Группы экспертов по показателям ИКТ в домашних хозяйствах</w:t>
      </w:r>
      <w:r w:rsidR="00C15C25" w:rsidRPr="00FD65C9">
        <w:t xml:space="preserve"> (EGH) с целью повышения прозрачности и согласования процедур с соответствующими структурами МСЭ, включая Резолюцию 1, Резолюцию 8 и Резолюцию 280 Полномочной конференции. Было указано, что вклад был представлен для замечаний и не требует принятия решения на данном этапе.</w:t>
      </w:r>
    </w:p>
    <w:p w14:paraId="68136249" w14:textId="156F3264" w:rsidR="00C15C25" w:rsidRPr="00FD65C9" w:rsidRDefault="00C15C25" w:rsidP="00055F87">
      <w:r w:rsidRPr="00FD65C9">
        <w:t xml:space="preserve">В ходе обсуждения </w:t>
      </w:r>
      <w:r w:rsidR="00E824CF" w:rsidRPr="00FD65C9">
        <w:t>участники выразили</w:t>
      </w:r>
      <w:r w:rsidRPr="00FD65C9">
        <w:t xml:space="preserve"> обеспокоенность относительно предлагаемых сроков и подхода, при этом </w:t>
      </w:r>
      <w:r w:rsidR="009D163B" w:rsidRPr="00FD65C9">
        <w:t>отмечалось</w:t>
      </w:r>
      <w:r w:rsidRPr="00FD65C9">
        <w:t>, что в соответствии с Резолюцией 8 любое рассмотрение круга ведения должно проводиться в рамках самих групп экспертов.</w:t>
      </w:r>
    </w:p>
    <w:p w14:paraId="4AAE86AD" w14:textId="77B61FBC" w:rsidR="00C15C25" w:rsidRPr="00FD65C9" w:rsidRDefault="00C15C25" w:rsidP="00055F87">
      <w:r w:rsidRPr="00FD65C9">
        <w:t xml:space="preserve">Одна из делегаций подчеркнула, что предлагаемые изменения могут привести к более </w:t>
      </w:r>
      <w:r w:rsidR="00E824CF" w:rsidRPr="00FD65C9">
        <w:t>формализованной</w:t>
      </w:r>
      <w:r w:rsidRPr="00FD65C9">
        <w:t xml:space="preserve"> и жесткой структуре, </w:t>
      </w:r>
      <w:r w:rsidR="00E824CF" w:rsidRPr="00FD65C9">
        <w:t>которая может</w:t>
      </w:r>
      <w:r w:rsidRPr="00FD65C9">
        <w:t xml:space="preserve"> сказаться на гибкости и способности групп реагировать. </w:t>
      </w:r>
      <w:r w:rsidR="00E824CF" w:rsidRPr="00FD65C9">
        <w:t>Участники также выразили обеспокоенность</w:t>
      </w:r>
      <w:r w:rsidRPr="00FD65C9">
        <w:t xml:space="preserve"> по поводу сохранения роли Директора БРЭ, сохранения открытой и всеобъемлющей модели участия, включая национальные статистические управления и другие заинтересованные стороны, и </w:t>
      </w:r>
      <w:r w:rsidR="00E824CF" w:rsidRPr="00FD65C9">
        <w:t>предотвращения внесения в процедуры</w:t>
      </w:r>
      <w:r w:rsidRPr="00FD65C9">
        <w:t xml:space="preserve"> изменений, которые могут ограничить эффективное функционирование групп.</w:t>
      </w:r>
    </w:p>
    <w:p w14:paraId="247173DD" w14:textId="00E78151" w:rsidR="00C15C25" w:rsidRPr="00FD65C9" w:rsidRDefault="00C15C25" w:rsidP="00055F87">
      <w:r w:rsidRPr="00FD65C9">
        <w:t xml:space="preserve">Другая делегация отметила проблемы, связанные с наличием данных и статистическим потенциалом. </w:t>
      </w:r>
      <w:r w:rsidR="00E824CF" w:rsidRPr="00FD65C9">
        <w:t>Один из делегатов отметил</w:t>
      </w:r>
      <w:r w:rsidRPr="00FD65C9">
        <w:t>, что при рассмотрении вопроса о введении или расширении показателей EGTI и EGH должны учитывать реалии сбора данных, в особенности в развивающихся странах, обеспечивать измеримость, легкодоступность и сопоставимость показателей и не допускать создания дополнительной нагрузки по представлению отчетности, которая может препятствовать представлению данных Государствами-Членами.</w:t>
      </w:r>
    </w:p>
    <w:p w14:paraId="2F76B709" w14:textId="55F841CB" w:rsidR="00C15C25" w:rsidRPr="00FD65C9" w:rsidRDefault="00C15C25" w:rsidP="00055F87">
      <w:pPr>
        <w:spacing w:after="120"/>
      </w:pPr>
      <w:r w:rsidRPr="00FD65C9">
        <w:t xml:space="preserve">КГРЭ приняла к сведению Документ 34(Rev.3) и </w:t>
      </w:r>
      <w:r w:rsidR="00636C72" w:rsidRPr="00FD65C9">
        <w:t>приняла решение о том, чтобы</w:t>
      </w:r>
      <w:r w:rsidRPr="00FD65C9">
        <w:t xml:space="preserve"> собрать и свести воедино замечания Государств-Членов</w:t>
      </w:r>
      <w:r w:rsidR="00636C72" w:rsidRPr="00FD65C9">
        <w:t xml:space="preserve"> в целях представления </w:t>
      </w:r>
      <w:r w:rsidRPr="00FD65C9">
        <w:t>доработанны</w:t>
      </w:r>
      <w:r w:rsidR="00636C72" w:rsidRPr="00FD65C9">
        <w:t>х</w:t>
      </w:r>
      <w:r w:rsidRPr="00FD65C9">
        <w:t xml:space="preserve"> предложени</w:t>
      </w:r>
      <w:r w:rsidR="00636C72" w:rsidRPr="00FD65C9">
        <w:t>й</w:t>
      </w:r>
      <w:r w:rsidRPr="00FD65C9">
        <w:t xml:space="preserve"> соответствующим группам экспертов для рассмотрения на их следующих собраниях.</w:t>
      </w:r>
    </w:p>
    <w:tbl>
      <w:tblPr>
        <w:tblStyle w:val="TableGrid"/>
        <w:tblW w:w="0" w:type="auto"/>
        <w:tblLayout w:type="fixed"/>
        <w:tblLook w:val="04A0" w:firstRow="1" w:lastRow="0" w:firstColumn="1" w:lastColumn="0" w:noHBand="0" w:noVBand="1"/>
      </w:tblPr>
      <w:tblGrid>
        <w:gridCol w:w="9629"/>
      </w:tblGrid>
      <w:tr w:rsidR="00C15C25" w:rsidRPr="00FD65C9" w14:paraId="785690CE" w14:textId="77777777" w:rsidTr="008C5330">
        <w:tc>
          <w:tcPr>
            <w:tcW w:w="9629" w:type="dxa"/>
          </w:tcPr>
          <w:p w14:paraId="78588E43" w14:textId="0039CA5B" w:rsidR="00C15C25" w:rsidRPr="00FD65C9" w:rsidRDefault="00C15C25" w:rsidP="008C5330">
            <w:pPr>
              <w:spacing w:after="120"/>
            </w:pPr>
            <w:r w:rsidRPr="00FD65C9">
              <w:rPr>
                <w:color w:val="000000"/>
              </w:rPr>
              <w:t>КГРЭ приняла к сведению вклад по предлагаемым новым положениям в рамках Резолюции 8 ВКРЭ и пересмотру круга ведения EGTI/EGH, который был представлен только для замечаний. Председатель поблагодарила за этот вклад и подтвердила, что на данном этапе никакого решения КГРЭ не требуется, предложив представлять дополнительные комментарии и замечания для содействия совершенствованию мандата групп экспертов.</w:t>
            </w:r>
          </w:p>
        </w:tc>
      </w:tr>
    </w:tbl>
    <w:p w14:paraId="2BFE2167" w14:textId="289E1D56" w:rsidR="00C15C25" w:rsidRPr="004622E8" w:rsidRDefault="00C15C25" w:rsidP="00055F87">
      <w:pPr>
        <w:pStyle w:val="Headingb"/>
        <w:rPr>
          <w:rFonts w:cstheme="minorBidi"/>
          <w:lang w:val="ru-RU"/>
        </w:rPr>
      </w:pPr>
      <w:r w:rsidRPr="004622E8">
        <w:rPr>
          <w:lang w:val="ru-RU"/>
        </w:rPr>
        <w:lastRenderedPageBreak/>
        <w:t xml:space="preserve">Документ </w:t>
      </w:r>
      <w:hyperlink r:id="rId38" w:tgtFrame="_blank" w:history="1">
        <w:r w:rsidR="00D402AE" w:rsidRPr="004622E8">
          <w:rPr>
            <w:rStyle w:val="Hyperlink"/>
            <w:rFonts w:cstheme="minorBidi"/>
            <w:bCs/>
            <w:lang w:val="ru-RU"/>
          </w:rPr>
          <w:t>46</w:t>
        </w:r>
      </w:hyperlink>
      <w:r w:rsidRPr="004622E8">
        <w:rPr>
          <w:lang w:val="ru-RU"/>
        </w:rPr>
        <w:t xml:space="preserve"> (Южно-Африканская Республика) </w:t>
      </w:r>
      <w:r w:rsidR="004622E8" w:rsidRPr="004622E8">
        <w:rPr>
          <w:rFonts w:cs="Calibri"/>
          <w:lang w:val="ru-RU"/>
        </w:rPr>
        <w:t>−</w:t>
      </w:r>
      <w:r w:rsidRPr="004622E8">
        <w:rPr>
          <w:lang w:val="ru-RU"/>
        </w:rPr>
        <w:t xml:space="preserve"> Финансовые последствия выполнения Резолюции </w:t>
      </w:r>
      <w:r w:rsidRPr="00FD65C9">
        <w:t>COM</w:t>
      </w:r>
      <w:r w:rsidRPr="004622E8">
        <w:rPr>
          <w:lang w:val="ru-RU"/>
        </w:rPr>
        <w:t>3/1 ВКРЭ об усилении роли региональных отделений МСЭ в ускорении цифровой трансформации и использовании партнерств</w:t>
      </w:r>
      <w:hyperlink r:id="rId39" w:tgtFrame="_blank" w:history="1"/>
    </w:p>
    <w:p w14:paraId="4F543BEB" w14:textId="77777777" w:rsidR="00C15C25" w:rsidRPr="00FD65C9" w:rsidRDefault="00C15C25" w:rsidP="00055F87">
      <w:r w:rsidRPr="00FD65C9">
        <w:t>КГРЭ обсудила Документ 46, представленный Южно-Африканской Республикой, в котором обращается внимание на финансовые последствия выполнения Резолюции COM3/1, принятой на ВКРЭ-25, в частности в том, что касается усиления роли региональных отделений МСЭ в ускорении цифровой трансформации и использовании партнерств на страновом и региональном уровнях.</w:t>
      </w:r>
    </w:p>
    <w:p w14:paraId="6D8B757E" w14:textId="246516F7" w:rsidR="00C15C25" w:rsidRPr="00FD65C9" w:rsidRDefault="00C15C25" w:rsidP="00055F87">
      <w:r w:rsidRPr="00FD65C9">
        <w:t>В ходе обсуждения было подчеркнуто, что Резолюция COM3/1, наряду с другими решениями ВКРЭ</w:t>
      </w:r>
      <w:r w:rsidR="003823C9">
        <w:noBreakHyphen/>
      </w:r>
      <w:r w:rsidRPr="00FD65C9">
        <w:t>25, расширила ожидания</w:t>
      </w:r>
      <w:r w:rsidR="004B3A02">
        <w:t xml:space="preserve"> </w:t>
      </w:r>
      <w:r w:rsidR="004B3A02" w:rsidRPr="004B3A02">
        <w:t>в отношении деятельности</w:t>
      </w:r>
      <w:r w:rsidR="004B3A02">
        <w:t xml:space="preserve"> </w:t>
      </w:r>
      <w:r w:rsidRPr="00FD65C9">
        <w:t>региональны</w:t>
      </w:r>
      <w:r w:rsidR="004B3A02">
        <w:t>х</w:t>
      </w:r>
      <w:r w:rsidRPr="00FD65C9">
        <w:t xml:space="preserve"> отделени</w:t>
      </w:r>
      <w:r w:rsidR="004B3A02">
        <w:t>й</w:t>
      </w:r>
      <w:r w:rsidRPr="00FD65C9">
        <w:t xml:space="preserve"> МСЭ, включая </w:t>
      </w:r>
      <w:r w:rsidR="00083FDC">
        <w:t>более активное</w:t>
      </w:r>
      <w:r w:rsidRPr="00FD65C9">
        <w:t xml:space="preserve"> взаимодействи</w:t>
      </w:r>
      <w:r w:rsidR="00083FDC">
        <w:t>е</w:t>
      </w:r>
      <w:r w:rsidRPr="00FD65C9">
        <w:t xml:space="preserve"> с Государствами-Членами, поддержку осуществляемой по инициативе стран цифровой трансформации, создание партнерств и реализацию региональных инициатив. Делегации отметили, что, хотя эти мандаты получили широкую поддержку и были сочтены своевременными, они были приняты без </w:t>
      </w:r>
      <w:r w:rsidR="001F51AD" w:rsidRPr="00FD65C9">
        <w:t>выделения каких-либо явных или целевых дополнительных ресурсов</w:t>
      </w:r>
      <w:r w:rsidRPr="00FD65C9">
        <w:t>.</w:t>
      </w:r>
    </w:p>
    <w:p w14:paraId="1A275BC9" w14:textId="12F929CE" w:rsidR="00C15C25" w:rsidRPr="00FD65C9" w:rsidRDefault="00AB0505" w:rsidP="00055F87">
      <w:r w:rsidRPr="00FD65C9">
        <w:t>Несколько участников подчеркнули вытекающее из этого несоответствие между расширенным мандатом и имеющимися финансовыми и людскими ресурсами, предупредив, что без надлежащего финансирования осуществление рискует быть ограниченным, особенно в развивающихся регионах</w:t>
      </w:r>
      <w:r w:rsidR="00C15C25" w:rsidRPr="00FD65C9">
        <w:t xml:space="preserve">. </w:t>
      </w:r>
      <w:r w:rsidRPr="00FD65C9">
        <w:t>Делегаты отмечали ключевой урок, извлеченный из предыдущих циклов ВКРЭ: важность каталитического или начального финансирования для того, чтобы региональные отделения могли преобразовывать мандаты конференций в конкретные результаты на местах</w:t>
      </w:r>
      <w:r w:rsidR="00C15C25" w:rsidRPr="00FD65C9">
        <w:t>.</w:t>
      </w:r>
    </w:p>
    <w:p w14:paraId="72F8EEFB" w14:textId="419F68A3" w:rsidR="00C15C25" w:rsidRPr="00FD65C9" w:rsidRDefault="00C15C25" w:rsidP="00055F87">
      <w:r w:rsidRPr="00FD65C9">
        <w:t xml:space="preserve">В то же время некоторые делегации подчеркнули необходимость проведения четкого разграничения между запросами на финансирование на уровне Совета и более широкими институциональными или процедурными корректировками в рамках БРЭ, подчеркнув, что любое переданное Совету предложение должно быть точным, целенаправленным и соответствующим согласованным структурам финансового планирования. </w:t>
      </w:r>
      <w:r w:rsidR="00AB0505" w:rsidRPr="00FD65C9">
        <w:t>Делегаты также выражали</w:t>
      </w:r>
      <w:r w:rsidRPr="00FD65C9">
        <w:t xml:space="preserve"> обеспокоенность по поводу недопущения дублирования существующих запросов на финансирование, связанных с региональными инициативами.</w:t>
      </w:r>
    </w:p>
    <w:p w14:paraId="52F4FF87" w14:textId="77777777" w:rsidR="00C15C25" w:rsidRPr="00FD65C9" w:rsidRDefault="00C15C25" w:rsidP="00055F87">
      <w:pPr>
        <w:spacing w:after="120"/>
      </w:pPr>
      <w:r w:rsidRPr="00FD65C9">
        <w:t>КГРЭ приняла к сведению Документ 46 и пояснения, представленные в ходе обсуждения. Участники сошлись во мнении, что необходимо отразить поднятые вопросы, обеспечивая при этом, чтобы любая ссылка на Резолюцию COM3/1 в итоговых документах КГРЭ точно отражала тот факт, что в документе освещаются вопросы, требующие рассмотрения, а не подразумевается утверждение новых механизмов финансирования. Было решено, что суть обсуждения должна быть надлежащим образом отражена в кратком обзоре выводов и соответствующих заявлениях о взаимодействии для информации и рассмотрения Советом.</w:t>
      </w:r>
    </w:p>
    <w:tbl>
      <w:tblPr>
        <w:tblStyle w:val="TableGrid"/>
        <w:tblW w:w="0" w:type="auto"/>
        <w:tblLayout w:type="fixed"/>
        <w:tblLook w:val="04A0" w:firstRow="1" w:lastRow="0" w:firstColumn="1" w:lastColumn="0" w:noHBand="0" w:noVBand="1"/>
      </w:tblPr>
      <w:tblGrid>
        <w:gridCol w:w="9629"/>
      </w:tblGrid>
      <w:tr w:rsidR="00C15C25" w:rsidRPr="00FD65C9" w14:paraId="268A3F95" w14:textId="77777777" w:rsidTr="008C5330">
        <w:tc>
          <w:tcPr>
            <w:tcW w:w="9629" w:type="dxa"/>
          </w:tcPr>
          <w:p w14:paraId="1BFBD0E9" w14:textId="43F741E8" w:rsidR="00C15C25" w:rsidRPr="00FD65C9" w:rsidRDefault="00C15C25" w:rsidP="008C5330">
            <w:pPr>
              <w:spacing w:after="120"/>
              <w:rPr>
                <w:szCs w:val="24"/>
              </w:rPr>
            </w:pPr>
            <w:r w:rsidRPr="00FD65C9">
              <w:rPr>
                <w:color w:val="000000"/>
              </w:rPr>
              <w:t xml:space="preserve">КГРЭ приняла к сведению Документ 46, представленный Южно-Африканской Республикой, и признала поднятые вопросы, касающиеся несоответствия между расширенными мандатами и имеющимися ресурсами. КГРЭ признала обеспокоенность по поводу того, что без адекватного каталитического финансирования и стимулирующих механизмов эффективное выполнение новых мандатов, особенно на региональном и страновом уровнях, может быть ограничено, и приняла к сведению необходимость дальнейшего рассмотрения этих вопросов в контексте будущих </w:t>
            </w:r>
            <w:r w:rsidR="000917CC" w:rsidRPr="00FD65C9">
              <w:rPr>
                <w:color w:val="000000"/>
              </w:rPr>
              <w:t>дискуссий</w:t>
            </w:r>
            <w:r w:rsidRPr="00FD65C9">
              <w:rPr>
                <w:color w:val="000000"/>
              </w:rPr>
              <w:t xml:space="preserve"> </w:t>
            </w:r>
            <w:r w:rsidR="000917CC" w:rsidRPr="00FD65C9">
              <w:rPr>
                <w:color w:val="000000"/>
              </w:rPr>
              <w:t>по</w:t>
            </w:r>
            <w:r w:rsidRPr="00FD65C9">
              <w:rPr>
                <w:color w:val="000000"/>
              </w:rPr>
              <w:t xml:space="preserve"> финансировани</w:t>
            </w:r>
            <w:r w:rsidR="000917CC" w:rsidRPr="00FD65C9">
              <w:rPr>
                <w:color w:val="000000"/>
              </w:rPr>
              <w:t>ю</w:t>
            </w:r>
            <w:r w:rsidRPr="00FD65C9">
              <w:rPr>
                <w:color w:val="000000"/>
              </w:rPr>
              <w:t xml:space="preserve"> и </w:t>
            </w:r>
            <w:r w:rsidR="000917CC" w:rsidRPr="00FD65C9">
              <w:rPr>
                <w:color w:val="000000"/>
              </w:rPr>
              <w:t>выполнению мандатов</w:t>
            </w:r>
            <w:r w:rsidRPr="00FD65C9">
              <w:rPr>
                <w:color w:val="000000"/>
              </w:rPr>
              <w:t>.</w:t>
            </w:r>
          </w:p>
        </w:tc>
      </w:tr>
    </w:tbl>
    <w:p w14:paraId="20B5EECE" w14:textId="3D1C8872" w:rsidR="00C15C25" w:rsidRPr="00FD65C9" w:rsidRDefault="00822C09" w:rsidP="003823C9">
      <w:pPr>
        <w:pStyle w:val="Heading1"/>
        <w:keepLines w:val="0"/>
      </w:pPr>
      <w:r w:rsidRPr="00822C09">
        <w:lastRenderedPageBreak/>
        <w:t>7</w:t>
      </w:r>
      <w:r w:rsidRPr="00822C09">
        <w:tab/>
      </w:r>
      <w:r w:rsidR="00083FDC" w:rsidRPr="00822C09">
        <w:t>Мероприятия</w:t>
      </w:r>
      <w:r w:rsidR="00083FDC">
        <w:rPr>
          <w:bCs/>
        </w:rPr>
        <w:t xml:space="preserve"> по п</w:t>
      </w:r>
      <w:r w:rsidR="00C15C25" w:rsidRPr="00FD65C9">
        <w:rPr>
          <w:bCs/>
        </w:rPr>
        <w:t>одготовк</w:t>
      </w:r>
      <w:r w:rsidR="00083FDC">
        <w:rPr>
          <w:bCs/>
        </w:rPr>
        <w:t>е</w:t>
      </w:r>
      <w:r w:rsidR="00C15C25" w:rsidRPr="00FD65C9">
        <w:rPr>
          <w:bCs/>
        </w:rPr>
        <w:t xml:space="preserve"> к ПК-26, имеющ</w:t>
      </w:r>
      <w:r w:rsidR="00083FDC">
        <w:rPr>
          <w:bCs/>
        </w:rPr>
        <w:t>ие</w:t>
      </w:r>
      <w:r w:rsidR="00C15C25" w:rsidRPr="00FD65C9">
        <w:rPr>
          <w:bCs/>
        </w:rPr>
        <w:t xml:space="preserve"> отношение к работе МСЭ</w:t>
      </w:r>
      <w:r w:rsidRPr="00822C09">
        <w:rPr>
          <w:bCs/>
        </w:rPr>
        <w:noBreakHyphen/>
      </w:r>
      <w:r w:rsidR="00C15C25" w:rsidRPr="00FD65C9">
        <w:rPr>
          <w:bCs/>
        </w:rPr>
        <w:t>D</w:t>
      </w:r>
    </w:p>
    <w:p w14:paraId="7E9706BC" w14:textId="7F151F74" w:rsidR="00C15C25" w:rsidRPr="003823C9" w:rsidRDefault="00C15C25" w:rsidP="003823C9">
      <w:pPr>
        <w:pStyle w:val="Headingb"/>
        <w:keepNext/>
        <w:rPr>
          <w:rFonts w:cstheme="minorBidi"/>
          <w:lang w:val="ru-RU"/>
        </w:rPr>
      </w:pPr>
      <w:r w:rsidRPr="003823C9">
        <w:rPr>
          <w:lang w:val="ru-RU"/>
        </w:rPr>
        <w:t xml:space="preserve">Документ </w:t>
      </w:r>
      <w:hyperlink r:id="rId40" w:history="1">
        <w:r w:rsidR="00D402AE" w:rsidRPr="003823C9">
          <w:rPr>
            <w:rStyle w:val="Hyperlink"/>
            <w:rFonts w:cstheme="minorBidi"/>
            <w:bCs/>
            <w:lang w:val="ru-RU"/>
          </w:rPr>
          <w:t>39</w:t>
        </w:r>
      </w:hyperlink>
      <w:r w:rsidRPr="003823C9">
        <w:rPr>
          <w:lang w:val="ru-RU"/>
        </w:rPr>
        <w:t xml:space="preserve"> (Вьетнам) </w:t>
      </w:r>
      <w:r w:rsidR="003823C9" w:rsidRPr="003823C9">
        <w:rPr>
          <w:rFonts w:cs="Calibri"/>
          <w:lang w:val="ru-RU"/>
        </w:rPr>
        <w:t>−</w:t>
      </w:r>
      <w:r w:rsidRPr="003823C9">
        <w:rPr>
          <w:lang w:val="ru-RU"/>
        </w:rPr>
        <w:t xml:space="preserve"> Усиление поддержки развивающихся стран в противодействии рискам и решению проблем, связанных с появляющимися технологиями и искусственным интеллектом</w:t>
      </w:r>
      <w:hyperlink r:id="rId41" w:history="1"/>
    </w:p>
    <w:p w14:paraId="02EA5974" w14:textId="26CA7438" w:rsidR="00C15C25" w:rsidRPr="00FD65C9" w:rsidRDefault="00C15C25" w:rsidP="00055F87">
      <w:r w:rsidRPr="00FD65C9">
        <w:t xml:space="preserve">КГРЭ обсудила представленный Вьетнамом Документ 39, в котором предлагается усилить поддержку МСЭ-D развивающимся странам в понимании и решении задач в области политики, </w:t>
      </w:r>
      <w:r w:rsidR="005F4E8F" w:rsidRPr="00FD65C9">
        <w:t>регулирования</w:t>
      </w:r>
      <w:r w:rsidRPr="00FD65C9">
        <w:t xml:space="preserve"> и управления рисками, связанных с появляющимися технологиями, включая искусственный интеллект (ИИ). </w:t>
      </w:r>
      <w:r w:rsidR="00423E6E" w:rsidRPr="00FD65C9">
        <w:t>При представлении документа напоминалось</w:t>
      </w:r>
      <w:r w:rsidRPr="00FD65C9">
        <w:t xml:space="preserve"> о том, что ВКРЭ-25 подчеркнула важность ориентированной на человека и открытой для всех цифровой трансформации, </w:t>
      </w:r>
      <w:r w:rsidR="00423E6E" w:rsidRPr="00FD65C9">
        <w:t>признав</w:t>
      </w:r>
      <w:r w:rsidRPr="00FD65C9">
        <w:t xml:space="preserve"> при этом, что появляющиеся технологии создают как значительные возможности для развития, так и новые риски.</w:t>
      </w:r>
    </w:p>
    <w:p w14:paraId="7376740E" w14:textId="19CF5D9C" w:rsidR="00C15C25" w:rsidRPr="00FD65C9" w:rsidRDefault="00C15C25" w:rsidP="00055F87">
      <w:r w:rsidRPr="00FD65C9">
        <w:t xml:space="preserve">В ходе дискуссии подчеркивалось, что многие развивающиеся страны сталкиваются с ограничениями институционального характера и потенциала при оценке воздействия появляющихся технологий и ИИ и управлении ими. Делегации отметили актуальность этого предложения для </w:t>
      </w:r>
      <w:r w:rsidR="00423E6E" w:rsidRPr="00FD65C9">
        <w:t>решений</w:t>
      </w:r>
      <w:r w:rsidRPr="00FD65C9">
        <w:t xml:space="preserve"> ВКРЭ-25, в том числе </w:t>
      </w:r>
      <w:r w:rsidR="00423E6E" w:rsidRPr="00FD65C9">
        <w:t>Р</w:t>
      </w:r>
      <w:r w:rsidRPr="00FD65C9">
        <w:t xml:space="preserve">езолюций о цифровой трансформации и </w:t>
      </w:r>
      <w:r w:rsidR="00423E6E" w:rsidRPr="00FD65C9">
        <w:t>появляющихся</w:t>
      </w:r>
      <w:r w:rsidRPr="00FD65C9">
        <w:t xml:space="preserve"> технологиях, и приветствовали его </w:t>
      </w:r>
      <w:r w:rsidR="00423E6E" w:rsidRPr="00FD65C9">
        <w:t>ориентированность</w:t>
      </w:r>
      <w:r w:rsidRPr="00FD65C9">
        <w:t xml:space="preserve"> на практическую реализацию.</w:t>
      </w:r>
    </w:p>
    <w:p w14:paraId="224F30C8" w14:textId="252E2B87" w:rsidR="00C15C25" w:rsidRPr="00FD65C9" w:rsidRDefault="00C15C25" w:rsidP="00055F87">
      <w:r w:rsidRPr="00FD65C9">
        <w:t xml:space="preserve">Участники поддержали предложенные </w:t>
      </w:r>
      <w:r w:rsidR="00423E6E" w:rsidRPr="00FD65C9">
        <w:t>области</w:t>
      </w:r>
      <w:r w:rsidRPr="00FD65C9">
        <w:t xml:space="preserve"> деятельности, а именно:</w:t>
      </w:r>
    </w:p>
    <w:p w14:paraId="530F1E14" w14:textId="66F5ACAC" w:rsidR="00C15C25" w:rsidRPr="00FD65C9" w:rsidRDefault="00055F87" w:rsidP="00055F87">
      <w:pPr>
        <w:pStyle w:val="enumlev1"/>
      </w:pPr>
      <w:r>
        <w:t>•</w:t>
      </w:r>
      <w:r w:rsidRPr="00055F87">
        <w:tab/>
      </w:r>
      <w:r w:rsidR="00C15C25" w:rsidRPr="00FD65C9">
        <w:t xml:space="preserve">руководящие указания по вопросам политики и регулирования для оказания помощи правительствам в оценке рисков и разработке соответствующих структур </w:t>
      </w:r>
      <w:r w:rsidR="00F95B5F" w:rsidRPr="00FD65C9">
        <w:t>регулирования</w:t>
      </w:r>
      <w:r w:rsidR="00C15C25" w:rsidRPr="00FD65C9">
        <w:t xml:space="preserve"> для ИИ и появляющихся технологий;</w:t>
      </w:r>
    </w:p>
    <w:p w14:paraId="0601D2AA" w14:textId="07DB887D" w:rsidR="00C15C25" w:rsidRPr="00FD65C9" w:rsidRDefault="00055F87" w:rsidP="00055F87">
      <w:pPr>
        <w:pStyle w:val="enumlev1"/>
      </w:pPr>
      <w:r>
        <w:t>•</w:t>
      </w:r>
      <w:r w:rsidRPr="00055F87">
        <w:tab/>
      </w:r>
      <w:r w:rsidR="00C15C25" w:rsidRPr="00FD65C9">
        <w:t xml:space="preserve">мероприятия по созданию потенциала для директивных и регуляторных органов в области ответственного управления ИИ и </w:t>
      </w:r>
      <w:r w:rsidR="00F529BB" w:rsidRPr="00FD65C9">
        <w:t>появляющимися</w:t>
      </w:r>
      <w:r w:rsidR="00C15C25" w:rsidRPr="00FD65C9">
        <w:t xml:space="preserve"> технологиями; и</w:t>
      </w:r>
    </w:p>
    <w:p w14:paraId="0EFB7EBB" w14:textId="0C0FD564" w:rsidR="00C15C25" w:rsidRPr="00FD65C9" w:rsidRDefault="00055F87" w:rsidP="00055F87">
      <w:pPr>
        <w:pStyle w:val="enumlev1"/>
      </w:pPr>
      <w:r>
        <w:t>•</w:t>
      </w:r>
      <w:r w:rsidRPr="00055F87">
        <w:tab/>
      </w:r>
      <w:r w:rsidR="00C15C25" w:rsidRPr="00FD65C9">
        <w:t>совместное использование знаний и сотрудничество, включая обмен национальным опытом и передовой практикой.</w:t>
      </w:r>
    </w:p>
    <w:p w14:paraId="61397D89" w14:textId="77777777" w:rsidR="00C15C25" w:rsidRPr="00FD65C9" w:rsidRDefault="00C15C25" w:rsidP="00055F87">
      <w:r w:rsidRPr="00FD65C9">
        <w:t>БРЭ подтвердило, что эти предложения соответствуют руководящим указаниям ВКРЭ-25, включая новые резолюции, в которых подчеркивается помощь в разработке политики, создании потенциала и обмене знаниями. Было отмечено, что МСЭ-D уже проводит работу по регуляторному анализу, технической помощи и профессиональной подготовке, связанным с ИИ, и что существующие платформы, включая исследовательские комиссии МСЭ-D, могут способствовать дальнейшему обмену опытом.</w:t>
      </w:r>
    </w:p>
    <w:p w14:paraId="7591D40C" w14:textId="77777777" w:rsidR="00C15C25" w:rsidRPr="00FD65C9" w:rsidRDefault="00C15C25" w:rsidP="00055F87">
      <w:pPr>
        <w:spacing w:after="120"/>
      </w:pPr>
      <w:r w:rsidRPr="00FD65C9">
        <w:t>КГРЭ приняла к сведению Документ 39 и приветствовала его как конструктивный вклад в соответствии с приоритетами ВКРЭ-25, призвав продолжить рассмотрение ее предложений в рамках деятельности МСЭ-D и соответствующей работы исследовательских комиссий.</w:t>
      </w:r>
    </w:p>
    <w:tbl>
      <w:tblPr>
        <w:tblStyle w:val="TableGrid"/>
        <w:tblW w:w="0" w:type="auto"/>
        <w:tblLayout w:type="fixed"/>
        <w:tblLook w:val="04A0" w:firstRow="1" w:lastRow="0" w:firstColumn="1" w:lastColumn="0" w:noHBand="0" w:noVBand="1"/>
      </w:tblPr>
      <w:tblGrid>
        <w:gridCol w:w="9629"/>
      </w:tblGrid>
      <w:tr w:rsidR="00C15C25" w:rsidRPr="00FD65C9" w14:paraId="44EDEB95" w14:textId="77777777" w:rsidTr="008C5330">
        <w:tc>
          <w:tcPr>
            <w:tcW w:w="9629" w:type="dxa"/>
          </w:tcPr>
          <w:p w14:paraId="7680C40C" w14:textId="0F21F3FB" w:rsidR="00C15C25" w:rsidRPr="00FD65C9" w:rsidRDefault="00C15C25" w:rsidP="008C5330">
            <w:pPr>
              <w:tabs>
                <w:tab w:val="left" w:pos="567"/>
                <w:tab w:val="left" w:pos="1701"/>
              </w:tabs>
              <w:spacing w:after="120"/>
              <w:textAlignment w:val="auto"/>
            </w:pPr>
            <w:r w:rsidRPr="00FD65C9">
              <w:rPr>
                <w:color w:val="000000"/>
              </w:rPr>
              <w:t xml:space="preserve">КГРЭ приняла к сведению Документ 39 и поблагодарила Вьетнам за его вклад. КГРЭ отметила заинтересованность развивающихся стран в использовании преимуществ появляющихся технологий при одновременном управлении потенциальными рисками, принимая во внимание национальные приоритеты и различные уровни цифрового развития. КГРЭ предложила Государствам-Членам </w:t>
            </w:r>
            <w:r w:rsidR="00F95B5F" w:rsidRPr="00FD65C9">
              <w:rPr>
                <w:color w:val="000000"/>
              </w:rPr>
              <w:t>представить</w:t>
            </w:r>
            <w:r w:rsidRPr="00FD65C9">
              <w:rPr>
                <w:color w:val="000000"/>
              </w:rPr>
              <w:t xml:space="preserve"> соответствующим исследовательским комиссиям МСЭ-D вклады, относящиеся к этой теме, для обмена передовым опытом и результатами исследований конкретных ситуаций, в зависимости от случая</w:t>
            </w:r>
            <w:r w:rsidR="009D163B" w:rsidRPr="00FD65C9">
              <w:rPr>
                <w:color w:val="000000"/>
              </w:rPr>
              <w:t xml:space="preserve">, </w:t>
            </w:r>
            <w:r w:rsidR="00F95B5F" w:rsidRPr="00FD65C9">
              <w:rPr>
                <w:color w:val="000000"/>
              </w:rPr>
              <w:t>в рамках мандатов этих комиссий</w:t>
            </w:r>
            <w:r w:rsidRPr="00FD65C9">
              <w:rPr>
                <w:color w:val="000000"/>
              </w:rPr>
              <w:t>. КГРЭ также приняла к сведению текущую работу БРЭ в этой области и подчеркнула необходимость согласования всей деятельности по созданию потенциала и поддержке политики с установленным мандатом МСЭ в области электросвязи и ИКТ.</w:t>
            </w:r>
          </w:p>
        </w:tc>
      </w:tr>
    </w:tbl>
    <w:p w14:paraId="76738A44" w14:textId="37A72ED5" w:rsidR="00C15C25" w:rsidRPr="00565128" w:rsidRDefault="00C15C25" w:rsidP="00055F87">
      <w:pPr>
        <w:pStyle w:val="Headingb"/>
        <w:rPr>
          <w:rFonts w:cstheme="minorBidi"/>
          <w:bCs/>
          <w:lang w:val="ru-RU"/>
        </w:rPr>
      </w:pPr>
      <w:r w:rsidRPr="00565128">
        <w:rPr>
          <w:bCs/>
          <w:lang w:val="ru-RU"/>
        </w:rPr>
        <w:t xml:space="preserve">Документ </w:t>
      </w:r>
      <w:hyperlink r:id="rId42" w:history="1">
        <w:r w:rsidR="00D402AE" w:rsidRPr="00565128">
          <w:rPr>
            <w:rStyle w:val="Hyperlink"/>
            <w:rFonts w:cstheme="minorBidi"/>
            <w:bCs/>
            <w:lang w:val="ru-RU"/>
          </w:rPr>
          <w:t>40</w:t>
        </w:r>
      </w:hyperlink>
      <w:r w:rsidRPr="00565128">
        <w:rPr>
          <w:bCs/>
          <w:lang w:val="ru-RU"/>
        </w:rPr>
        <w:t xml:space="preserve"> (Вьетнам) – Поддержка развивающихся стран в ускорении перехода к </w:t>
      </w:r>
      <w:r w:rsidRPr="00FD65C9">
        <w:rPr>
          <w:bCs/>
        </w:rPr>
        <w:t>IPv</w:t>
      </w:r>
      <w:r w:rsidRPr="00565128">
        <w:rPr>
          <w:bCs/>
          <w:lang w:val="ru-RU"/>
        </w:rPr>
        <w:t>6</w:t>
      </w:r>
      <w:hyperlink r:id="rId43" w:history="1"/>
    </w:p>
    <w:p w14:paraId="498C5C6C" w14:textId="7AFD470D" w:rsidR="00C15C25" w:rsidRPr="00FD65C9" w:rsidRDefault="00C15C25" w:rsidP="00055F87">
      <w:r w:rsidRPr="00FD65C9">
        <w:t xml:space="preserve">КГРЭ обсудила Документ 40, представленный Вьетнамом, в котором подчеркивается важность ускорения перехода к IPv6 как </w:t>
      </w:r>
      <w:r w:rsidR="00F95B5F" w:rsidRPr="00FD65C9">
        <w:t>ключевого условия</w:t>
      </w:r>
      <w:r w:rsidRPr="00FD65C9">
        <w:t xml:space="preserve"> устойчивого роста интернета и создания </w:t>
      </w:r>
      <w:r w:rsidR="00F95B5F" w:rsidRPr="00FD65C9">
        <w:t>основы</w:t>
      </w:r>
      <w:r w:rsidRPr="00FD65C9">
        <w:t xml:space="preserve"> </w:t>
      </w:r>
      <w:r w:rsidRPr="00FD65C9">
        <w:lastRenderedPageBreak/>
        <w:t xml:space="preserve">для появляющихся цифровых услуг и технологий. </w:t>
      </w:r>
      <w:r w:rsidR="00F95B5F" w:rsidRPr="00FD65C9">
        <w:t xml:space="preserve">В своем выступлении </w:t>
      </w:r>
      <w:r w:rsidR="00083FDC">
        <w:t>оратор</w:t>
      </w:r>
      <w:r w:rsidR="00F95B5F" w:rsidRPr="00FD65C9">
        <w:t xml:space="preserve"> напомнил</w:t>
      </w:r>
      <w:r w:rsidRPr="00FD65C9">
        <w:t>, что ВКРЭ</w:t>
      </w:r>
      <w:r w:rsidR="003823C9">
        <w:noBreakHyphen/>
      </w:r>
      <w:r w:rsidRPr="00FD65C9">
        <w:t xml:space="preserve">25 </w:t>
      </w:r>
      <w:r w:rsidR="00F035BF" w:rsidRPr="00FD65C9">
        <w:t>подчеркнула</w:t>
      </w:r>
      <w:r w:rsidRPr="00FD65C9">
        <w:t xml:space="preserve"> необходимость надежной, масштабируемой и перспективной цифровой инфраструктуры, а также отметил, что развертывание IPv6 остается неравномерным, особенно в развивающихся странах.</w:t>
      </w:r>
    </w:p>
    <w:p w14:paraId="28C26F88" w14:textId="0F063354" w:rsidR="00C15C25" w:rsidRPr="00FD65C9" w:rsidRDefault="00C15C25" w:rsidP="00055F87">
      <w:r w:rsidRPr="00FD65C9">
        <w:t xml:space="preserve">В ходе обсуждения было признано, что </w:t>
      </w:r>
      <w:r w:rsidR="00F035BF" w:rsidRPr="00FD65C9">
        <w:t xml:space="preserve">при переходе на технологию IPv6 </w:t>
      </w:r>
      <w:r w:rsidRPr="00FD65C9">
        <w:t xml:space="preserve">многие развивающиеся страны сталкиваются с </w:t>
      </w:r>
      <w:r w:rsidR="00F035BF" w:rsidRPr="00FD65C9">
        <w:t>политическими, техническими барьерами и барьерами, связанными с ограниченным потенциалом</w:t>
      </w:r>
      <w:r w:rsidRPr="00FD65C9">
        <w:t xml:space="preserve">, включая ограниченную осведомленность, недостаточное планирование </w:t>
      </w:r>
      <w:r w:rsidR="00FF2DF4" w:rsidRPr="00FD65C9">
        <w:t xml:space="preserve">на национальном уровне </w:t>
      </w:r>
      <w:r w:rsidRPr="00FD65C9">
        <w:t xml:space="preserve">и пробелы в навыках среди </w:t>
      </w:r>
      <w:r w:rsidR="00FF2DF4" w:rsidRPr="00FD65C9">
        <w:t xml:space="preserve">представителей </w:t>
      </w:r>
      <w:r w:rsidRPr="00FD65C9">
        <w:t>директивных и регуляторных органов и операторов. Делегации признали, что задержка с внедрением IPv6 может сдерживать инновации, расширение услуг и рост интернета в долгосрочной перспективе.</w:t>
      </w:r>
    </w:p>
    <w:p w14:paraId="463D7525" w14:textId="37C039F5" w:rsidR="00C15C25" w:rsidRPr="00FD65C9" w:rsidRDefault="00C15C25" w:rsidP="00055F87">
      <w:r w:rsidRPr="00FD65C9">
        <w:t xml:space="preserve">БРЭ подтвердило, что переход на IPv6 уже является одной из областей активной работы в МСЭ-D, проводимой в сотрудничестве с другими Секторами МСЭ, включая поддержку практического развертывания и разработку специальных инициатив по созданию потенциала в области IPv6 в некоторых регионах. </w:t>
      </w:r>
      <w:r w:rsidR="00FF2DF4" w:rsidRPr="00FD65C9">
        <w:t>Отмечалось</w:t>
      </w:r>
      <w:r w:rsidRPr="00FD65C9">
        <w:t>, что уроки, извлеченные из существующих инициатив, можно использовать для дальнейшей поддержки развивающихся стран.</w:t>
      </w:r>
    </w:p>
    <w:p w14:paraId="3EC3E3E2" w14:textId="72480179" w:rsidR="00C15C25" w:rsidRPr="00FD65C9" w:rsidRDefault="00FF2DF4" w:rsidP="00055F87">
      <w:pPr>
        <w:spacing w:after="120"/>
      </w:pPr>
      <w:r w:rsidRPr="00FD65C9">
        <w:t>КГРЭ приняла к сведению Документ 40 и приветствовала его как конструктивный вклад в соответствии с приоритетами ВКРЭ-25, призвав продолжить рассмотрение ее предложений в рамках программ МСЭ</w:t>
      </w:r>
      <w:r w:rsidRPr="00FD65C9">
        <w:noBreakHyphen/>
        <w:t>D и соответствующей деятельности исследовательских комиссий, с тем чтобы содействовать ускорению и всеохватности перехода на IPv6</w:t>
      </w:r>
      <w:r w:rsidR="00C15C25" w:rsidRPr="00FD65C9">
        <w:t>.</w:t>
      </w:r>
    </w:p>
    <w:tbl>
      <w:tblPr>
        <w:tblStyle w:val="TableGrid"/>
        <w:tblW w:w="0" w:type="auto"/>
        <w:tblLayout w:type="fixed"/>
        <w:tblLook w:val="04A0" w:firstRow="1" w:lastRow="0" w:firstColumn="1" w:lastColumn="0" w:noHBand="0" w:noVBand="1"/>
      </w:tblPr>
      <w:tblGrid>
        <w:gridCol w:w="9629"/>
      </w:tblGrid>
      <w:tr w:rsidR="00C15C25" w:rsidRPr="00FD65C9" w14:paraId="2D9246E8" w14:textId="77777777" w:rsidTr="008C5330">
        <w:tc>
          <w:tcPr>
            <w:tcW w:w="9629" w:type="dxa"/>
          </w:tcPr>
          <w:p w14:paraId="7C0A2DF7" w14:textId="619BB109" w:rsidR="00C15C25" w:rsidRPr="00FD65C9" w:rsidRDefault="00C15C25" w:rsidP="008C5330">
            <w:pPr>
              <w:spacing w:after="120"/>
              <w:rPr>
                <w:szCs w:val="24"/>
              </w:rPr>
            </w:pPr>
            <w:r w:rsidRPr="00FD65C9">
              <w:rPr>
                <w:color w:val="000000"/>
              </w:rPr>
              <w:t xml:space="preserve">КГРЭ приняла к сведению Документ 40 и признала важность ускорения перехода </w:t>
            </w:r>
            <w:r w:rsidR="00FF2DF4" w:rsidRPr="00FD65C9">
              <w:rPr>
                <w:color w:val="000000"/>
              </w:rPr>
              <w:t>на</w:t>
            </w:r>
            <w:r w:rsidRPr="00FD65C9">
              <w:rPr>
                <w:color w:val="000000"/>
              </w:rPr>
              <w:t xml:space="preserve"> IPv6 для дальнейшего </w:t>
            </w:r>
            <w:r w:rsidR="00FF2DF4" w:rsidRPr="00FD65C9">
              <w:rPr>
                <w:color w:val="000000"/>
              </w:rPr>
              <w:t>роста</w:t>
            </w:r>
            <w:r w:rsidRPr="00FD65C9">
              <w:rPr>
                <w:color w:val="000000"/>
              </w:rPr>
              <w:t xml:space="preserve"> интернета, в том числе в развивающихся странах. Делегации дали высокую оценку предпринимаемым МСЭ-D усилиям по созданию потенциала, повышению осведомленности и обмену опытом в области развертывания IPv6. КГРЭ призвала БРЭ принять этот вклад во внимание в рамках существующих программ, видов деятельности исследовательских комиссий и региональных инициатив в соответствии с решениями ВКРЭ-25 и Бакинским планом действий, избегая при этом дублирования и без принятия на данном этапе новых мандатов или действий.</w:t>
            </w:r>
          </w:p>
        </w:tc>
      </w:tr>
    </w:tbl>
    <w:p w14:paraId="5FB6F497" w14:textId="0647077A" w:rsidR="00C15C25" w:rsidRPr="00565128" w:rsidRDefault="00C15C25" w:rsidP="00055F87">
      <w:pPr>
        <w:pStyle w:val="Headingb"/>
        <w:rPr>
          <w:rFonts w:cstheme="minorBidi"/>
          <w:bCs/>
          <w:lang w:val="ru-RU"/>
        </w:rPr>
      </w:pPr>
      <w:r w:rsidRPr="00565128">
        <w:rPr>
          <w:bCs/>
          <w:lang w:val="ru-RU"/>
        </w:rPr>
        <w:t xml:space="preserve">Документ </w:t>
      </w:r>
      <w:hyperlink r:id="rId44" w:history="1">
        <w:r w:rsidR="00D402AE" w:rsidRPr="00565128">
          <w:rPr>
            <w:rStyle w:val="Hyperlink"/>
            <w:rFonts w:cstheme="minorBidi"/>
            <w:bCs/>
            <w:lang w:val="ru-RU"/>
          </w:rPr>
          <w:t>41</w:t>
        </w:r>
      </w:hyperlink>
      <w:r w:rsidRPr="00565128">
        <w:rPr>
          <w:bCs/>
          <w:lang w:val="ru-RU"/>
        </w:rPr>
        <w:t xml:space="preserve"> (Вьетнам) − Создание интегрированной цифровой инфраструктуры для цифровой трансформации</w:t>
      </w:r>
      <w:hyperlink r:id="rId45" w:history="1"/>
    </w:p>
    <w:p w14:paraId="08D23B8C" w14:textId="63742F6F" w:rsidR="00C15C25" w:rsidRPr="00FD65C9" w:rsidRDefault="00C15C25" w:rsidP="00055F87">
      <w:r w:rsidRPr="00FD65C9">
        <w:t xml:space="preserve">КГРЭ обсудила Документ 41, представленный Вьетнамом, в котором рассматривается необходимость перехода от </w:t>
      </w:r>
      <w:r w:rsidR="004450ED" w:rsidRPr="00FD65C9">
        <w:t>базовых</w:t>
      </w:r>
      <w:r w:rsidRPr="00FD65C9">
        <w:t xml:space="preserve"> возможност</w:t>
      </w:r>
      <w:r w:rsidR="004450ED" w:rsidRPr="00FD65C9">
        <w:t>ей</w:t>
      </w:r>
      <w:r w:rsidRPr="00FD65C9">
        <w:t xml:space="preserve"> установления соединений к </w:t>
      </w:r>
      <w:r w:rsidR="004450ED" w:rsidRPr="00FD65C9">
        <w:t>комплексной</w:t>
      </w:r>
      <w:r w:rsidRPr="00FD65C9">
        <w:t xml:space="preserve"> цифровой инфраструктуре, способной поддерживать межотраслевые цифровые услуги и более широкую цифровую трансформацию.</w:t>
      </w:r>
    </w:p>
    <w:p w14:paraId="0443128D" w14:textId="77777777" w:rsidR="00C15C25" w:rsidRPr="00FD65C9" w:rsidRDefault="00C15C25" w:rsidP="00055F87">
      <w:r w:rsidRPr="00FD65C9">
        <w:t>В ходе обсуждения отмечалось, что во многих развивающихся странах инфраструктура электросвязи существует, но не в полной мере используется для предоставления интегрированных цифровых услуг. В качестве основного ограничения определена фрагментация политических и регуляторных рамок в секторе электросвязи и других секторах, что усложняет развертывание конвергентных и многосекторальных цифровых услуг. Делегации также отметили, что стремительные технологические инновации зачастую не сопровождаются достаточно гибкими регуляторными процессами, что затрудняет тестирование и масштабирование новых услуг.</w:t>
      </w:r>
    </w:p>
    <w:p w14:paraId="1C2B508A" w14:textId="6DB023D7" w:rsidR="00C15C25" w:rsidRPr="00FD65C9" w:rsidRDefault="00C15C25" w:rsidP="00055F87">
      <w:r w:rsidRPr="00FD65C9">
        <w:t xml:space="preserve">Участники собрания подчеркнули важность практических мер по реализации, включая улучшение координации между регуляторными органами и использование </w:t>
      </w:r>
      <w:r w:rsidR="00083FDC">
        <w:t xml:space="preserve">механизмов </w:t>
      </w:r>
      <w:r w:rsidRPr="00FD65C9">
        <w:t>регуляторных "песочниц" для проведения экспериментов и постепенного масштабирования инновационных цифровых услуг. Подчеркивалась необходимость укрепления функциональной совместимости, в частности путем содействия развитию открытых интерфейсов и открытых API для обеспечения интеграции между системами и секторами.</w:t>
      </w:r>
    </w:p>
    <w:p w14:paraId="44BD8324" w14:textId="69F218AA" w:rsidR="00C15C25" w:rsidRPr="00FD65C9" w:rsidRDefault="004450ED" w:rsidP="00C15C25">
      <w:pPr>
        <w:tabs>
          <w:tab w:val="left" w:pos="567"/>
          <w:tab w:val="left" w:pos="1701"/>
        </w:tabs>
        <w:spacing w:after="120"/>
      </w:pPr>
      <w:r w:rsidRPr="00FD65C9">
        <w:lastRenderedPageBreak/>
        <w:t>Участники собрания приветствовали</w:t>
      </w:r>
      <w:r w:rsidR="00C15C25" w:rsidRPr="00FD65C9">
        <w:t xml:space="preserve"> предложения по активизации создания потенциала в области появляющихся технологий и новых моделей развертывания, а также </w:t>
      </w:r>
      <w:r w:rsidRPr="00FD65C9">
        <w:t>предоставлению поддержки в области</w:t>
      </w:r>
      <w:r w:rsidR="00C15C25" w:rsidRPr="00FD65C9">
        <w:t xml:space="preserve"> обмена практическими сценариями использования и национальным опытом. Делегации также подчеркнули значение сотрудничества в рамках МСЭ-D и с другими Секторами МСЭ для согласованного решения регуляторных и технических задач, а также проблем функциональной совместимости.</w:t>
      </w:r>
    </w:p>
    <w:p w14:paraId="355CE115" w14:textId="453E76D7" w:rsidR="00C15C25" w:rsidRPr="00FD65C9" w:rsidRDefault="004450ED" w:rsidP="00055F87">
      <w:pPr>
        <w:spacing w:after="120"/>
      </w:pPr>
      <w:r w:rsidRPr="00FD65C9">
        <w:t>КГРЭ приняла к сведению Документ 41 как актуальный и своевременный вклад, соответствующий приоритетам ВКРЭ-25 в области цифровой трансформации, и приветствовала продолжение рассмотрения его предложений в рамках деятельности МСЭ-D и соответствующей работы исследовательских комиссий</w:t>
      </w:r>
      <w:r w:rsidR="00C15C25" w:rsidRPr="00FD65C9">
        <w:t>.</w:t>
      </w:r>
    </w:p>
    <w:tbl>
      <w:tblPr>
        <w:tblStyle w:val="TableGrid"/>
        <w:tblW w:w="0" w:type="auto"/>
        <w:tblLayout w:type="fixed"/>
        <w:tblLook w:val="04A0" w:firstRow="1" w:lastRow="0" w:firstColumn="1" w:lastColumn="0" w:noHBand="0" w:noVBand="1"/>
      </w:tblPr>
      <w:tblGrid>
        <w:gridCol w:w="9629"/>
      </w:tblGrid>
      <w:tr w:rsidR="00C15C25" w:rsidRPr="00CF0258" w14:paraId="25F7A319" w14:textId="77777777" w:rsidTr="008C5330">
        <w:tc>
          <w:tcPr>
            <w:tcW w:w="9629" w:type="dxa"/>
          </w:tcPr>
          <w:p w14:paraId="4733B6C6" w14:textId="5D3DC3CF" w:rsidR="00C15C25" w:rsidRPr="009B4F84" w:rsidRDefault="00C15C25" w:rsidP="008C5330">
            <w:pPr>
              <w:spacing w:after="120"/>
              <w:rPr>
                <w:szCs w:val="24"/>
              </w:rPr>
            </w:pPr>
            <w:r w:rsidRPr="00FD65C9">
              <w:rPr>
                <w:color w:val="000000"/>
              </w:rPr>
              <w:t>КГРЭ приняла к сведению Документ 41 и поблагодарила Вьетнам за его вклад. КГРЭ отметила важность содействия функциональной совместимости, стандартизации и межсекторальной координации для реализации потенциала цифровой трансформации</w:t>
            </w:r>
            <w:r w:rsidR="00083FDC">
              <w:rPr>
                <w:color w:val="000000"/>
              </w:rPr>
              <w:t xml:space="preserve"> в полном объеме</w:t>
            </w:r>
            <w:r w:rsidRPr="00FD65C9">
              <w:rPr>
                <w:color w:val="000000"/>
              </w:rPr>
              <w:t>.</w:t>
            </w:r>
          </w:p>
        </w:tc>
      </w:tr>
    </w:tbl>
    <w:p w14:paraId="3A2C2EE8" w14:textId="77777777" w:rsidR="00565128" w:rsidRPr="00937AE8" w:rsidRDefault="00565128" w:rsidP="00937AE8">
      <w:pPr>
        <w:pStyle w:val="Headingb"/>
        <w:rPr>
          <w:rFonts w:cstheme="minorBidi"/>
          <w:lang w:val="ru-RU"/>
        </w:rPr>
      </w:pPr>
      <w:r w:rsidRPr="00937AE8">
        <w:rPr>
          <w:lang w:val="ru-RU"/>
        </w:rPr>
        <w:t xml:space="preserve">Документ </w:t>
      </w:r>
      <w:hyperlink r:id="rId46" w:history="1">
        <w:r w:rsidRPr="00EF7D65">
          <w:rPr>
            <w:rStyle w:val="Hyperlink"/>
            <w:bCs/>
            <w:lang w:val="ru-RU"/>
          </w:rPr>
          <w:t>42</w:t>
        </w:r>
      </w:hyperlink>
      <w:r w:rsidRPr="00937AE8">
        <w:rPr>
          <w:lang w:val="ru-RU"/>
        </w:rPr>
        <w:t xml:space="preserve"> (Вьетнам) − Повышение способности к восстановлению и устойчивости цифровой инфраструктуры в развивающихся странах</w:t>
      </w:r>
      <w:hyperlink r:id="rId47" w:history="1"/>
    </w:p>
    <w:p w14:paraId="4C10461C" w14:textId="77777777" w:rsidR="00565128" w:rsidRPr="00EF7D65" w:rsidRDefault="00565128" w:rsidP="00F24D36">
      <w:r w:rsidRPr="00EF7D65">
        <w:t>КГРЭ обсудила Документ 42, представленный Вьетнамом, который посвящен укреплению способности к восстановлению и устойчивости цифровой инфраструктуры в развивающихся странах в условиях стихийных бедствий, изменения климата, разрывов подводных кабелей и растущих ограничений в области энергоснабжения.</w:t>
      </w:r>
    </w:p>
    <w:p w14:paraId="275E731F" w14:textId="77777777" w:rsidR="00565128" w:rsidRPr="00EF7D65" w:rsidRDefault="00565128" w:rsidP="00F24D36">
      <w:r w:rsidRPr="00EF7D65">
        <w:t xml:space="preserve">В ходе обсуждения было признано, что многие развивающиеся страны сталкиваются с длительными перебоями подключения из-за стихийных бедствий и инцидентов с кабелями, причем последствия становятся все более серьезными по мере того, как </w:t>
      </w:r>
      <w:r>
        <w:t xml:space="preserve">зависимость </w:t>
      </w:r>
      <w:r w:rsidRPr="00EF7D65">
        <w:t>экономик</w:t>
      </w:r>
      <w:r>
        <w:t>и</w:t>
      </w:r>
      <w:r w:rsidRPr="00EF7D65">
        <w:t xml:space="preserve"> и обществ</w:t>
      </w:r>
      <w:r>
        <w:t>а</w:t>
      </w:r>
      <w:r w:rsidRPr="00EF7D65">
        <w:t xml:space="preserve"> от цифровых сетей</w:t>
      </w:r>
      <w:r w:rsidRPr="009F60F5">
        <w:t xml:space="preserve"> </w:t>
      </w:r>
      <w:r>
        <w:t>повышается</w:t>
      </w:r>
      <w:r w:rsidRPr="00EF7D65">
        <w:t>. Делегации отметили особую уязвимость, возникающую из-за ограниченности маршрутов международных подключений, особенно в странах, не имеющих выхода к морю, и малых островных развивающихся государствах, а также из-за все более частых и интенсивных экстремальных метеорологических явлений, связанных с изменением климата.</w:t>
      </w:r>
    </w:p>
    <w:p w14:paraId="6D7322A8" w14:textId="77777777" w:rsidR="00565128" w:rsidRPr="00EF7D65" w:rsidRDefault="00565128" w:rsidP="00F24D36">
      <w:r w:rsidRPr="00EF7D65">
        <w:t>Участники приветствовали акцент на практических, ориентированных на реализацию мерах, включая усиление защиты инфраструктуры в районах, подверженных бедствиям, повышение числа запасных маршрутов установления международных соединений и их разнообразия, а также укрепление регионального и международного сотрудничества для более оперативного восстановления после сбоев. Подчеркивалась важность обеспечения готовности, механизмов координации и практической подготовки как важнейших факторов повышения потенциала реагирования и восстановления.</w:t>
      </w:r>
    </w:p>
    <w:p w14:paraId="75058249" w14:textId="77777777" w:rsidR="00565128" w:rsidRPr="00EF7D65" w:rsidRDefault="00565128" w:rsidP="00F24D36">
      <w:r w:rsidRPr="00EF7D65">
        <w:t xml:space="preserve">В ходе обсуждения также подчеркивалась растущая необходимость решать проблемы устойчивости, </w:t>
      </w:r>
      <w:r>
        <w:t>в том числе</w:t>
      </w:r>
      <w:r w:rsidRPr="00EF7D65">
        <w:t xml:space="preserve"> рост</w:t>
      </w:r>
      <w:r>
        <w:t>а</w:t>
      </w:r>
      <w:r w:rsidRPr="00EF7D65">
        <w:t xml:space="preserve"> энергопотребления сетей, высоки</w:t>
      </w:r>
      <w:r>
        <w:t>х</w:t>
      </w:r>
      <w:r w:rsidRPr="00EF7D65">
        <w:t xml:space="preserve"> эксплуатационны</w:t>
      </w:r>
      <w:r>
        <w:t>х</w:t>
      </w:r>
      <w:r w:rsidRPr="00EF7D65">
        <w:t xml:space="preserve"> расход</w:t>
      </w:r>
      <w:r>
        <w:t>ов</w:t>
      </w:r>
      <w:r w:rsidRPr="00EF7D65">
        <w:t xml:space="preserve"> и ненадежно</w:t>
      </w:r>
      <w:r>
        <w:t>го</w:t>
      </w:r>
      <w:r w:rsidRPr="00EF7D65">
        <w:t xml:space="preserve"> энергоснабжени</w:t>
      </w:r>
      <w:r>
        <w:t>я</w:t>
      </w:r>
      <w:r w:rsidRPr="00EF7D65">
        <w:t xml:space="preserve"> в некоторых регионах. Предложения по повышению энергоэффективности цифровой инфраструктуры, в том числе за счет использования новых технологий, таких как искусственный интеллект, были признаны актуальными и своевременными.</w:t>
      </w:r>
    </w:p>
    <w:p w14:paraId="6F642314" w14:textId="77777777" w:rsidR="00565128" w:rsidRPr="00EF7D65" w:rsidRDefault="00565128" w:rsidP="00F24D36">
      <w:r w:rsidRPr="00EF7D65">
        <w:t>БРЭ отметило, что способность к восстановлению и устойчивость уже являются неотъемлемой частью работы МСЭ-D, включая деятельность, связанную со снижением риска бедствий, электросвязью в чрезвычайных ситуациях, адаптацией к изменению климата и региональными инициативами, и что укрепление финансовых возможностей позволило бы оказывать более эффективную поддержку Государствам-Членам.</w:t>
      </w:r>
    </w:p>
    <w:p w14:paraId="6FA29A24" w14:textId="77777777" w:rsidR="00565128" w:rsidRPr="00EF7D65" w:rsidRDefault="00565128" w:rsidP="00F24D36">
      <w:pPr>
        <w:spacing w:after="120"/>
      </w:pPr>
      <w:r w:rsidRPr="00EF7D65">
        <w:t>КГРЭ приняла к сведению Документ 42 как своевременный вклад, который согласуется с приоритетами ВКРЭ-25, касающимися способности к восстановлению, устойчивости и инклюзивной цифровой трансформации, и призвала продолжить рассмотрение содержащихся в нем предложений в рамках программ МСЭ-D и профильной работы исследовательских комиссий.</w:t>
      </w:r>
    </w:p>
    <w:tbl>
      <w:tblPr>
        <w:tblStyle w:val="TableGrid"/>
        <w:tblW w:w="0" w:type="auto"/>
        <w:tblLayout w:type="fixed"/>
        <w:tblLook w:val="04A0" w:firstRow="1" w:lastRow="0" w:firstColumn="1" w:lastColumn="0" w:noHBand="0" w:noVBand="1"/>
      </w:tblPr>
      <w:tblGrid>
        <w:gridCol w:w="9629"/>
      </w:tblGrid>
      <w:tr w:rsidR="00565128" w:rsidRPr="00644851" w14:paraId="44DEEE5E" w14:textId="77777777" w:rsidTr="00ED4397">
        <w:tc>
          <w:tcPr>
            <w:tcW w:w="9629" w:type="dxa"/>
          </w:tcPr>
          <w:p w14:paraId="4C005C3A" w14:textId="77777777" w:rsidR="00565128" w:rsidRPr="00EF7D65" w:rsidRDefault="00565128" w:rsidP="00ED4397">
            <w:pPr>
              <w:spacing w:after="120"/>
              <w:rPr>
                <w:szCs w:val="24"/>
              </w:rPr>
            </w:pPr>
            <w:r w:rsidRPr="00EF7D65">
              <w:rPr>
                <w:color w:val="000000"/>
              </w:rPr>
              <w:lastRenderedPageBreak/>
              <w:t>КГРЭ приняла к сведению Документ 42 и предложила представлять дополнительные вклады 1-й и 2-й Исследовательским комиссиям, в зависимости от случая, исходя из их мандатов, в целях содействия продолжению обсуждений и обмена опытом по вопросам способности к восстановлению и устойчивости цифровой инфраструктуры.</w:t>
            </w:r>
          </w:p>
        </w:tc>
      </w:tr>
    </w:tbl>
    <w:p w14:paraId="376B690F" w14:textId="2EA51E09" w:rsidR="00565128" w:rsidRPr="00EF7D65" w:rsidRDefault="00565128" w:rsidP="00937AE8">
      <w:pPr>
        <w:pStyle w:val="Headingb"/>
        <w:rPr>
          <w:b w:val="0"/>
          <w:lang w:val="ru-RU"/>
        </w:rPr>
      </w:pPr>
      <w:r w:rsidRPr="00EF7D65">
        <w:rPr>
          <w:lang w:val="ru-RU"/>
        </w:rPr>
        <w:t xml:space="preserve">Документ </w:t>
      </w:r>
      <w:hyperlink r:id="rId48" w:history="1">
        <w:r w:rsidRPr="00EF7D65">
          <w:rPr>
            <w:rStyle w:val="Hyperlink"/>
            <w:bCs/>
            <w:lang w:val="ru-RU"/>
          </w:rPr>
          <w:t>47</w:t>
        </w:r>
      </w:hyperlink>
      <w:r w:rsidRPr="00EF7D65">
        <w:rPr>
          <w:lang w:val="ru-RU"/>
        </w:rPr>
        <w:t xml:space="preserve"> (Нигер) − Повышение цифровой устойчивости в Сахеле: национальный подход к </w:t>
      </w:r>
      <w:r w:rsidRPr="00937AE8">
        <w:t>обеспечению</w:t>
      </w:r>
      <w:r w:rsidRPr="00EF7D65">
        <w:rPr>
          <w:lang w:val="ru-RU"/>
        </w:rPr>
        <w:t xml:space="preserve"> реальной возможности установления соединений, цифровых навыков и суверенной инфраструктуры</w:t>
      </w:r>
      <w:hyperlink r:id="rId49" w:history="1"/>
    </w:p>
    <w:p w14:paraId="2EAA4748" w14:textId="77777777" w:rsidR="00565128" w:rsidRPr="00EF7D65" w:rsidRDefault="00565128" w:rsidP="00F24D36">
      <w:pPr>
        <w:spacing w:after="120"/>
      </w:pPr>
      <w:r w:rsidRPr="00EF7D65">
        <w:t>КГРЭ получила Документ 47 – вклад от Нигера, в котором освещается сложный национальный контекст, включая низкие уровни возможности установления соединений, преобладание молодого населения, обширные районы</w:t>
      </w:r>
      <w:r>
        <w:t xml:space="preserve"> с преобладанием</w:t>
      </w:r>
      <w:r w:rsidRPr="00EF7D65">
        <w:t xml:space="preserve"> сельск</w:t>
      </w:r>
      <w:r>
        <w:t>ого</w:t>
      </w:r>
      <w:r w:rsidRPr="00EF7D65">
        <w:t xml:space="preserve"> и кочев</w:t>
      </w:r>
      <w:r>
        <w:t>ого населения</w:t>
      </w:r>
      <w:r w:rsidRPr="00EF7D65">
        <w:t>, а также необходимость создания цифрового потенциала с нуля.</w:t>
      </w:r>
      <w:bookmarkStart w:id="21" w:name="OpenAt"/>
      <w:bookmarkEnd w:id="21"/>
    </w:p>
    <w:tbl>
      <w:tblPr>
        <w:tblStyle w:val="TableGrid"/>
        <w:tblW w:w="0" w:type="auto"/>
        <w:tblLayout w:type="fixed"/>
        <w:tblLook w:val="04A0" w:firstRow="1" w:lastRow="0" w:firstColumn="1" w:lastColumn="0" w:noHBand="0" w:noVBand="1"/>
      </w:tblPr>
      <w:tblGrid>
        <w:gridCol w:w="9629"/>
      </w:tblGrid>
      <w:tr w:rsidR="00565128" w:rsidRPr="000F05DE" w14:paraId="45B3B9DB" w14:textId="77777777" w:rsidTr="00ED4397">
        <w:tc>
          <w:tcPr>
            <w:tcW w:w="9629" w:type="dxa"/>
          </w:tcPr>
          <w:p w14:paraId="557D5F09" w14:textId="77777777" w:rsidR="00565128" w:rsidRPr="00EF7D65" w:rsidRDefault="00565128" w:rsidP="00ED4397">
            <w:pPr>
              <w:spacing w:after="120"/>
              <w:rPr>
                <w:szCs w:val="24"/>
              </w:rPr>
            </w:pPr>
            <w:r w:rsidRPr="00EF7D65">
              <w:rPr>
                <w:color w:val="000000"/>
              </w:rPr>
              <w:t>КГРЭ приняла Документ 47 к сведению.</w:t>
            </w:r>
          </w:p>
        </w:tc>
      </w:tr>
    </w:tbl>
    <w:p w14:paraId="1AEDDB61" w14:textId="1B5CC18E" w:rsidR="00565128" w:rsidRPr="00EF7D65" w:rsidRDefault="008A18A2" w:rsidP="008A18A2">
      <w:pPr>
        <w:pStyle w:val="Heading2"/>
      </w:pPr>
      <w:r w:rsidRPr="008A18A2">
        <w:t>7.1</w:t>
      </w:r>
      <w:r w:rsidRPr="008A18A2">
        <w:tab/>
      </w:r>
      <w:r w:rsidR="00565128" w:rsidRPr="008A18A2">
        <w:t>Выполнение</w:t>
      </w:r>
      <w:r w:rsidR="00565128" w:rsidRPr="00EF7D65">
        <w:t xml:space="preserve"> Кигалийского плана действий – IV квартал 2025 года</w:t>
      </w:r>
    </w:p>
    <w:p w14:paraId="3205E364" w14:textId="77777777" w:rsidR="00565128" w:rsidRPr="00EF7D65" w:rsidRDefault="00565128" w:rsidP="00937AE8">
      <w:pPr>
        <w:pStyle w:val="Headingb"/>
        <w:rPr>
          <w:rFonts w:cstheme="minorBidi"/>
          <w:b w:val="0"/>
          <w:lang w:val="ru-RU"/>
        </w:rPr>
      </w:pPr>
      <w:r w:rsidRPr="00937AE8">
        <w:t>Документ</w:t>
      </w:r>
      <w:r w:rsidRPr="00EF7D65">
        <w:rPr>
          <w:lang w:val="ru-RU"/>
        </w:rPr>
        <w:t xml:space="preserve"> </w:t>
      </w:r>
      <w:hyperlink r:id="rId50" w:history="1">
        <w:r w:rsidRPr="00EF7D65">
          <w:rPr>
            <w:rStyle w:val="Hyperlink"/>
            <w:bCs/>
            <w:lang w:val="ru-RU"/>
          </w:rPr>
          <w:t>2(Add.1)</w:t>
        </w:r>
      </w:hyperlink>
      <w:r w:rsidRPr="00EF7D65">
        <w:rPr>
          <w:lang w:val="ru-RU"/>
        </w:rPr>
        <w:t xml:space="preserve"> (Директор БРЭ) − Обновленная информация к отчету о выполнении Кигалийского плана действий (КПД) за 2023–2025 годы</w:t>
      </w:r>
      <w:hyperlink r:id="rId51" w:history="1"/>
    </w:p>
    <w:p w14:paraId="26F1544A" w14:textId="77777777" w:rsidR="00565128" w:rsidRPr="00EF7D65" w:rsidRDefault="00565128" w:rsidP="00F24D36">
      <w:r w:rsidRPr="00EF7D65">
        <w:t>КГРЭ обсудила Документ 2(Add.1), представленный Директором БРЭ, в котором содержится обновленная информация о выполнении Кигалийского плана действий в период 2023–2025</w:t>
      </w:r>
      <w:r>
        <w:t> </w:t>
      </w:r>
      <w:r w:rsidRPr="00EF7D65">
        <w:t xml:space="preserve">годов. Этот документ был рассмотрен </w:t>
      </w:r>
      <w:r>
        <w:t xml:space="preserve">в рамках </w:t>
      </w:r>
      <w:r w:rsidRPr="00EF7D65">
        <w:t xml:space="preserve">мандата КГРЭ, </w:t>
      </w:r>
      <w:r>
        <w:t>предполагающего</w:t>
      </w:r>
      <w:r w:rsidRPr="00EF7D65">
        <w:t xml:space="preserve"> </w:t>
      </w:r>
      <w:r>
        <w:t xml:space="preserve">анализ </w:t>
      </w:r>
      <w:r w:rsidRPr="00EF7D65">
        <w:t>хода выполнения решений ВКРЭ и извлечение уроков для использования в будущем планировании.</w:t>
      </w:r>
    </w:p>
    <w:p w14:paraId="133B5003" w14:textId="77777777" w:rsidR="00565128" w:rsidRPr="00EF7D65" w:rsidRDefault="00565128" w:rsidP="00F24D36">
      <w:r w:rsidRPr="00EF7D65">
        <w:t xml:space="preserve">Делегации признали ценность этой обновленной информации для обеспечения преемственности между Кигалийским планом действий и следующим </w:t>
      </w:r>
      <w:r>
        <w:t>после него</w:t>
      </w:r>
      <w:r w:rsidRPr="00EF7D65">
        <w:t xml:space="preserve"> Бакинским планом действий, принятым ВКРЭ-25.</w:t>
      </w:r>
    </w:p>
    <w:p w14:paraId="65792E3F" w14:textId="77777777" w:rsidR="00565128" w:rsidRPr="00EF7D65" w:rsidRDefault="00565128" w:rsidP="00F24D36">
      <w:r w:rsidRPr="00EF7D65">
        <w:t>Несколько делегаций подчеркнули важность прозрачности и ясности в отчетности о выполнении, включая более четкую увязку между намеченными результатами деятельности и конечными результатами. Было подчеркнуто, что Кигалийский план действий поможет Государствам-Членам лучше понять, как приоритеты преобразуются в конкретные результаты.</w:t>
      </w:r>
    </w:p>
    <w:p w14:paraId="74F018B3" w14:textId="77777777" w:rsidR="00565128" w:rsidRPr="00EF7D65" w:rsidRDefault="00565128" w:rsidP="00F24D36">
      <w:pPr>
        <w:spacing w:after="120"/>
      </w:pPr>
      <w:r w:rsidRPr="00EF7D65">
        <w:t xml:space="preserve">КГРЭ приняла к сведению Документ 2(Add.1) как обновленную информацию о ходе работы по выполнению Кигалийского плана действий и высоко оценила его роль в </w:t>
      </w:r>
      <w:r>
        <w:t>содействии</w:t>
      </w:r>
      <w:r w:rsidRPr="00EF7D65">
        <w:t xml:space="preserve"> переход</w:t>
      </w:r>
      <w:r>
        <w:t>у</w:t>
      </w:r>
      <w:r w:rsidRPr="00EF7D65">
        <w:t xml:space="preserve"> к Бакинскому плану действий, принятому ВКРЭ-25.</w:t>
      </w:r>
    </w:p>
    <w:tbl>
      <w:tblPr>
        <w:tblStyle w:val="TableGrid"/>
        <w:tblW w:w="0" w:type="auto"/>
        <w:tblLayout w:type="fixed"/>
        <w:tblLook w:val="04A0" w:firstRow="1" w:lastRow="0" w:firstColumn="1" w:lastColumn="0" w:noHBand="0" w:noVBand="1"/>
      </w:tblPr>
      <w:tblGrid>
        <w:gridCol w:w="9629"/>
      </w:tblGrid>
      <w:tr w:rsidR="00565128" w:rsidRPr="00644851" w14:paraId="5B98CE13" w14:textId="77777777" w:rsidTr="00ED4397">
        <w:tc>
          <w:tcPr>
            <w:tcW w:w="9629" w:type="dxa"/>
          </w:tcPr>
          <w:p w14:paraId="39F087DC" w14:textId="7866FF0F" w:rsidR="00565128" w:rsidRPr="00EF7D65" w:rsidRDefault="00565128" w:rsidP="00ED4397">
            <w:pPr>
              <w:spacing w:after="120"/>
            </w:pPr>
            <w:r w:rsidRPr="00EF7D65">
              <w:rPr>
                <w:color w:val="000000"/>
              </w:rPr>
              <w:t>КГРЭ приняла к сведению Документ 2 и Дополнительный документ 1 о выполнении Кигалийского плана действий на 2023</w:t>
            </w:r>
            <w:r w:rsidR="008A18A2">
              <w:rPr>
                <w:rFonts w:cs="Calibri"/>
                <w:color w:val="000000"/>
              </w:rPr>
              <w:t>−</w:t>
            </w:r>
            <w:r w:rsidRPr="00EF7D65">
              <w:rPr>
                <w:color w:val="000000"/>
              </w:rPr>
              <w:t>2025 годы. КГРЭ признала роль Кигалийского плана действий в управлении деятельностью МСЭ-D в течение предыдущего цикла и приняла к сведению переход к Бакинскому плану действий, принятому ВКРЭ-25, как стратегической и оперативной основе текущего исследовательского периода.</w:t>
            </w:r>
          </w:p>
        </w:tc>
      </w:tr>
    </w:tbl>
    <w:p w14:paraId="10268FDD" w14:textId="0F19D019" w:rsidR="00565128" w:rsidRPr="00EF7D65" w:rsidRDefault="008A18A2" w:rsidP="008A18A2">
      <w:pPr>
        <w:pStyle w:val="Heading2"/>
      </w:pPr>
      <w:r w:rsidRPr="008A18A2">
        <w:t>7.2</w:t>
      </w:r>
      <w:r w:rsidRPr="008A18A2">
        <w:tab/>
      </w:r>
      <w:r w:rsidR="00565128" w:rsidRPr="008A18A2">
        <w:t>Реализация</w:t>
      </w:r>
      <w:r w:rsidR="00565128" w:rsidRPr="00EF7D65">
        <w:t xml:space="preserve"> Бакинского плана действий – I квартал 2026 года</w:t>
      </w:r>
    </w:p>
    <w:p w14:paraId="3269C669" w14:textId="77777777" w:rsidR="00565128" w:rsidRPr="00EF7D65" w:rsidRDefault="00565128" w:rsidP="00937AE8">
      <w:pPr>
        <w:pStyle w:val="Headingb"/>
        <w:rPr>
          <w:rFonts w:cstheme="minorBidi"/>
          <w:b w:val="0"/>
          <w:bCs/>
          <w:lang w:val="ru-RU"/>
        </w:rPr>
      </w:pPr>
      <w:r w:rsidRPr="00EF7D65">
        <w:rPr>
          <w:bCs/>
          <w:lang w:val="ru-RU"/>
        </w:rPr>
        <w:t xml:space="preserve">Документ </w:t>
      </w:r>
      <w:hyperlink r:id="rId52" w:history="1">
        <w:r w:rsidRPr="00EF7D65">
          <w:rPr>
            <w:rStyle w:val="Hyperlink"/>
            <w:bCs/>
            <w:lang w:val="ru-RU"/>
          </w:rPr>
          <w:t>2(Add.2)</w:t>
        </w:r>
      </w:hyperlink>
      <w:r w:rsidRPr="00EF7D65">
        <w:rPr>
          <w:bCs/>
          <w:lang w:val="ru-RU"/>
        </w:rPr>
        <w:t xml:space="preserve"> (Директор БРЭ) – Система воздействия для выполнения Бакинского плана </w:t>
      </w:r>
      <w:r w:rsidRPr="00937AE8">
        <w:t>действий</w:t>
      </w:r>
      <w:hyperlink r:id="rId53" w:history="1"/>
    </w:p>
    <w:p w14:paraId="1EED7BAB" w14:textId="77777777" w:rsidR="00565128" w:rsidRPr="00EF7D65" w:rsidRDefault="00565128" w:rsidP="00F24D36">
      <w:r w:rsidRPr="00EF7D65">
        <w:t xml:space="preserve">КГРЭ рассмотрела Документ 2(Add.2), представленный Директором БРЭ, в котором описана система воздействия, предназначенная для управления мониторингом выполнения Бакинского плана действий, принятого ВКРЭ-25, и отчетностью по нему. Эта система была представлена как инструмент для преобразования стратегических приоритетов МСЭ-D согласно Бакинскому плану действий в </w:t>
      </w:r>
      <w:r w:rsidRPr="00EF7D65">
        <w:lastRenderedPageBreak/>
        <w:t>измеримые конечные результаты, а также для поддержки управления, ориентированного на результаты, в рамках всей программы работы МСЭ-D.</w:t>
      </w:r>
    </w:p>
    <w:p w14:paraId="17AE1A94" w14:textId="77777777" w:rsidR="00565128" w:rsidRPr="00EF7D65" w:rsidRDefault="00565128" w:rsidP="00F24D36">
      <w:r w:rsidRPr="00EF7D65">
        <w:t>В ходе обсуждения было подчеркнуто, что система воздействия направлена на укрепление согласованности между конечными результатами, намеченными результатами деятельности и показателями, а также на обеспечение большей ясности в отношении того, как</w:t>
      </w:r>
      <w:r>
        <w:t>ую роль</w:t>
      </w:r>
      <w:r w:rsidRPr="00EF7D65">
        <w:t xml:space="preserve"> </w:t>
      </w:r>
      <w:r w:rsidRPr="00231DDF">
        <w:t xml:space="preserve">с точки зрения </w:t>
      </w:r>
      <w:r>
        <w:t xml:space="preserve">поддержки </w:t>
      </w:r>
      <w:r w:rsidRPr="00231DDF">
        <w:t>развити</w:t>
      </w:r>
      <w:r>
        <w:t>я</w:t>
      </w:r>
      <w:r w:rsidRPr="00231DDF">
        <w:t xml:space="preserve"> играют </w:t>
      </w:r>
      <w:r w:rsidRPr="00EF7D65">
        <w:t>продукты и услуги (намеченные результаты деятельности)</w:t>
      </w:r>
      <w:r>
        <w:t xml:space="preserve"> </w:t>
      </w:r>
      <w:r w:rsidRPr="00EF7D65">
        <w:t xml:space="preserve">в рамках Бакинского плана действий. Делегации отметили, что эта </w:t>
      </w:r>
      <w:r w:rsidRPr="00811888">
        <w:t xml:space="preserve">система воздействия </w:t>
      </w:r>
      <w:r>
        <w:t>построена</w:t>
      </w:r>
      <w:r w:rsidRPr="00EF7D65">
        <w:t xml:space="preserve"> на опыте, накопленном в ходе цикла Кигалийского плана действий, и направлена на повышение согласованности, прозрачности и удобства использования отчетности перед Государствами-Членами.</w:t>
      </w:r>
    </w:p>
    <w:p w14:paraId="0D3E4FDF" w14:textId="77777777" w:rsidR="00565128" w:rsidRPr="00EF7D65" w:rsidRDefault="00565128" w:rsidP="00F24D36">
      <w:r w:rsidRPr="00EF7D65">
        <w:t xml:space="preserve">Несколько делегаций подчеркнули важность четкой увязки между намеченными результатами деятельности, конечными результатами и показателями для отчетности о выполнении, отметив, что эффективная система воздействия имеет критическое значение для информированного надзора со стороны КГРЭ. Подчеркивалась необходимость в реалистичных, содержательных и адаптируемых к разным региональным условиям показателях, </w:t>
      </w:r>
      <w:r>
        <w:t>особенно</w:t>
      </w:r>
      <w:r w:rsidRPr="00EF7D65">
        <w:t xml:space="preserve"> с учетом разнообразия </w:t>
      </w:r>
      <w:r>
        <w:t xml:space="preserve">региональных </w:t>
      </w:r>
      <w:r w:rsidRPr="00EF7D65">
        <w:t>приоритетов и возможностей.</w:t>
      </w:r>
    </w:p>
    <w:p w14:paraId="2A8AE904" w14:textId="77777777" w:rsidR="00565128" w:rsidRPr="00EF7D65" w:rsidRDefault="00565128" w:rsidP="00F24D36">
      <w:pPr>
        <w:spacing w:after="120"/>
      </w:pPr>
      <w:r w:rsidRPr="00EF7D65">
        <w:t xml:space="preserve">КГРЭ приняла к сведению Документ 2(Add.2) в качестве основополагающего элемента для осуществления и мониторинга Бакинского плана действий, высоко оценив его роль в укреплении управления, ориентированного на результаты, и поддержке более </w:t>
      </w:r>
      <w:r>
        <w:t>постепенного</w:t>
      </w:r>
      <w:r w:rsidRPr="00EF7D65">
        <w:t xml:space="preserve"> перехода от планирования к выполнению решений ВКРЭ-25, ориентированных на воздействие.</w:t>
      </w:r>
    </w:p>
    <w:tbl>
      <w:tblPr>
        <w:tblStyle w:val="TableGrid"/>
        <w:tblW w:w="0" w:type="auto"/>
        <w:tblLayout w:type="fixed"/>
        <w:tblLook w:val="04A0" w:firstRow="1" w:lastRow="0" w:firstColumn="1" w:lastColumn="0" w:noHBand="0" w:noVBand="1"/>
      </w:tblPr>
      <w:tblGrid>
        <w:gridCol w:w="9629"/>
      </w:tblGrid>
      <w:tr w:rsidR="00565128" w:rsidRPr="000F05DE" w14:paraId="391D32B0" w14:textId="77777777" w:rsidTr="00ED4397">
        <w:tc>
          <w:tcPr>
            <w:tcW w:w="9629" w:type="dxa"/>
          </w:tcPr>
          <w:p w14:paraId="2E1A117A" w14:textId="77777777" w:rsidR="00565128" w:rsidRPr="00EF7D65" w:rsidRDefault="00565128" w:rsidP="00ED4397">
            <w:pPr>
              <w:spacing w:after="120"/>
              <w:rPr>
                <w:szCs w:val="24"/>
              </w:rPr>
            </w:pPr>
            <w:r w:rsidRPr="00EF7D65">
              <w:rPr>
                <w:color w:val="000000"/>
              </w:rPr>
              <w:t xml:space="preserve">КГРЭ приняла к сведению Дополнительный документ 2 </w:t>
            </w:r>
            <w:r>
              <w:rPr>
                <w:color w:val="000000"/>
              </w:rPr>
              <w:t xml:space="preserve">к </w:t>
            </w:r>
            <w:r w:rsidRPr="00EF7D65">
              <w:rPr>
                <w:color w:val="000000"/>
              </w:rPr>
              <w:t>Документ</w:t>
            </w:r>
            <w:r>
              <w:rPr>
                <w:color w:val="000000"/>
              </w:rPr>
              <w:t>у</w:t>
            </w:r>
            <w:r w:rsidRPr="00EF7D65">
              <w:rPr>
                <w:color w:val="000000"/>
              </w:rPr>
              <w:t xml:space="preserve"> 2 о системе воздействия для выполнения Бакинского плана действий. КГРЭ подчеркнула важность преемственности между Кигалийским и Бакинским планами действий, извлечения уроков из прошлого опыта выполнения, а также согласования видов деятельности, работы исследовательских комиссий и проектов МСЭ-D с приоритетами Бакинского плана действий. КГРЭ призвала БРЭ продолжать укреплять механизмы отчетности, в том числе через информационную панель Оперативного плана МСЭ-D, и согласилась с тем, что о достигнутом прогрессе и извлеченных уроках следует и далее сообщать КГРЭ в целях поддержки эффективного выполнения на национальном и региональном уровнях, </w:t>
            </w:r>
            <w:r>
              <w:rPr>
                <w:color w:val="000000"/>
              </w:rPr>
              <w:t xml:space="preserve">при этом </w:t>
            </w:r>
            <w:r w:rsidRPr="00EF7D65">
              <w:rPr>
                <w:color w:val="000000"/>
              </w:rPr>
              <w:t>на данном этапе не требу</w:t>
            </w:r>
            <w:r>
              <w:rPr>
                <w:color w:val="000000"/>
              </w:rPr>
              <w:t>ется</w:t>
            </w:r>
            <w:r w:rsidRPr="00EF7D65">
              <w:rPr>
                <w:color w:val="000000"/>
              </w:rPr>
              <w:t xml:space="preserve"> дополнительных решений или действий.</w:t>
            </w:r>
          </w:p>
        </w:tc>
      </w:tr>
    </w:tbl>
    <w:p w14:paraId="302E5AB6" w14:textId="09500375" w:rsidR="00565128" w:rsidRPr="00EF7D65" w:rsidRDefault="008A18A2" w:rsidP="008A18A2">
      <w:pPr>
        <w:pStyle w:val="Heading2"/>
      </w:pPr>
      <w:r w:rsidRPr="008A18A2">
        <w:t>7.</w:t>
      </w:r>
      <w:r w:rsidR="008D3C71">
        <w:t>3</w:t>
      </w:r>
      <w:r w:rsidRPr="008A18A2">
        <w:tab/>
      </w:r>
      <w:r w:rsidR="00565128" w:rsidRPr="008A18A2">
        <w:t>Подготовка</w:t>
      </w:r>
      <w:r w:rsidR="00565128" w:rsidRPr="00EF7D65">
        <w:t xml:space="preserve"> Оперативного плана на 2026 год (ОП-26)</w:t>
      </w:r>
    </w:p>
    <w:p w14:paraId="7D5ACA9C" w14:textId="77777777" w:rsidR="00565128" w:rsidRPr="00EF7D65" w:rsidRDefault="00565128" w:rsidP="00937AE8">
      <w:pPr>
        <w:pStyle w:val="Headingb"/>
        <w:rPr>
          <w:rFonts w:cstheme="minorBidi"/>
          <w:b w:val="0"/>
          <w:bCs/>
          <w:lang w:val="ru-RU"/>
        </w:rPr>
      </w:pPr>
      <w:r w:rsidRPr="00937AE8">
        <w:t>Документ</w:t>
      </w:r>
      <w:r w:rsidRPr="00EF7D65">
        <w:rPr>
          <w:bCs/>
          <w:lang w:val="ru-RU"/>
        </w:rPr>
        <w:t xml:space="preserve"> </w:t>
      </w:r>
      <w:hyperlink r:id="rId54" w:history="1">
        <w:r w:rsidRPr="00EF7D65">
          <w:rPr>
            <w:rStyle w:val="Hyperlink"/>
            <w:bCs/>
            <w:lang w:val="ru-RU"/>
          </w:rPr>
          <w:t>17(Rev.2)</w:t>
        </w:r>
      </w:hyperlink>
      <w:r w:rsidRPr="00EF7D65">
        <w:rPr>
          <w:bCs/>
          <w:lang w:val="ru-RU"/>
        </w:rPr>
        <w:t xml:space="preserve"> (Директор БРЭ) – Оперативный план МСЭ-D на 2026 год</w:t>
      </w:r>
      <w:hyperlink r:id="rId55" w:history="1"/>
    </w:p>
    <w:p w14:paraId="1F1BC25A" w14:textId="77777777" w:rsidR="00565128" w:rsidRPr="00EF7D65" w:rsidRDefault="00565128" w:rsidP="00F24D36">
      <w:r w:rsidRPr="00EF7D65">
        <w:t>КГРЭ обсудила Документ 17(Rev.2), в котором изложен Оперативный план МСЭ-D на 2026 год (ОП-26). В документе описывается процесс планирования, осуществляемого БРЭ, включая внутреннюю координацию и консультации с Государствами-Членами во всех регионах, а также его согласование с Бакинским планом действий и региональными инициативами, принятыми ВКРЭ-25.</w:t>
      </w:r>
    </w:p>
    <w:p w14:paraId="06FBBDF5" w14:textId="77777777" w:rsidR="00565128" w:rsidRPr="00EF7D65" w:rsidRDefault="00565128" w:rsidP="00F24D36">
      <w:r w:rsidRPr="00EF7D65">
        <w:t xml:space="preserve">В ходе обсуждения было отмечено, что ОП-26 был разработан в соответствии с принципами управления, ориентированного на результаты, и направлен на реализацию мандатов, принятых ВКРЭ-25, в виде конкретных оперативных действий на региональном и глобальном уровнях. Было подчеркнуто, что доля средств, выделяемых на каждый регион, составляет около 7 процентов бюджета ОП, при этом значительная часть средств направляется на достижение намеченных результатов деятельности глобального характера, </w:t>
      </w:r>
      <w:r>
        <w:t>а</w:t>
      </w:r>
      <w:r w:rsidRPr="00EF7D65">
        <w:t xml:space="preserve"> финансирование проектов представляет собой отдельный, дополнительный поток финансирования.</w:t>
      </w:r>
    </w:p>
    <w:p w14:paraId="02B30985" w14:textId="77777777" w:rsidR="00565128" w:rsidRPr="00EF7D65" w:rsidRDefault="00565128" w:rsidP="00F24D36">
      <w:r w:rsidRPr="00EF7D65">
        <w:t xml:space="preserve">Несколько делегаций попросили </w:t>
      </w:r>
      <w:r>
        <w:t>дать</w:t>
      </w:r>
      <w:r w:rsidRPr="00EF7D65">
        <w:t xml:space="preserve"> разъяснения по поводу бюджетных ассигнований, в частности относительно того, почему при равном объеме региональных ассигнований спектр деятельности и ее виды в разных регионах неодинаковы. БРЭ пояснило, что бюджет оперативного плана следует рассматривать </w:t>
      </w:r>
      <w:r>
        <w:t>вместе</w:t>
      </w:r>
      <w:r w:rsidRPr="00EF7D65">
        <w:t xml:space="preserve"> с проектным финансированием, которое обеспечивает дополнительную гибкость для реагирования на региональные потребности.</w:t>
      </w:r>
    </w:p>
    <w:p w14:paraId="2980D88F" w14:textId="77777777" w:rsidR="00565128" w:rsidRPr="00EF7D65" w:rsidRDefault="00565128" w:rsidP="00F24D36">
      <w:r w:rsidRPr="00EF7D65">
        <w:lastRenderedPageBreak/>
        <w:t>Делегации также подняли вопросы относительно четырехгодичного скользящего оперативного плана МСЭ-D, а также о</w:t>
      </w:r>
      <w:r>
        <w:t xml:space="preserve"> предположительно </w:t>
      </w:r>
      <w:r w:rsidRPr="00EF7D65">
        <w:t xml:space="preserve">скорректированных бюджетных ассигнованиях, перенесенных из Кигалийского плана действий в Бакинский план действий. Было </w:t>
      </w:r>
      <w:r>
        <w:t>дано пояснение</w:t>
      </w:r>
      <w:r w:rsidRPr="00EF7D65">
        <w:t>, что эти изменения отражают реструктуризацию средств достижения целей и их перегруппировку в приоритеты МСЭ-D после ВКРЭ-25.</w:t>
      </w:r>
    </w:p>
    <w:p w14:paraId="4F00A3FE" w14:textId="77777777" w:rsidR="00565128" w:rsidRPr="00EF7D65" w:rsidRDefault="00565128" w:rsidP="00F24D36">
      <w:pPr>
        <w:spacing w:after="120"/>
      </w:pPr>
      <w:r w:rsidRPr="00EF7D65">
        <w:t xml:space="preserve">КГРЭ приняла к сведению Документ 17(Rev.2) и приветствовала его как ключевой инструмент </w:t>
      </w:r>
      <w:r>
        <w:t>реализации</w:t>
      </w:r>
      <w:r w:rsidRPr="00EF7D65">
        <w:t xml:space="preserve"> на 2026 год, </w:t>
      </w:r>
      <w:r>
        <w:t>служащий</w:t>
      </w:r>
      <w:r w:rsidRPr="00EF7D65">
        <w:t xml:space="preserve"> оперативн</w:t>
      </w:r>
      <w:r>
        <w:t xml:space="preserve">ым связующим звеном </w:t>
      </w:r>
      <w:r w:rsidRPr="00EF7D65">
        <w:t>между стратегическ</w:t>
      </w:r>
      <w:r>
        <w:t xml:space="preserve">ой </w:t>
      </w:r>
      <w:r w:rsidRPr="00A77651">
        <w:t>направленностью</w:t>
      </w:r>
      <w:r>
        <w:t xml:space="preserve"> </w:t>
      </w:r>
      <w:r w:rsidRPr="00EF7D65">
        <w:t xml:space="preserve">Бакинского плана действий и осуществлением </w:t>
      </w:r>
      <w:r>
        <w:t xml:space="preserve">деятельности </w:t>
      </w:r>
      <w:r w:rsidRPr="00EF7D65">
        <w:t>МСЭ-D на практике.</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65128" w:rsidRPr="000F05DE" w14:paraId="28204757" w14:textId="77777777" w:rsidTr="00ED4397">
        <w:tc>
          <w:tcPr>
            <w:tcW w:w="9629" w:type="dxa"/>
          </w:tcPr>
          <w:p w14:paraId="66A02109" w14:textId="77777777" w:rsidR="00565128" w:rsidRPr="00EF7D65" w:rsidRDefault="00565128" w:rsidP="00ED4397">
            <w:pPr>
              <w:spacing w:after="120"/>
              <w:rPr>
                <w:szCs w:val="24"/>
              </w:rPr>
            </w:pPr>
            <w:r w:rsidRPr="00EF7D65">
              <w:rPr>
                <w:color w:val="000000"/>
              </w:rPr>
              <w:t>КГРЭ одобрила Документ 17(Rev.2), касающийся Оперативного плана МСЭ-D на 2026 год.</w:t>
            </w:r>
          </w:p>
        </w:tc>
      </w:tr>
    </w:tbl>
    <w:p w14:paraId="795D8BC0" w14:textId="2B173B16" w:rsidR="00565128" w:rsidRPr="00EF7D65" w:rsidRDefault="008A18A2" w:rsidP="008A18A2">
      <w:pPr>
        <w:pStyle w:val="Heading2"/>
      </w:pPr>
      <w:r>
        <w:rPr>
          <w:lang w:val="en-US"/>
        </w:rPr>
        <w:t>7.4</w:t>
      </w:r>
      <w:r>
        <w:rPr>
          <w:lang w:val="en-US"/>
        </w:rPr>
        <w:tab/>
      </w:r>
      <w:r w:rsidR="00565128" w:rsidRPr="00EF7D65">
        <w:t>Проекты МСЭ-D</w:t>
      </w:r>
    </w:p>
    <w:p w14:paraId="14C738F7" w14:textId="77777777" w:rsidR="00565128" w:rsidRPr="00EF7D65" w:rsidRDefault="00565128" w:rsidP="00937AE8">
      <w:pPr>
        <w:pStyle w:val="Headingb"/>
        <w:rPr>
          <w:rFonts w:cstheme="minorBidi"/>
          <w:b w:val="0"/>
          <w:lang w:val="ru-RU"/>
        </w:rPr>
      </w:pPr>
      <w:r w:rsidRPr="00EF7D65">
        <w:rPr>
          <w:lang w:val="ru-RU"/>
        </w:rPr>
        <w:t xml:space="preserve">Документ </w:t>
      </w:r>
      <w:hyperlink r:id="rId56" w:history="1">
        <w:r w:rsidRPr="00EF7D65">
          <w:rPr>
            <w:rStyle w:val="Hyperlink"/>
            <w:bCs/>
            <w:lang w:val="ru-RU"/>
          </w:rPr>
          <w:t>43</w:t>
        </w:r>
      </w:hyperlink>
      <w:r w:rsidRPr="00EF7D65">
        <w:rPr>
          <w:lang w:val="ru-RU"/>
        </w:rPr>
        <w:t xml:space="preserve"> (Китайская Народная Республика) – Предложения по опубликованию подборки примеров успешной реализации проектов МСЭ-D – привлечение представителей отрасли к участию и мобилизация большего объема ресурсов для развития</w:t>
      </w:r>
      <w:hyperlink r:id="rId57" w:history="1">
        <w:bookmarkStart w:id="22" w:name="_Hlt227155311"/>
        <w:bookmarkStart w:id="23" w:name="_Hlt227155312"/>
        <w:bookmarkEnd w:id="22"/>
        <w:bookmarkEnd w:id="23"/>
      </w:hyperlink>
    </w:p>
    <w:p w14:paraId="39E12B15" w14:textId="6E039304" w:rsidR="00565128" w:rsidRPr="00EF7D65" w:rsidRDefault="00565128" w:rsidP="00F24D36">
      <w:r w:rsidRPr="00EF7D65">
        <w:t>КГРЭ обсудила Документ 43, представленный Китайской Народной Республикой, в котором предлагается систематически публиковать подборку примеров успешной реализации проектов МСЭ</w:t>
      </w:r>
      <w:r w:rsidR="00211142" w:rsidRPr="00211142">
        <w:noBreakHyphen/>
      </w:r>
      <w:r w:rsidRPr="00EF7D65">
        <w:t>D в качестве стратегического инструмента укрепления партнерских отношений, более широкого вовлечения представителей отрасли и мобилизации дополнительных внебюджетных ресурсов на цели развития.</w:t>
      </w:r>
    </w:p>
    <w:p w14:paraId="0E3E85D2" w14:textId="77777777" w:rsidR="00565128" w:rsidRPr="00EF7D65" w:rsidRDefault="00565128" w:rsidP="00F24D36">
      <w:r w:rsidRPr="00EF7D65">
        <w:t>В ходе обсуждения это предложение в целом было одобрено, при этом делегации признали значение повышения наглядности конкретных конечных результатов проектов для демонстрации эффекта деятельности МСЭ-D и для стимулирования более активного участия партнеров и доноров. Было отмечено, что такая подборка могла бы повысить прозрачность, продемонстрировать эффективные модели сотрудничества и подчеркнуть роль отрасли и других партнеров в достижении результатов в области развития.</w:t>
      </w:r>
    </w:p>
    <w:p w14:paraId="0FA07DD1" w14:textId="77777777" w:rsidR="00565128" w:rsidRPr="00EF7D65" w:rsidRDefault="00565128" w:rsidP="00F24D36">
      <w:r w:rsidRPr="00EF7D65">
        <w:t>Несколько делегаций поддержали это предложение, выдвинув при этом конструктивные уточнения. В частности, было предложено, чтобы случаи успеха описывали не только результаты проект</w:t>
      </w:r>
      <w:r>
        <w:t>ов</w:t>
      </w:r>
      <w:r w:rsidRPr="00EF7D65">
        <w:t xml:space="preserve"> и партнерских договоренностей, но и включали четко задокументированные результаты для конечных пользователей и потребителей, такие как повышение уровня доступности, цифровых навыков, доверия и безопасности, особенно для женщин, молодежи, лиц с ограниченными возможностями и жителей сельских </w:t>
      </w:r>
      <w:r>
        <w:t>районов</w:t>
      </w:r>
      <w:r w:rsidRPr="00EF7D65">
        <w:t>. Это было сочтено важным с точки зрения повышения доверия к подборке и ее политической значимости.</w:t>
      </w:r>
    </w:p>
    <w:p w14:paraId="1B077B11" w14:textId="77777777" w:rsidR="00565128" w:rsidRPr="00EF7D65" w:rsidRDefault="00565128" w:rsidP="00F24D36">
      <w:r w:rsidRPr="00EF7D65">
        <w:t>В ходе обсуждения также была подчеркнута необходимость инклюзивного и сбалансированного управления процессом составления подборки с учетом вкладов регуляторных органов и других соответствующих заинтересованных сторон, а также уделения пристального внимания этическим аспектам. Делегации подчеркнули, что подборка не должна превращаться в маркетинговый инструмент для отдельных компаний, а должна по-прежнему быть сосредоточена на содействии развитию, прозрачности и извлеченных уроках.</w:t>
      </w:r>
    </w:p>
    <w:p w14:paraId="0909013D" w14:textId="77777777" w:rsidR="00565128" w:rsidRPr="00EF7D65" w:rsidRDefault="00565128" w:rsidP="00F24D36">
      <w:r w:rsidRPr="00EF7D65">
        <w:t>БРЭ отметило, что МСЭ-D уже работает над примерами и отчетами по проектам, применяет процедуры должной осмотрительности в отношении партнеров, а также готовит отчет и оценку</w:t>
      </w:r>
      <w:r>
        <w:t xml:space="preserve"> по итогам реализации</w:t>
      </w:r>
      <w:r w:rsidRPr="00EF7D65">
        <w:t>. Было разъяснено, что в основе подборки может лежать наработанный опыт – могут быть представлены краткие информативные исследования конкретных ситуаций, составленные с соблюдением этических стандартов</w:t>
      </w:r>
      <w:r>
        <w:t>,</w:t>
      </w:r>
      <w:r w:rsidRPr="00EF7D65">
        <w:t xml:space="preserve"> в которых освещаются успехи и трудности.</w:t>
      </w:r>
    </w:p>
    <w:p w14:paraId="39812E45" w14:textId="77777777" w:rsidR="00565128" w:rsidRPr="00EF7D65" w:rsidRDefault="00565128" w:rsidP="00F24D36">
      <w:pPr>
        <w:spacing w:after="120"/>
      </w:pPr>
      <w:r w:rsidRPr="00EF7D65">
        <w:t>КГРЭ приняла к сведению Документ 43 и приветствовала его как полезный вклад, согласующийся с усилиями по укреплению партнерских отношений и мобилизации ресурсов, а также призвала БРЭ рассмотреть вопрос о том, как составить такую подборку, следуя принципам сбалансированности, прозрачности и ориентации на достижение результатов.</w:t>
      </w:r>
    </w:p>
    <w:tbl>
      <w:tblPr>
        <w:tblStyle w:val="TableGrid"/>
        <w:tblW w:w="0" w:type="auto"/>
        <w:tblLayout w:type="fixed"/>
        <w:tblLook w:val="04A0" w:firstRow="1" w:lastRow="0" w:firstColumn="1" w:lastColumn="0" w:noHBand="0" w:noVBand="1"/>
      </w:tblPr>
      <w:tblGrid>
        <w:gridCol w:w="9629"/>
      </w:tblGrid>
      <w:tr w:rsidR="00565128" w:rsidRPr="000F05DE" w14:paraId="375F0F26" w14:textId="77777777" w:rsidTr="00ED4397">
        <w:tc>
          <w:tcPr>
            <w:tcW w:w="9629" w:type="dxa"/>
          </w:tcPr>
          <w:p w14:paraId="2BD8CDE2" w14:textId="77777777" w:rsidR="00565128" w:rsidRPr="00EF7D65" w:rsidRDefault="00565128" w:rsidP="00ED4397">
            <w:pPr>
              <w:spacing w:after="120"/>
              <w:rPr>
                <w:szCs w:val="24"/>
              </w:rPr>
            </w:pPr>
            <w:r w:rsidRPr="00EF7D65">
              <w:rPr>
                <w:color w:val="000000"/>
              </w:rPr>
              <w:lastRenderedPageBreak/>
              <w:t xml:space="preserve">КГРЭ приняла к сведению Документ 43 и предложила БРЭ и далее </w:t>
            </w:r>
            <w:r>
              <w:rPr>
                <w:color w:val="000000"/>
              </w:rPr>
              <w:t>укреплять</w:t>
            </w:r>
            <w:r w:rsidRPr="00EF7D65">
              <w:rPr>
                <w:color w:val="000000"/>
              </w:rPr>
              <w:t xml:space="preserve"> информационно-пропагандистскую </w:t>
            </w:r>
            <w:r>
              <w:rPr>
                <w:color w:val="000000"/>
              </w:rPr>
              <w:t>деятельность</w:t>
            </w:r>
            <w:r w:rsidRPr="00EF7D65">
              <w:rPr>
                <w:color w:val="000000"/>
              </w:rPr>
              <w:t xml:space="preserve"> с использованием примеров успешных проектов и их воздействия в пределах имеющихся ресурсов, принимая во внимание </w:t>
            </w:r>
            <w:r>
              <w:rPr>
                <w:color w:val="000000"/>
              </w:rPr>
              <w:t>соответствие</w:t>
            </w:r>
            <w:r w:rsidRPr="00EF7D65">
              <w:rPr>
                <w:color w:val="000000"/>
              </w:rPr>
              <w:t xml:space="preserve"> </w:t>
            </w:r>
            <w:r>
              <w:rPr>
                <w:color w:val="000000"/>
              </w:rPr>
              <w:t xml:space="preserve">возможностям </w:t>
            </w:r>
            <w:r w:rsidRPr="00EF7D65">
              <w:rPr>
                <w:color w:val="000000"/>
              </w:rPr>
              <w:t>существующи</w:t>
            </w:r>
            <w:r>
              <w:rPr>
                <w:color w:val="000000"/>
              </w:rPr>
              <w:t>х</w:t>
            </w:r>
            <w:r w:rsidRPr="00EF7D65">
              <w:rPr>
                <w:color w:val="000000"/>
              </w:rPr>
              <w:t xml:space="preserve"> платформ</w:t>
            </w:r>
            <w:r>
              <w:rPr>
                <w:color w:val="000000"/>
              </w:rPr>
              <w:t xml:space="preserve"> для создания</w:t>
            </w:r>
            <w:r w:rsidRPr="00EF7D65">
              <w:rPr>
                <w:color w:val="000000"/>
              </w:rPr>
              <w:t xml:space="preserve"> отчетности. БРЭ было настоятельно рекомендовано предпринять усилия для привлечения большего объема финансирования и партнеров, уделяя особое внимание освещению результатов для бенефициаров.</w:t>
            </w:r>
          </w:p>
        </w:tc>
      </w:tr>
    </w:tbl>
    <w:p w14:paraId="54D4F98C" w14:textId="77777777" w:rsidR="00565128" w:rsidRPr="00EF7D65" w:rsidRDefault="00565128" w:rsidP="00937AE8">
      <w:pPr>
        <w:pStyle w:val="Headingb"/>
        <w:rPr>
          <w:rFonts w:cstheme="minorBidi"/>
          <w:b w:val="0"/>
          <w:bCs/>
          <w:lang w:val="ru-RU"/>
        </w:rPr>
      </w:pPr>
      <w:r w:rsidRPr="00937AE8">
        <w:t>Документ</w:t>
      </w:r>
      <w:r w:rsidRPr="00EF7D65">
        <w:rPr>
          <w:bCs/>
          <w:lang w:val="ru-RU"/>
        </w:rPr>
        <w:t xml:space="preserve"> </w:t>
      </w:r>
      <w:hyperlink r:id="rId58" w:history="1">
        <w:r w:rsidRPr="00EF7D65">
          <w:rPr>
            <w:rStyle w:val="Hyperlink"/>
            <w:bCs/>
            <w:lang w:val="ru-RU"/>
          </w:rPr>
          <w:t>8</w:t>
        </w:r>
      </w:hyperlink>
      <w:r w:rsidRPr="00EF7D65">
        <w:rPr>
          <w:bCs/>
          <w:lang w:val="ru-RU"/>
        </w:rPr>
        <w:t xml:space="preserve"> (Директор БРЭ) – Проекты МСЭ-D</w:t>
      </w:r>
      <w:bookmarkStart w:id="24" w:name="_Hlt227155317"/>
      <w:bookmarkStart w:id="25" w:name="_Hlt227155318"/>
      <w:bookmarkEnd w:id="24"/>
      <w:bookmarkEnd w:id="25"/>
    </w:p>
    <w:p w14:paraId="09765A69" w14:textId="77777777" w:rsidR="00565128" w:rsidRPr="00EF7D65" w:rsidRDefault="00565128" w:rsidP="00F24D36">
      <w:r w:rsidRPr="00EF7D65">
        <w:t>КГРЭ обсудила Документ 8, в котором представлен обзор деятельности по проектам МСЭ-D, включая разработку, реализацию и завершение проектов, а также общий жизненный цикл проектов по регионам и глобальным инициативам.</w:t>
      </w:r>
    </w:p>
    <w:p w14:paraId="1C772CDD" w14:textId="77777777" w:rsidR="00565128" w:rsidRPr="00EF7D65" w:rsidRDefault="00565128" w:rsidP="00F24D36">
      <w:r w:rsidRPr="00EF7D65">
        <w:t>В ходе обсуждения было отмечено, что в документе изложены масштабы и охват проектов МСЭ-D и подчеркнута центральная роль проектов как основного механизма реализации деятельности в области развития и основного канала мобилизации ресурсов и установления партнерских отношений, в частности с помощью внебюджетного финансирования. Было отмечено, что осуществление проектов дополняет оперативный план и региональные инициативы, превращая мандат ВКРЭ в ощутимые конечные результаты на местах.</w:t>
      </w:r>
    </w:p>
    <w:p w14:paraId="2300CF09" w14:textId="77777777" w:rsidR="00565128" w:rsidRPr="00EF7D65" w:rsidRDefault="00565128" w:rsidP="00F24D36">
      <w:r w:rsidRPr="00EF7D65">
        <w:t xml:space="preserve">Делегации приветствовали информацию об источниках и использовании финансирования, в том числе об использовании средств, утвержденных Советом, для мобилизации дополнительных ресурсов и поддержки региональных инициатив. Было признано, что одним из важных элементов подхода МСЭ-D к </w:t>
      </w:r>
      <w:r>
        <w:t xml:space="preserve">реализации </w:t>
      </w:r>
      <w:r w:rsidRPr="00EF7D65">
        <w:t>проект</w:t>
      </w:r>
      <w:r>
        <w:t>ов</w:t>
      </w:r>
      <w:r w:rsidRPr="00EF7D65">
        <w:t xml:space="preserve"> является </w:t>
      </w:r>
      <w:r>
        <w:t xml:space="preserve">использование </w:t>
      </w:r>
      <w:r w:rsidRPr="00EF7D65">
        <w:t>начально</w:t>
      </w:r>
      <w:r>
        <w:t>го</w:t>
      </w:r>
      <w:r w:rsidRPr="00EF7D65">
        <w:t xml:space="preserve"> финансировани</w:t>
      </w:r>
      <w:r>
        <w:t>я</w:t>
      </w:r>
      <w:r w:rsidRPr="00EF7D65">
        <w:t xml:space="preserve"> МСЭ</w:t>
      </w:r>
      <w:r>
        <w:t>, которое оказывает стимулирующее воздействие на</w:t>
      </w:r>
      <w:r w:rsidRPr="00EF7D65">
        <w:t xml:space="preserve"> мобилизаци</w:t>
      </w:r>
      <w:r>
        <w:t>ю</w:t>
      </w:r>
      <w:r w:rsidRPr="00EF7D65">
        <w:t xml:space="preserve"> более крупных взносов партнеров.</w:t>
      </w:r>
    </w:p>
    <w:p w14:paraId="7113614F" w14:textId="77777777" w:rsidR="00565128" w:rsidRPr="00EF7D65" w:rsidRDefault="00565128" w:rsidP="00F24D36">
      <w:r w:rsidRPr="00EF7D65">
        <w:t xml:space="preserve">В ходе обсуждения также были отмечены усилия БРЭ по укреплению областей проектного управления и представления отчетности, включая совершенствование отчетности перед партнерами, функционирование внутреннего Комитета </w:t>
      </w:r>
      <w:r>
        <w:t xml:space="preserve">по </w:t>
      </w:r>
      <w:r w:rsidRPr="00EF7D65">
        <w:t>проект</w:t>
      </w:r>
      <w:r>
        <w:t>ам</w:t>
      </w:r>
      <w:r w:rsidRPr="00EF7D65">
        <w:t>, сертификацию и профессиональную подготовку руководителей проектов, а также создание специализированных структур для совершенствования надзора и выполнения проектов. Было высказано мнение о том, что эти меры способствуют повышению прозрачности, эффективности и доверия между партнерами и Государствами-Членами.</w:t>
      </w:r>
    </w:p>
    <w:p w14:paraId="0F891A20" w14:textId="77777777" w:rsidR="00565128" w:rsidRPr="00EF7D65" w:rsidRDefault="00565128" w:rsidP="00F24D36">
      <w:r w:rsidRPr="00EF7D65">
        <w:t>Несколько делегаций увязали обсуждение Документа 8 с предложениями по повышению наглядности конечных результатов проектов, отметив, что ясная отчетность и представление результатов могут способствовать обучению, помочь избежать дублирования, усилить синергию с работой исследовательских комиссий и развить мобилизацию ресурсов в будущем при соблюдении надлежащих этических норм.</w:t>
      </w:r>
    </w:p>
    <w:p w14:paraId="19BBEC02" w14:textId="77777777" w:rsidR="00565128" w:rsidRPr="00EF7D65" w:rsidRDefault="00565128" w:rsidP="00F24D36">
      <w:pPr>
        <w:spacing w:after="120"/>
      </w:pPr>
      <w:r w:rsidRPr="00EF7D65">
        <w:t xml:space="preserve">КГРЭ приняла к сведению Документ 8 как всеобъемлющий отчет о ходе выполнения проектов МСЭ-D, высоко оценила прогресс в управлении проектами и их реализации и призвала к сохранению прозрачности, представлению отчетности, ориентированной на воздействие, и эффективному использованию проектов для поддержки </w:t>
      </w:r>
      <w:r>
        <w:t xml:space="preserve">выполнения </w:t>
      </w:r>
      <w:r w:rsidRPr="00EF7D65">
        <w:t>решений ВКРЭ-25.</w:t>
      </w:r>
    </w:p>
    <w:tbl>
      <w:tblPr>
        <w:tblStyle w:val="TableGrid"/>
        <w:tblW w:w="0" w:type="auto"/>
        <w:tblLayout w:type="fixed"/>
        <w:tblLook w:val="04A0" w:firstRow="1" w:lastRow="0" w:firstColumn="1" w:lastColumn="0" w:noHBand="0" w:noVBand="1"/>
      </w:tblPr>
      <w:tblGrid>
        <w:gridCol w:w="9629"/>
      </w:tblGrid>
      <w:tr w:rsidR="00565128" w:rsidRPr="00644851" w14:paraId="6516EBB9" w14:textId="77777777" w:rsidTr="00ED4397">
        <w:tc>
          <w:tcPr>
            <w:tcW w:w="9629" w:type="dxa"/>
          </w:tcPr>
          <w:p w14:paraId="5959CCE9" w14:textId="77777777" w:rsidR="00565128" w:rsidRPr="00EF7D65" w:rsidRDefault="00565128" w:rsidP="00ED4397">
            <w:pPr>
              <w:spacing w:after="120"/>
              <w:rPr>
                <w:szCs w:val="24"/>
              </w:rPr>
            </w:pPr>
            <w:r w:rsidRPr="00EF7D65">
              <w:rPr>
                <w:color w:val="000000"/>
              </w:rPr>
              <w:t>КГРЭ приняла к сведению Документ 8 по проектам МСЭ-D.</w:t>
            </w:r>
          </w:p>
        </w:tc>
      </w:tr>
    </w:tbl>
    <w:p w14:paraId="3B5DF352" w14:textId="1ED69682" w:rsidR="00565128" w:rsidRPr="00EF7D65" w:rsidRDefault="00211142" w:rsidP="00211142">
      <w:pPr>
        <w:pStyle w:val="Heading2"/>
      </w:pPr>
      <w:r w:rsidRPr="00211142">
        <w:rPr>
          <w:bCs/>
        </w:rPr>
        <w:t>7.5</w:t>
      </w:r>
      <w:r w:rsidRPr="00211142">
        <w:rPr>
          <w:bCs/>
        </w:rPr>
        <w:tab/>
      </w:r>
      <w:r w:rsidR="00565128" w:rsidRPr="00937AE8">
        <w:rPr>
          <w:bCs/>
        </w:rPr>
        <w:t>Деятельность</w:t>
      </w:r>
      <w:r w:rsidR="00565128" w:rsidRPr="00EF7D65">
        <w:t xml:space="preserve"> исследовательских комиссий</w:t>
      </w:r>
    </w:p>
    <w:p w14:paraId="1E4C65D6" w14:textId="5D8A4DB3" w:rsidR="00565128" w:rsidRPr="00EF7D65" w:rsidRDefault="00565128" w:rsidP="00937AE8">
      <w:pPr>
        <w:pStyle w:val="Headingb"/>
        <w:rPr>
          <w:rFonts w:cstheme="minorBidi"/>
          <w:b w:val="0"/>
          <w:lang w:val="ru-RU"/>
        </w:rPr>
      </w:pPr>
      <w:r w:rsidRPr="00211142">
        <w:rPr>
          <w:lang w:val="ru-RU"/>
        </w:rPr>
        <w:t>Документ</w:t>
      </w:r>
      <w:r w:rsidRPr="00EF7D65">
        <w:rPr>
          <w:lang w:val="ru-RU"/>
        </w:rPr>
        <w:t xml:space="preserve"> </w:t>
      </w:r>
      <w:hyperlink r:id="rId59" w:history="1">
        <w:r w:rsidRPr="00EF7D65">
          <w:rPr>
            <w:rStyle w:val="Hyperlink"/>
            <w:bCs/>
            <w:lang w:val="ru-RU"/>
          </w:rPr>
          <w:t>5</w:t>
        </w:r>
      </w:hyperlink>
      <w:r w:rsidRPr="00EF7D65">
        <w:rPr>
          <w:lang w:val="ru-RU"/>
        </w:rPr>
        <w:t xml:space="preserve"> (Председатель 1-й Исследовательской комиссии МСЭ-D) − Сфера деятельности 1</w:t>
      </w:r>
      <w:r w:rsidR="00211142" w:rsidRPr="00211142">
        <w:rPr>
          <w:lang w:val="ru-RU"/>
        </w:rPr>
        <w:noBreakHyphen/>
      </w:r>
      <w:r w:rsidRPr="00EF7D65">
        <w:rPr>
          <w:lang w:val="ru-RU"/>
        </w:rPr>
        <w:t>й</w:t>
      </w:r>
      <w:r w:rsidR="00211142">
        <w:rPr>
          <w:lang w:val="en-US"/>
        </w:rPr>
        <w:t> </w:t>
      </w:r>
      <w:r w:rsidRPr="00EF7D65">
        <w:rPr>
          <w:lang w:val="ru-RU"/>
        </w:rPr>
        <w:t>Исследовательской комиссии МСЭ-D на исследовательский период 2026</w:t>
      </w:r>
      <w:r w:rsidR="00211142">
        <w:rPr>
          <w:rFonts w:cs="Calibri"/>
          <w:lang w:val="ru-RU"/>
        </w:rPr>
        <w:t>−</w:t>
      </w:r>
      <w:r w:rsidRPr="00EF7D65">
        <w:rPr>
          <w:lang w:val="ru-RU"/>
        </w:rPr>
        <w:t>2029 годов</w:t>
      </w:r>
      <w:bookmarkStart w:id="26" w:name="_Hlt227155321"/>
      <w:bookmarkStart w:id="27" w:name="_Hlt227155322"/>
      <w:bookmarkEnd w:id="26"/>
      <w:bookmarkEnd w:id="27"/>
    </w:p>
    <w:p w14:paraId="73EB7C6F" w14:textId="5E6EE636" w:rsidR="00565128" w:rsidRPr="00EF7D65" w:rsidRDefault="00565128" w:rsidP="00F24D36">
      <w:r w:rsidRPr="00EF7D65">
        <w:t>КГРЭ обсудила Документ 5, представленный Председателем 1-й Исследовательской комиссии МСЭ</w:t>
      </w:r>
      <w:r w:rsidR="00211142" w:rsidRPr="00211142">
        <w:noBreakHyphen/>
      </w:r>
      <w:r w:rsidRPr="00EF7D65">
        <w:t>D, в котором изложены сфера деятельности и структура 1-й Исследовательской комиссии на исследовательский период 2026</w:t>
      </w:r>
      <w:r w:rsidR="00211142">
        <w:rPr>
          <w:rFonts w:cs="Calibri"/>
        </w:rPr>
        <w:t>−</w:t>
      </w:r>
      <w:r w:rsidRPr="00EF7D65">
        <w:t>2029 годов, а также отражены изменения, внесенные ВКРЭ-25.</w:t>
      </w:r>
    </w:p>
    <w:p w14:paraId="2C11A948" w14:textId="77777777" w:rsidR="00565128" w:rsidRPr="00EF7D65" w:rsidRDefault="00565128" w:rsidP="00F24D36">
      <w:r w:rsidRPr="00EF7D65">
        <w:lastRenderedPageBreak/>
        <w:t>В ходе обсуждения было отмечено, что документ включает основные корректировки, вытекающие из пересмотренных Резолюций ВКРЭ, в том числе упорядочение работы 1-й Исследовательской комиссии путем сокращения числа исследуемых Вопросов с семи до пяти. Это сокращение получило широкую поддержку как средство корректировки фокуса и повышения эффективности при сохранении широты и актуальности программы работы. Делегации подчеркнули, что упорядочение не должно снижать качество или глубину итоговых документов.</w:t>
      </w:r>
    </w:p>
    <w:p w14:paraId="3C980BD8" w14:textId="77777777" w:rsidR="00565128" w:rsidRPr="00EF7D65" w:rsidRDefault="00565128" w:rsidP="00F24D36">
      <w:r w:rsidRPr="00EF7D65">
        <w:t>Участники приветствовали инновации в методах и результатах работы, в частности возможность увеличения объема итоговых отчетов и дополнения заключительных отчетов промежуточными итоговыми документами. Это было расценено как решение прошлых проблем, когда отчеты не могли полностью отразить многообразие вкладов и обсуждений.</w:t>
      </w:r>
    </w:p>
    <w:p w14:paraId="300B2B65" w14:textId="77777777" w:rsidR="00565128" w:rsidRPr="00EF7D65" w:rsidRDefault="00565128" w:rsidP="00F24D36">
      <w:r w:rsidRPr="00EF7D65">
        <w:t xml:space="preserve">В ходе обсуждения было подчеркнуто, что в пересмотренной сфере деятельности больше внимания уделяется новым и возникающим темам, включая применение искусственного интеллекта, разработку политики на основе данных, согласование цифровой инфраструктуры с национальными приоритетами в области развития и технологические разработки, относящиеся к радиовещанию и универсальной возможности установления соединений. Была отмечена важность </w:t>
      </w:r>
      <w:r>
        <w:t xml:space="preserve">сохранения в центре </w:t>
      </w:r>
      <w:r w:rsidRPr="00EF7D65">
        <w:t>внимания 1-й Исследовательской комиссии вопрос</w:t>
      </w:r>
      <w:r>
        <w:t>ов</w:t>
      </w:r>
      <w:r w:rsidRPr="00EF7D65">
        <w:t xml:space="preserve"> благоприятной политической и регуляторной среды для преодоления цифрового разрыва.</w:t>
      </w:r>
    </w:p>
    <w:p w14:paraId="378C97EF" w14:textId="5A63271D" w:rsidR="00565128" w:rsidRPr="00EF7D65" w:rsidRDefault="00565128" w:rsidP="00F24D36">
      <w:r w:rsidRPr="00EF7D65">
        <w:t>Делегации также подчеркнули значение укрепления сотрудничества и синергии как внутри 1</w:t>
      </w:r>
      <w:r w:rsidR="00211142" w:rsidRPr="00211142">
        <w:noBreakHyphen/>
      </w:r>
      <w:r w:rsidRPr="00EF7D65">
        <w:t>й</w:t>
      </w:r>
      <w:r w:rsidR="00211142">
        <w:rPr>
          <w:lang w:val="en-US"/>
        </w:rPr>
        <w:t> </w:t>
      </w:r>
      <w:r w:rsidRPr="00EF7D65">
        <w:t xml:space="preserve">Исследовательской комиссии, так и со 2-й Исследовательской комиссией, а также с другими Секторами МСЭ. </w:t>
      </w:r>
      <w:r>
        <w:t>Делегаты призвали к</w:t>
      </w:r>
      <w:r w:rsidRPr="00EF7D65">
        <w:t xml:space="preserve"> проведени</w:t>
      </w:r>
      <w:r>
        <w:t>ю</w:t>
      </w:r>
      <w:r w:rsidRPr="00EF7D65">
        <w:t xml:space="preserve"> совместных семинаров-практикумов, координаци</w:t>
      </w:r>
      <w:r>
        <w:t>и</w:t>
      </w:r>
      <w:r w:rsidRPr="00EF7D65">
        <w:t xml:space="preserve"> деятельности по всем Вопросам и </w:t>
      </w:r>
      <w:r>
        <w:t xml:space="preserve">обеспечению </w:t>
      </w:r>
      <w:r w:rsidRPr="00EF7D65">
        <w:t>более тесн</w:t>
      </w:r>
      <w:r>
        <w:t>ой</w:t>
      </w:r>
      <w:r w:rsidRPr="00EF7D65">
        <w:t xml:space="preserve"> увязк</w:t>
      </w:r>
      <w:r>
        <w:t>и</w:t>
      </w:r>
      <w:r w:rsidRPr="00EF7D65">
        <w:t xml:space="preserve"> с региональными инициативами и проектами МСЭ-D для максим</w:t>
      </w:r>
      <w:r>
        <w:t xml:space="preserve">ального увеличения результативности работы и </w:t>
      </w:r>
      <w:r w:rsidRPr="00EF7D65">
        <w:t>исключения дублирования.</w:t>
      </w:r>
    </w:p>
    <w:p w14:paraId="27AD884A" w14:textId="77777777" w:rsidR="00565128" w:rsidRPr="00EF7D65" w:rsidRDefault="00565128" w:rsidP="00F24D36">
      <w:r w:rsidRPr="00EF7D65">
        <w:t>Была выражена поддержка усилиям по расширению участия, особенно частного сектора, академических организаций и развивающихся стран, в том числе путем проведения семинаров-практикумов, симпозиумов и мероприятий для новых Докладчиков и авторов вкладов.</w:t>
      </w:r>
    </w:p>
    <w:p w14:paraId="475237E7" w14:textId="4425A9A1" w:rsidR="00565128" w:rsidRPr="00EF7D65" w:rsidRDefault="00565128" w:rsidP="00F24D36">
      <w:pPr>
        <w:spacing w:after="120"/>
      </w:pPr>
      <w:r w:rsidRPr="00EF7D65">
        <w:t>КГРЭ приняла к сведению Документ 5 и приветствовала его как четкую и перспективную основу для работы 1-й Исследовательской комиссии в период 2026</w:t>
      </w:r>
      <w:r w:rsidR="00211142">
        <w:rPr>
          <w:rFonts w:cs="Calibri"/>
        </w:rPr>
        <w:t>−</w:t>
      </w:r>
      <w:r w:rsidRPr="00EF7D65">
        <w:t>2029 годов, отражающую руководящие указания ВКРЭ-25 и содействующую эффективности, инклюзивности и актуальности намеченных результатов деятельности.</w:t>
      </w:r>
    </w:p>
    <w:tbl>
      <w:tblPr>
        <w:tblStyle w:val="TableGrid"/>
        <w:tblW w:w="0" w:type="auto"/>
        <w:tblLayout w:type="fixed"/>
        <w:tblLook w:val="04A0" w:firstRow="1" w:lastRow="0" w:firstColumn="1" w:lastColumn="0" w:noHBand="0" w:noVBand="1"/>
      </w:tblPr>
      <w:tblGrid>
        <w:gridCol w:w="9629"/>
      </w:tblGrid>
      <w:tr w:rsidR="00565128" w:rsidRPr="00644851" w14:paraId="438A9F04" w14:textId="77777777" w:rsidTr="00ED4397">
        <w:tc>
          <w:tcPr>
            <w:tcW w:w="9629" w:type="dxa"/>
          </w:tcPr>
          <w:p w14:paraId="38377B86" w14:textId="77777777" w:rsidR="00565128" w:rsidRPr="00EF7D65" w:rsidRDefault="00565128" w:rsidP="00ED4397">
            <w:pPr>
              <w:spacing w:after="120"/>
              <w:rPr>
                <w:szCs w:val="24"/>
              </w:rPr>
            </w:pPr>
            <w:r w:rsidRPr="00EF7D65">
              <w:rPr>
                <w:color w:val="000000"/>
              </w:rPr>
              <w:t>КГРЭ приняла Документ 5 к сведению и выразила признательность за работу, успешно проделанную 1-й Исследовательской комиссией МСЭ-D, а также дала высокую оценку сфере деятельности и запланированной работе на исследовательский период 2026–2029</w:t>
            </w:r>
            <w:r>
              <w:rPr>
                <w:color w:val="000000"/>
              </w:rPr>
              <w:t> </w:t>
            </w:r>
            <w:r w:rsidRPr="00EF7D65">
              <w:rPr>
                <w:color w:val="000000"/>
              </w:rPr>
              <w:t>годов.</w:t>
            </w:r>
          </w:p>
        </w:tc>
      </w:tr>
    </w:tbl>
    <w:p w14:paraId="38034667" w14:textId="6FF0B7A8" w:rsidR="00565128" w:rsidRPr="00EF7D65" w:rsidRDefault="00565128" w:rsidP="00937AE8">
      <w:pPr>
        <w:pStyle w:val="Headingb"/>
        <w:rPr>
          <w:rFonts w:cstheme="minorBidi"/>
          <w:b w:val="0"/>
          <w:lang w:val="ru-RU"/>
        </w:rPr>
      </w:pPr>
      <w:r w:rsidRPr="00EF7D65">
        <w:rPr>
          <w:lang w:val="ru-RU"/>
        </w:rPr>
        <w:t xml:space="preserve">Документ </w:t>
      </w:r>
      <w:hyperlink r:id="rId60" w:history="1">
        <w:r w:rsidRPr="00EF7D65">
          <w:rPr>
            <w:rStyle w:val="Hyperlink"/>
            <w:bCs/>
            <w:lang w:val="ru-RU"/>
          </w:rPr>
          <w:t>6</w:t>
        </w:r>
      </w:hyperlink>
      <w:r w:rsidRPr="00EF7D65">
        <w:rPr>
          <w:lang w:val="ru-RU"/>
        </w:rPr>
        <w:t xml:space="preserve"> (Председатель 2-й Исследовательской комиссии МСЭ-D) </w:t>
      </w:r>
      <w:r w:rsidR="00211142">
        <w:rPr>
          <w:rFonts w:cs="Calibri"/>
          <w:lang w:val="ru-RU"/>
        </w:rPr>
        <w:t>−</w:t>
      </w:r>
      <w:r w:rsidRPr="00EF7D65">
        <w:rPr>
          <w:lang w:val="ru-RU"/>
        </w:rPr>
        <w:t xml:space="preserve"> Сфера деятельности 2</w:t>
      </w:r>
      <w:r w:rsidR="00211142" w:rsidRPr="00211142">
        <w:rPr>
          <w:lang w:val="ru-RU"/>
        </w:rPr>
        <w:noBreakHyphen/>
      </w:r>
      <w:r w:rsidRPr="00EF7D65">
        <w:rPr>
          <w:lang w:val="ru-RU"/>
        </w:rPr>
        <w:t>й</w:t>
      </w:r>
      <w:r w:rsidR="00211142">
        <w:rPr>
          <w:lang w:val="en-US"/>
        </w:rPr>
        <w:t> </w:t>
      </w:r>
      <w:r w:rsidRPr="00211142">
        <w:rPr>
          <w:lang w:val="ru-RU"/>
        </w:rPr>
        <w:t>Исследовательской</w:t>
      </w:r>
      <w:r w:rsidRPr="00EF7D65">
        <w:rPr>
          <w:lang w:val="ru-RU"/>
        </w:rPr>
        <w:t xml:space="preserve"> комиссии МСЭ-D на исследовательский период 2026</w:t>
      </w:r>
      <w:r w:rsidR="00211142">
        <w:rPr>
          <w:rFonts w:cs="Calibri"/>
          <w:lang w:val="ru-RU"/>
        </w:rPr>
        <w:t>−</w:t>
      </w:r>
      <w:r w:rsidRPr="00EF7D65">
        <w:rPr>
          <w:lang w:val="ru-RU"/>
        </w:rPr>
        <w:t>2029 годов</w:t>
      </w:r>
      <w:bookmarkStart w:id="28" w:name="_Hlt227155329"/>
      <w:bookmarkStart w:id="29" w:name="_Hlt227155330"/>
      <w:bookmarkEnd w:id="28"/>
      <w:bookmarkEnd w:id="29"/>
    </w:p>
    <w:p w14:paraId="70B0B11C" w14:textId="39C89BC8" w:rsidR="00565128" w:rsidRPr="00EF7D65" w:rsidRDefault="00565128" w:rsidP="00F24D36">
      <w:r w:rsidRPr="00EF7D65">
        <w:t>КГРЭ обсудила Документ 6, представленный Председателем 2-й Исследовательской комиссии МСЭ</w:t>
      </w:r>
      <w:r w:rsidR="00211142" w:rsidRPr="00211142">
        <w:noBreakHyphen/>
      </w:r>
      <w:r w:rsidRPr="00EF7D65">
        <w:t>D, в котором изложены сфера деятельности, вопросы для исследования и организация работы 2-й Исследовательской комиссии на исследовательский период 2026–2029 годов в соответствии с решениями ВКРЭ-25.</w:t>
      </w:r>
    </w:p>
    <w:p w14:paraId="45877B41" w14:textId="77777777" w:rsidR="00565128" w:rsidRPr="00EF7D65" w:rsidRDefault="00565128" w:rsidP="00F24D36">
      <w:r w:rsidRPr="00EF7D65">
        <w:t>В ходе обсуждения было отмечено, что 2-я Исследовательская комиссия будет и далее уделять основное внимание цифровой трансформации и ее социально-экономическим, экологическим аспектам и аспектам безопасности, а ее работа будет сосредоточена вокруг пяти исследуемых Вопросов, которые были упорядочен</w:t>
      </w:r>
      <w:r>
        <w:t>ы</w:t>
      </w:r>
      <w:r w:rsidRPr="00EF7D65">
        <w:t xml:space="preserve"> решением ВКРЭ-25. Делегации приветствовали эту упорядоченную структуру, отметив, что она способствует более четкой фокусировке при сохранении широкого спектра вопросов, актуальных для развивающихся стран.</w:t>
      </w:r>
    </w:p>
    <w:p w14:paraId="79903EA8" w14:textId="77777777" w:rsidR="00565128" w:rsidRPr="00EF7D65" w:rsidRDefault="00565128" w:rsidP="00F24D36">
      <w:r w:rsidRPr="00EF7D65">
        <w:lastRenderedPageBreak/>
        <w:t>Участники подчеркнули, что пересмотренная сфера деятельности охватывает следующие ключевые темы:</w:t>
      </w:r>
    </w:p>
    <w:p w14:paraId="2DC0AF44" w14:textId="18D7A9B4" w:rsidR="00565128" w:rsidRPr="00EF7D65" w:rsidRDefault="00F24D36" w:rsidP="00F24D36">
      <w:pPr>
        <w:pStyle w:val="enumlev1"/>
      </w:pPr>
      <w:r>
        <w:t>•</w:t>
      </w:r>
      <w:r w:rsidRPr="00F24D36">
        <w:tab/>
      </w:r>
      <w:r w:rsidR="00565128" w:rsidRPr="00EF7D65">
        <w:t>цифровая трансформация на национальном и местном уровнях, включая "умные" города и сообщества;</w:t>
      </w:r>
    </w:p>
    <w:p w14:paraId="54107D79" w14:textId="2CA57E68" w:rsidR="00565128" w:rsidRPr="00EF7D65" w:rsidRDefault="00F24D36" w:rsidP="00F24D36">
      <w:pPr>
        <w:pStyle w:val="enumlev1"/>
      </w:pPr>
      <w:r>
        <w:t>•</w:t>
      </w:r>
      <w:r w:rsidRPr="00F24D36">
        <w:tab/>
      </w:r>
      <w:r w:rsidR="00565128" w:rsidRPr="00EF7D65">
        <w:t>появляющиеся технологии, включая искусственный интеллект, и их воздействие;</w:t>
      </w:r>
    </w:p>
    <w:p w14:paraId="17AA6686" w14:textId="63EF3206" w:rsidR="00565128" w:rsidRPr="00EF7D65" w:rsidRDefault="00F24D36" w:rsidP="00F24D36">
      <w:pPr>
        <w:pStyle w:val="enumlev1"/>
      </w:pPr>
      <w:r>
        <w:t>•</w:t>
      </w:r>
      <w:r w:rsidRPr="00F24D36">
        <w:tab/>
      </w:r>
      <w:r w:rsidR="00565128" w:rsidRPr="00EF7D65">
        <w:t>доверие, безопасность и устойчивость цифровых сетей и услуг;</w:t>
      </w:r>
    </w:p>
    <w:p w14:paraId="7F2BD4CE" w14:textId="6A5EECA4" w:rsidR="00565128" w:rsidRPr="00EF7D65" w:rsidRDefault="00F24D36" w:rsidP="00F24D36">
      <w:pPr>
        <w:pStyle w:val="enumlev1"/>
      </w:pPr>
      <w:r>
        <w:t>•</w:t>
      </w:r>
      <w:r w:rsidRPr="00F24D36">
        <w:tab/>
      </w:r>
      <w:r w:rsidR="00565128" w:rsidRPr="00EF7D65">
        <w:t>наличие и доступность устройств и оборудования; а также</w:t>
      </w:r>
    </w:p>
    <w:p w14:paraId="4F8FD088" w14:textId="56A92EF6" w:rsidR="00565128" w:rsidRPr="00EF7D65" w:rsidRDefault="00F24D36" w:rsidP="00F24D36">
      <w:pPr>
        <w:pStyle w:val="enumlev1"/>
      </w:pPr>
      <w:r>
        <w:t>•</w:t>
      </w:r>
      <w:r w:rsidRPr="00F24D36">
        <w:tab/>
      </w:r>
      <w:r w:rsidR="00565128" w:rsidRPr="00EF7D65">
        <w:t>создание потенциала и политические подходы для поддержки инклюзивной цифровой трансформации.</w:t>
      </w:r>
    </w:p>
    <w:p w14:paraId="5B3FC83F" w14:textId="0A3F4EB4" w:rsidR="00565128" w:rsidRPr="00EF7D65" w:rsidRDefault="00565128" w:rsidP="00937AE8">
      <w:r w:rsidRPr="00EF7D65">
        <w:t>Председатель КГРЭ подчеркнула важность координации и сотрудничества как внутри 2</w:t>
      </w:r>
      <w:r w:rsidR="00211142" w:rsidRPr="00211142">
        <w:noBreakHyphen/>
      </w:r>
      <w:r w:rsidRPr="00EF7D65">
        <w:t>й</w:t>
      </w:r>
      <w:r w:rsidR="00211142">
        <w:rPr>
          <w:lang w:val="en-US"/>
        </w:rPr>
        <w:t> </w:t>
      </w:r>
      <w:r w:rsidRPr="00EF7D65">
        <w:t xml:space="preserve">Исследовательской комиссии, так и с 1-й Исследовательской комиссией, другими Секторами МСЭ и </w:t>
      </w:r>
      <w:r>
        <w:t>соответствующими</w:t>
      </w:r>
      <w:r w:rsidRPr="00EF7D65">
        <w:t xml:space="preserve"> внешними организациями. Были обозначены расширенные полномочия заместителей председателя, в частности в области содействия координации, повышения наглядности результатов работы и расширения спектра участников, в том числе привлечения представителей развивающихся стран и молодых экспертов.</w:t>
      </w:r>
    </w:p>
    <w:p w14:paraId="38F206BB" w14:textId="77777777" w:rsidR="00565128" w:rsidRPr="00EF7D65" w:rsidRDefault="00565128" w:rsidP="00937AE8">
      <w:r w:rsidRPr="00EF7D65">
        <w:t>В ходе обсуждения было одобрено намерение усилить методы работы, в том числе улучшить координацию между Докладчиками, более широко использовать промежуточные итоговые документы и обеспечить более прочную увязку между работой исследовательских комиссий, проектами МСЭ-D и региональными инициативами. Делегации подчеркнули, что реальное участие не ограничивается руководящими функциями, а предполагает также активный формат – представление предложений и участие в обсуждениях.</w:t>
      </w:r>
    </w:p>
    <w:p w14:paraId="37F918B7" w14:textId="3BFAA15E" w:rsidR="00565128" w:rsidRPr="00EF7D65" w:rsidRDefault="00565128" w:rsidP="00937AE8">
      <w:pPr>
        <w:spacing w:after="120"/>
      </w:pPr>
      <w:r w:rsidRPr="00EF7D65">
        <w:t>КГРЭ приняла к сведению Документ 6 и приветствовала его как четкую и последовательно выстроенную основу работы 2-й Исследовательской комиссии в течение исследовательского периода 2026</w:t>
      </w:r>
      <w:r w:rsidR="00211142">
        <w:rPr>
          <w:rFonts w:cs="Calibri"/>
        </w:rPr>
        <w:t>−</w:t>
      </w:r>
      <w:r w:rsidRPr="00EF7D65">
        <w:t>2029 годов, согласованную с приоритетами ВКРЭ-25 в области цифровой трансформации, инклюзивности и устойчивого развития.</w:t>
      </w:r>
    </w:p>
    <w:tbl>
      <w:tblPr>
        <w:tblStyle w:val="TableGrid"/>
        <w:tblW w:w="0" w:type="auto"/>
        <w:tblLayout w:type="fixed"/>
        <w:tblLook w:val="04A0" w:firstRow="1" w:lastRow="0" w:firstColumn="1" w:lastColumn="0" w:noHBand="0" w:noVBand="1"/>
      </w:tblPr>
      <w:tblGrid>
        <w:gridCol w:w="9629"/>
      </w:tblGrid>
      <w:tr w:rsidR="00565128" w:rsidRPr="00644851" w14:paraId="306DEF5F" w14:textId="77777777" w:rsidTr="00ED4397">
        <w:tc>
          <w:tcPr>
            <w:tcW w:w="9629" w:type="dxa"/>
          </w:tcPr>
          <w:p w14:paraId="6A35E3B8" w14:textId="77777777" w:rsidR="00565128" w:rsidRPr="00EF7D65" w:rsidRDefault="00565128" w:rsidP="00ED4397">
            <w:pPr>
              <w:spacing w:after="120"/>
              <w:rPr>
                <w:szCs w:val="24"/>
              </w:rPr>
            </w:pPr>
            <w:r w:rsidRPr="00EF7D65">
              <w:rPr>
                <w:color w:val="000000"/>
              </w:rPr>
              <w:t>КГРЭ приняла Документ 6 к сведению и выразила признательность за работу, успешно проделанную 2-й Исследовательской комиссией МСЭ-D, а также дала высокую оценку сфере деятельности и запланированной работе на исследовательский период 2026–2029</w:t>
            </w:r>
            <w:r>
              <w:rPr>
                <w:color w:val="000000"/>
              </w:rPr>
              <w:t> </w:t>
            </w:r>
            <w:r w:rsidRPr="00EF7D65">
              <w:rPr>
                <w:color w:val="000000"/>
              </w:rPr>
              <w:t>годов.</w:t>
            </w:r>
          </w:p>
        </w:tc>
      </w:tr>
    </w:tbl>
    <w:p w14:paraId="0484EE13" w14:textId="15608DCB" w:rsidR="00565128" w:rsidRPr="00DD3526" w:rsidRDefault="00211142" w:rsidP="00211142">
      <w:pPr>
        <w:pStyle w:val="Heading2"/>
      </w:pPr>
      <w:r w:rsidRPr="00211142">
        <w:rPr>
          <w:bCs/>
        </w:rPr>
        <w:t>7.6</w:t>
      </w:r>
      <w:r w:rsidRPr="00211142">
        <w:rPr>
          <w:bCs/>
        </w:rPr>
        <w:tab/>
      </w:r>
      <w:r w:rsidR="00565128" w:rsidRPr="00937AE8">
        <w:rPr>
          <w:bCs/>
        </w:rPr>
        <w:t>Вопросы</w:t>
      </w:r>
      <w:r w:rsidR="00565128" w:rsidRPr="00DD3526">
        <w:t>, относящиеся к членскому составу, партнерским отношениям и частному сектору</w:t>
      </w:r>
    </w:p>
    <w:p w14:paraId="7AAE0B37" w14:textId="70F6B97C" w:rsidR="00565128" w:rsidRPr="00DD3526" w:rsidRDefault="00565128" w:rsidP="00937AE8">
      <w:pPr>
        <w:pStyle w:val="Headingb"/>
        <w:rPr>
          <w:b w:val="0"/>
          <w:lang w:val="ru-RU"/>
        </w:rPr>
      </w:pPr>
      <w:r w:rsidRPr="00937AE8">
        <w:rPr>
          <w:lang w:val="ru-RU"/>
        </w:rPr>
        <w:t>Документ</w:t>
      </w:r>
      <w:r w:rsidRPr="00DD3526">
        <w:rPr>
          <w:lang w:val="ru-RU"/>
        </w:rPr>
        <w:t xml:space="preserve"> </w:t>
      </w:r>
      <w:bookmarkStart w:id="30" w:name="_Hlt227155336"/>
      <w:bookmarkStart w:id="31" w:name="_Hlt227155337"/>
      <w:r w:rsidR="00211142">
        <w:fldChar w:fldCharType="begin"/>
      </w:r>
      <w:r w:rsidR="00211142">
        <w:instrText>HYPERLINK</w:instrText>
      </w:r>
      <w:r w:rsidR="00211142" w:rsidRPr="00211142">
        <w:rPr>
          <w:lang w:val="ru-RU"/>
        </w:rPr>
        <w:instrText xml:space="preserve"> "</w:instrText>
      </w:r>
      <w:r w:rsidR="00211142">
        <w:instrText>https</w:instrText>
      </w:r>
      <w:r w:rsidR="00211142" w:rsidRPr="00211142">
        <w:rPr>
          <w:lang w:val="ru-RU"/>
        </w:rPr>
        <w:instrText>://</w:instrText>
      </w:r>
      <w:r w:rsidR="00211142">
        <w:instrText>www</w:instrText>
      </w:r>
      <w:r w:rsidR="00211142" w:rsidRPr="00211142">
        <w:rPr>
          <w:lang w:val="ru-RU"/>
        </w:rPr>
        <w:instrText>.</w:instrText>
      </w:r>
      <w:r w:rsidR="00211142">
        <w:instrText>itu</w:instrText>
      </w:r>
      <w:r w:rsidR="00211142" w:rsidRPr="00211142">
        <w:rPr>
          <w:lang w:val="ru-RU"/>
        </w:rPr>
        <w:instrText>.</w:instrText>
      </w:r>
      <w:r w:rsidR="00211142">
        <w:instrText>int</w:instrText>
      </w:r>
      <w:r w:rsidR="00211142" w:rsidRPr="00211142">
        <w:rPr>
          <w:lang w:val="ru-RU"/>
        </w:rPr>
        <w:instrText>/</w:instrText>
      </w:r>
      <w:r w:rsidR="00211142">
        <w:instrText>md</w:instrText>
      </w:r>
      <w:r w:rsidR="00211142" w:rsidRPr="00211142">
        <w:rPr>
          <w:lang w:val="ru-RU"/>
        </w:rPr>
        <w:instrText>/</w:instrText>
      </w:r>
      <w:r w:rsidR="00211142">
        <w:instrText>D</w:instrText>
      </w:r>
      <w:r w:rsidR="00211142" w:rsidRPr="00211142">
        <w:rPr>
          <w:lang w:val="ru-RU"/>
        </w:rPr>
        <w:instrText>26-</w:instrText>
      </w:r>
      <w:r w:rsidR="00211142">
        <w:instrText>TDAG</w:instrText>
      </w:r>
      <w:r w:rsidR="00211142" w:rsidRPr="00211142">
        <w:rPr>
          <w:lang w:val="ru-RU"/>
        </w:rPr>
        <w:instrText>33-</w:instrText>
      </w:r>
      <w:r w:rsidR="00211142">
        <w:instrText>C</w:instrText>
      </w:r>
      <w:r w:rsidR="00211142" w:rsidRPr="00211142">
        <w:rPr>
          <w:lang w:val="ru-RU"/>
        </w:rPr>
        <w:instrText>-0009/"</w:instrText>
      </w:r>
      <w:r w:rsidR="00211142">
        <w:fldChar w:fldCharType="separate"/>
      </w:r>
      <w:r w:rsidR="00211142" w:rsidRPr="00211142">
        <w:rPr>
          <w:rStyle w:val="Hyperlink"/>
          <w:rFonts w:cstheme="minorBidi"/>
          <w:bCs/>
          <w:lang w:val="ru-RU"/>
        </w:rPr>
        <w:t>9</w:t>
      </w:r>
      <w:r w:rsidR="00211142">
        <w:fldChar w:fldCharType="end"/>
      </w:r>
      <w:bookmarkEnd w:id="30"/>
      <w:bookmarkEnd w:id="31"/>
      <w:r w:rsidRPr="00DD3526">
        <w:rPr>
          <w:lang w:val="ru-RU"/>
        </w:rPr>
        <w:t xml:space="preserve"> (Директор БРЭ) – Партнерские отношения и мобилизация ресурсов в МСЭ-D</w:t>
      </w:r>
    </w:p>
    <w:p w14:paraId="01F145A7" w14:textId="77777777" w:rsidR="00565128" w:rsidRPr="00DD3526" w:rsidRDefault="00565128" w:rsidP="00937AE8">
      <w:r w:rsidRPr="00DD3526">
        <w:t>КГРЭ обсудила Документ 9, в котором содержится отчет о деятельности МСЭ-D в области партнерских отношений и мобилизации ресурсов, в том числе перечисляются заключенные соглашения, полученные финансовые взносы и стратегические подходы к укреплению сотрудничества с партнерами.</w:t>
      </w:r>
    </w:p>
    <w:p w14:paraId="2009D722" w14:textId="77777777" w:rsidR="00565128" w:rsidRPr="00DD3526" w:rsidRDefault="00565128" w:rsidP="00937AE8">
      <w:r w:rsidRPr="00DD3526">
        <w:t>В ходе обсуждения было отмечено, что внебюджетные ресурсы составляют значительную долю финансирования МСЭ-D, и было подчеркнуто значение партнерских отношений с отраслью, партнерами по развитию и другими заинтересованными сторонами для получения конечных результатов в области развития и выполнения мандатов ВКРЭ. Делегации признали, что партнерские отношения являются одним из ключевых факторов, содействующих реализации проектов и региональных инициатив МСЭ-D.</w:t>
      </w:r>
    </w:p>
    <w:p w14:paraId="348F076D" w14:textId="77777777" w:rsidR="00565128" w:rsidRPr="00DD3526" w:rsidRDefault="00565128" w:rsidP="00937AE8">
      <w:r w:rsidRPr="00DD3526">
        <w:t xml:space="preserve">Несколько делегаций приветствовали прозрачность отчетности и обзор типов партнеров, распределения финансирования по регионам и приоритетам, отметив, что эта информация помогает Государствам-Членам понять, как партнерства способствуют реализации приоритетов МСЭ-D. Была </w:t>
      </w:r>
      <w:r w:rsidRPr="00DD3526">
        <w:lastRenderedPageBreak/>
        <w:t>признана каталитическая роль начального финансирования МСЭ в мобилизации дополнительных взносов партнеров.</w:t>
      </w:r>
    </w:p>
    <w:p w14:paraId="6E1CA36E" w14:textId="77777777" w:rsidR="00565128" w:rsidRPr="00DD3526" w:rsidRDefault="00565128" w:rsidP="00937AE8">
      <w:r w:rsidRPr="00DD3526">
        <w:t>В то же время делегации подчеркнули необходимость точного баланса и этических гарантий в деятельности по созданию партнерств и информационных мероприятиях. Была выражена обеспокоенность</w:t>
      </w:r>
      <w:r>
        <w:t xml:space="preserve"> в связи с необходимостью исключить </w:t>
      </w:r>
      <w:r w:rsidRPr="00DD3526">
        <w:t>созда</w:t>
      </w:r>
      <w:r>
        <w:t xml:space="preserve">ние </w:t>
      </w:r>
      <w:r w:rsidRPr="00DD3526">
        <w:t>впечатлени</w:t>
      </w:r>
      <w:r>
        <w:t>я</w:t>
      </w:r>
      <w:r w:rsidRPr="00DD3526">
        <w:t>, будто МСЭ-D продвигает или рекламирует отдельные компании или продукты. В ответ было отмечено, что МСЭ-D при привлечении партнеров применяет процедуры должной осмотрительности и управления рисками и уделяет основное внимание воздействию на развитие, а не коммерческому эффекту.</w:t>
      </w:r>
    </w:p>
    <w:p w14:paraId="5BB6B410" w14:textId="77777777" w:rsidR="00565128" w:rsidRPr="00DD3526" w:rsidRDefault="00565128" w:rsidP="00937AE8">
      <w:r w:rsidRPr="00DD3526">
        <w:t>В ходе обсуждения также была подчеркнута важность ориентированных на воздействие коммуникаций и было высказано предположение о том, что более четкое представление результатов проектов и результатов партнерских отношений может укрепить доверие, способствовать обучению и еще больше активизировать мобилизацию ресурсов</w:t>
      </w:r>
      <w:r>
        <w:t xml:space="preserve"> без выхода за рамки </w:t>
      </w:r>
      <w:r w:rsidRPr="00DD3526">
        <w:t>мандата МСЭ и в соответствии с его ценностями.</w:t>
      </w:r>
    </w:p>
    <w:p w14:paraId="0B26A275" w14:textId="77777777" w:rsidR="00565128" w:rsidRPr="00DD3526" w:rsidRDefault="00565128" w:rsidP="00937AE8">
      <w:pPr>
        <w:spacing w:after="120"/>
      </w:pPr>
      <w:r w:rsidRPr="00DD3526">
        <w:t>КГРЭ приняла к сведению Документ 9 как информативный обзор деятельности МСЭ-D в области партнерских отношений и мобилизации ресурсов, приветствовала текущие усилия по повышению прозрачности и подотчетности и рекомендовала продолжать фокусироваться на этичных, ориентированных на воздействие партнерских отношениях для содействия реализации итоговых документов ВКРЭ-25.</w:t>
      </w:r>
    </w:p>
    <w:tbl>
      <w:tblPr>
        <w:tblStyle w:val="TableGrid"/>
        <w:tblW w:w="0" w:type="auto"/>
        <w:tblLayout w:type="fixed"/>
        <w:tblLook w:val="04A0" w:firstRow="1" w:lastRow="0" w:firstColumn="1" w:lastColumn="0" w:noHBand="0" w:noVBand="1"/>
      </w:tblPr>
      <w:tblGrid>
        <w:gridCol w:w="9629"/>
      </w:tblGrid>
      <w:tr w:rsidR="00565128" w:rsidRPr="005325E7" w14:paraId="162FB7BF" w14:textId="77777777" w:rsidTr="00ED4397">
        <w:tc>
          <w:tcPr>
            <w:tcW w:w="9629" w:type="dxa"/>
          </w:tcPr>
          <w:p w14:paraId="64331168" w14:textId="77777777" w:rsidR="00565128" w:rsidRPr="00DD3526" w:rsidRDefault="00565128" w:rsidP="00ED4397">
            <w:pPr>
              <w:tabs>
                <w:tab w:val="left" w:pos="567"/>
                <w:tab w:val="left" w:pos="1701"/>
              </w:tabs>
              <w:spacing w:after="120"/>
              <w:textAlignment w:val="auto"/>
            </w:pPr>
            <w:r w:rsidRPr="00DD3526">
              <w:rPr>
                <w:color w:val="000000"/>
              </w:rPr>
              <w:t>КГРЭ приняла к сведению Документ 9, в котором признается решающая роль партнерских отношений и мобилизации ресурсов для выполнения мандата Сектора МСЭ-D, и выразила благодарность увеличившемуся числу партнеров за их постоянную поддержку.</w:t>
            </w:r>
          </w:p>
        </w:tc>
      </w:tr>
    </w:tbl>
    <w:p w14:paraId="3FA8E29E" w14:textId="559682B3" w:rsidR="00565128" w:rsidRPr="00937AE8" w:rsidRDefault="00565128" w:rsidP="00937AE8">
      <w:pPr>
        <w:pStyle w:val="Headingb"/>
        <w:rPr>
          <w:b w:val="0"/>
          <w:lang w:val="en-US"/>
        </w:rPr>
      </w:pPr>
      <w:r w:rsidRPr="00937AE8">
        <w:rPr>
          <w:lang w:val="ru-RU"/>
        </w:rPr>
        <w:t>Документ</w:t>
      </w:r>
      <w:r w:rsidRPr="00DD3526">
        <w:rPr>
          <w:lang w:val="ru-RU"/>
        </w:rPr>
        <w:t xml:space="preserve"> </w:t>
      </w:r>
      <w:hyperlink r:id="rId61" w:history="1">
        <w:r w:rsidRPr="00DD3526">
          <w:rPr>
            <w:rStyle w:val="Hyperlink"/>
            <w:rFonts w:cstheme="minorBidi"/>
            <w:bCs/>
            <w:lang w:val="ru-RU"/>
          </w:rPr>
          <w:t>1</w:t>
        </w:r>
        <w:bookmarkStart w:id="32" w:name="_Hlt227155341"/>
        <w:bookmarkStart w:id="33" w:name="_Hlt227155342"/>
        <w:r w:rsidRPr="00DD3526">
          <w:rPr>
            <w:rStyle w:val="Hyperlink"/>
            <w:rFonts w:cstheme="minorBidi"/>
            <w:bCs/>
            <w:lang w:val="ru-RU"/>
          </w:rPr>
          <w:t>0</w:t>
        </w:r>
        <w:bookmarkEnd w:id="32"/>
        <w:bookmarkEnd w:id="33"/>
      </w:hyperlink>
      <w:r w:rsidRPr="00DD3526">
        <w:rPr>
          <w:lang w:val="ru-RU"/>
        </w:rPr>
        <w:t xml:space="preserve"> (Директор БРЭ) – Члены Сектора МСЭ-D, Ассоциированные члены и Академические </w:t>
      </w:r>
      <w:r w:rsidRPr="00937AE8">
        <w:t>организации</w:t>
      </w:r>
    </w:p>
    <w:p w14:paraId="4D0AA522" w14:textId="77777777" w:rsidR="00565128" w:rsidRPr="00DD3526" w:rsidRDefault="00565128" w:rsidP="00937AE8">
      <w:r w:rsidRPr="00DD3526">
        <w:t>КГРЭ обсудила Документ 10, в котором представлен обзор статуса Членов Сектора МСЭ-D, Ассоциированных членов и Академических организаций, изменения членского состава и форм участия, а также намечены меры по расширению состава участников в соответствии с решениями ВКРЭ-25.</w:t>
      </w:r>
    </w:p>
    <w:p w14:paraId="2C6DEC1C" w14:textId="77777777" w:rsidR="00565128" w:rsidRPr="00DD3526" w:rsidRDefault="00565128" w:rsidP="00937AE8">
      <w:r w:rsidRPr="00DD3526">
        <w:t>В ходе обсуждения было отмечено, что в документе рассматриваются тенденции в области членского состава за последний период, освещаются достигнутый прогресс и необходимость продолжения усилий по привлечению неправительственных заинтересованных сторон в работу МСЭ-D, их удержанию и активному вовлечению. Делегации признали важную роль Членов Сектора, Ассоциированных членов и Академических организаций в обмене техническими знаниями, инновациями и практическим опытом, связанным с деятельностью в области развития.</w:t>
      </w:r>
    </w:p>
    <w:p w14:paraId="1007B116" w14:textId="2AF0DE3A" w:rsidR="00565128" w:rsidRPr="00DD3526" w:rsidRDefault="00565128" w:rsidP="00937AE8">
      <w:r w:rsidRPr="00DD3526">
        <w:t>Участники приветствовали акцент на совершенствовании механизмов информационно-просветительской деятельности и вовлечения, в том числе на целевых пропагандистских мероприятиях, структурированных возможностях взаимодействия и более активном участии Членов Сектора</w:t>
      </w:r>
      <w:r>
        <w:t xml:space="preserve"> в</w:t>
      </w:r>
      <w:r w:rsidRPr="00DD3526">
        <w:t xml:space="preserve"> </w:t>
      </w:r>
      <w:r>
        <w:t xml:space="preserve">площадках и </w:t>
      </w:r>
      <w:r w:rsidRPr="00DD3526">
        <w:t>мероприятиях МСЭ-D</w:t>
      </w:r>
      <w:r>
        <w:t>, таких как собрания</w:t>
      </w:r>
      <w:r w:rsidRPr="00DD3526">
        <w:t xml:space="preserve"> исследовательски</w:t>
      </w:r>
      <w:r>
        <w:t>х</w:t>
      </w:r>
      <w:r w:rsidRPr="00DD3526">
        <w:t xml:space="preserve"> комисси</w:t>
      </w:r>
      <w:r>
        <w:t>й</w:t>
      </w:r>
      <w:r w:rsidRPr="00DD3526">
        <w:t xml:space="preserve"> МСЭ</w:t>
      </w:r>
      <w:r w:rsidR="00211142" w:rsidRPr="00211142">
        <w:noBreakHyphen/>
      </w:r>
      <w:r w:rsidRPr="00DD3526">
        <w:t>D, Глобальн</w:t>
      </w:r>
      <w:r>
        <w:t>ого</w:t>
      </w:r>
      <w:r w:rsidRPr="00DD3526">
        <w:t xml:space="preserve"> симпозиум</w:t>
      </w:r>
      <w:r>
        <w:t>а</w:t>
      </w:r>
      <w:r w:rsidRPr="00DD3526">
        <w:t xml:space="preserve"> для регуляторных органов, консультативны</w:t>
      </w:r>
      <w:r>
        <w:t>х</w:t>
      </w:r>
      <w:r w:rsidRPr="00DD3526">
        <w:t xml:space="preserve"> групп и региональны</w:t>
      </w:r>
      <w:r>
        <w:t>х</w:t>
      </w:r>
      <w:r w:rsidRPr="00DD3526">
        <w:t xml:space="preserve"> форум</w:t>
      </w:r>
      <w:r>
        <w:t>ов</w:t>
      </w:r>
      <w:r w:rsidRPr="00DD3526">
        <w:t>. Отмечалось важнейшее значение этих механизмов для обеспечения того, чтобы членство приносило ощутимую пользу как МСЭ-D, так и участвующим организациям.</w:t>
      </w:r>
    </w:p>
    <w:p w14:paraId="12215457" w14:textId="77777777" w:rsidR="00565128" w:rsidRPr="00DD3526" w:rsidRDefault="00565128" w:rsidP="00937AE8">
      <w:pPr>
        <w:spacing w:after="120"/>
      </w:pPr>
      <w:r w:rsidRPr="00DD3526">
        <w:t xml:space="preserve">КГРЭ приняла к сведению Документ 10 как информативный обзор деятельности МСЭ-D, связанной с членским составом и вовлеченностью, приветствовала предложенные меры по расширению участия Членов Сектора, Ассоциированных членов и Академических организаций и призвала </w:t>
      </w:r>
      <w:r>
        <w:t>продолжать</w:t>
      </w:r>
      <w:r w:rsidRPr="00DD3526">
        <w:t xml:space="preserve"> уделять особое внимание значимому, ориентированному на воздействие взаимодействию в целях выполнения решений ВКРЭ-25 и Бакинского плана действий.</w:t>
      </w:r>
    </w:p>
    <w:tbl>
      <w:tblPr>
        <w:tblStyle w:val="TableGrid"/>
        <w:tblW w:w="0" w:type="auto"/>
        <w:tblLayout w:type="fixed"/>
        <w:tblLook w:val="04A0" w:firstRow="1" w:lastRow="0" w:firstColumn="1" w:lastColumn="0" w:noHBand="0" w:noVBand="1"/>
      </w:tblPr>
      <w:tblGrid>
        <w:gridCol w:w="9629"/>
      </w:tblGrid>
      <w:tr w:rsidR="00565128" w:rsidRPr="005325E7" w14:paraId="47D79D9D" w14:textId="77777777" w:rsidTr="00ED4397">
        <w:tc>
          <w:tcPr>
            <w:tcW w:w="9629" w:type="dxa"/>
          </w:tcPr>
          <w:p w14:paraId="23AD3BB0" w14:textId="77777777" w:rsidR="00565128" w:rsidRPr="00DD3526" w:rsidRDefault="00565128" w:rsidP="00ED4397">
            <w:pPr>
              <w:spacing w:after="120"/>
            </w:pPr>
            <w:r w:rsidRPr="00DD3526">
              <w:rPr>
                <w:color w:val="000000"/>
              </w:rPr>
              <w:lastRenderedPageBreak/>
              <w:t xml:space="preserve">КГРЭ приняла к сведению Документ 10 и выразила признательность за </w:t>
            </w:r>
            <w:r>
              <w:rPr>
                <w:color w:val="000000"/>
              </w:rPr>
              <w:t>предоставление сведений</w:t>
            </w:r>
            <w:r w:rsidRPr="00DD3526">
              <w:rPr>
                <w:color w:val="000000"/>
              </w:rPr>
              <w:t xml:space="preserve"> о расширении членского состава Сектора МСЭ-D.</w:t>
            </w:r>
          </w:p>
        </w:tc>
      </w:tr>
    </w:tbl>
    <w:p w14:paraId="35C65F3C" w14:textId="1383A522" w:rsidR="00565128" w:rsidRPr="00211142" w:rsidRDefault="00211142" w:rsidP="00211142">
      <w:pPr>
        <w:pStyle w:val="Heading2"/>
        <w:rPr>
          <w:lang w:val="en-US"/>
        </w:rPr>
      </w:pPr>
      <w:r w:rsidRPr="00211142">
        <w:t>7.7</w:t>
      </w:r>
      <w:r w:rsidRPr="00211142">
        <w:tab/>
      </w:r>
      <w:r w:rsidR="00565128" w:rsidRPr="00DD3526">
        <w:t xml:space="preserve">Отчет </w:t>
      </w:r>
      <w:r w:rsidR="00565128" w:rsidRPr="00937AE8">
        <w:rPr>
          <w:bCs/>
        </w:rPr>
        <w:t>об</w:t>
      </w:r>
      <w:r w:rsidR="00565128" w:rsidRPr="00DD3526">
        <w:t xml:space="preserve"> Альянсе инноваций и предпринимательства для целей цифрового развития</w:t>
      </w:r>
    </w:p>
    <w:p w14:paraId="16405A6A" w14:textId="77777777" w:rsidR="00565128" w:rsidRPr="00DD3526" w:rsidRDefault="00565128" w:rsidP="00937AE8">
      <w:pPr>
        <w:pStyle w:val="Headingb"/>
        <w:rPr>
          <w:b w:val="0"/>
          <w:lang w:val="ru-RU"/>
        </w:rPr>
      </w:pPr>
      <w:r w:rsidRPr="006A6F6B">
        <w:rPr>
          <w:lang w:val="ru-RU"/>
        </w:rPr>
        <w:t>Документ</w:t>
      </w:r>
      <w:r w:rsidRPr="00DD3526">
        <w:rPr>
          <w:lang w:val="ru-RU"/>
        </w:rPr>
        <w:t xml:space="preserve"> </w:t>
      </w:r>
      <w:hyperlink r:id="rId62" w:history="1">
        <w:r w:rsidRPr="00DD3526">
          <w:rPr>
            <w:rStyle w:val="Hyperlink"/>
            <w:rFonts w:cstheme="minorBidi"/>
            <w:bCs/>
            <w:lang w:val="ru-RU"/>
          </w:rPr>
          <w:t>2</w:t>
        </w:r>
        <w:bookmarkStart w:id="34" w:name="_Hlt227155345"/>
        <w:bookmarkStart w:id="35" w:name="_Hlt227155346"/>
        <w:r w:rsidRPr="00DD3526">
          <w:rPr>
            <w:rStyle w:val="Hyperlink"/>
            <w:rFonts w:cstheme="minorBidi"/>
            <w:bCs/>
            <w:lang w:val="ru-RU"/>
          </w:rPr>
          <w:t>1</w:t>
        </w:r>
        <w:bookmarkEnd w:id="34"/>
        <w:bookmarkEnd w:id="35"/>
      </w:hyperlink>
      <w:r w:rsidRPr="00DD3526">
        <w:rPr>
          <w:lang w:val="ru-RU"/>
        </w:rPr>
        <w:t xml:space="preserve"> (Директор БРЭ) – Альянс инноваций и предпринимательства для целей цифрового развития</w:t>
      </w:r>
    </w:p>
    <w:p w14:paraId="3DD95146" w14:textId="77777777" w:rsidR="00565128" w:rsidRPr="00DD3526" w:rsidRDefault="00565128" w:rsidP="00937AE8">
      <w:r w:rsidRPr="00DD3526">
        <w:t>КГРЭ обсудила Документ 21, в котором представлена обновленная информация об Альянсе инноваций и предпринимательства для целей цифрового развития, и рассказала о прогрессе, достигнутом после доработки мандата на ВКРЭ-25.</w:t>
      </w:r>
    </w:p>
    <w:p w14:paraId="550FD02E" w14:textId="77777777" w:rsidR="00565128" w:rsidRPr="00DD3526" w:rsidRDefault="00565128" w:rsidP="00937AE8">
      <w:r w:rsidRPr="00DD3526">
        <w:t>В ходе обсуждения было отмечено, что ВКРЭ-25 укрепила роль инноваций и предпринимательства для МСЭ-D посредством пересмотренных и новых Резолюций, признав Альянс одним из ключевых инструментов поддержки цифровой трансформации, использования партнерских отношений и ускорения реализации региональных инициатив. Делегации приветствовали согласование работы Альянса с Бакинским планом действий и его направленность на практическую реализацию.</w:t>
      </w:r>
    </w:p>
    <w:p w14:paraId="5AB2682D" w14:textId="77777777" w:rsidR="00565128" w:rsidRPr="00DD3526" w:rsidRDefault="00565128" w:rsidP="00937AE8">
      <w:r w:rsidRPr="00DD3526">
        <w:t>Участники приняли к сведению основные шаги, предпринятые после предыдущего собрания КГРЭ, в том числе проведение собраний Совета по цифровым инновациям, начало работы сетей экспертов и профессиональных сообществ, открытие и непрерывную деятельность центров инноваций и центров ускорения в различных регионах, а также организацию мероприятий по созданию потенциала, включая новые курсы и семинары-практикумы, связанные с инновациями и предпринимательством.</w:t>
      </w:r>
    </w:p>
    <w:p w14:paraId="09535CAB" w14:textId="77777777" w:rsidR="00565128" w:rsidRPr="00DD3526" w:rsidRDefault="00565128" w:rsidP="00937AE8">
      <w:r w:rsidRPr="00DD3526">
        <w:t>Особое внимание в ходе обсуждения уделялось природе центров ускорения инноваций и управлению ими. Были представлены пояснения о том, что в большинстве случаев эти центры финансируются и управляются принимающими администрациями или партнерами, а МСЭ-D оказывает экспертную поддержку, обеспечивает координацию и наглядность деятельности</w:t>
      </w:r>
      <w:r>
        <w:t>, при этом нет необходимости</w:t>
      </w:r>
      <w:r w:rsidRPr="00DD3526">
        <w:t xml:space="preserve"> созда</w:t>
      </w:r>
      <w:r>
        <w:t>вать</w:t>
      </w:r>
      <w:r w:rsidRPr="00DD3526">
        <w:t xml:space="preserve"> новы</w:t>
      </w:r>
      <w:r>
        <w:t>е</w:t>
      </w:r>
      <w:r w:rsidRPr="00DD3526">
        <w:t xml:space="preserve"> отделени</w:t>
      </w:r>
      <w:r>
        <w:t>я</w:t>
      </w:r>
      <w:r w:rsidRPr="00DD3526">
        <w:t xml:space="preserve"> МСЭ. Было отмечено, что эти центры поддерживают региональное присутствие, создавая "зону охвата" инновациями, согласованными с приоритетами МСЭ-D, и не являясь </w:t>
      </w:r>
      <w:r>
        <w:t>формально</w:t>
      </w:r>
      <w:r w:rsidRPr="00DD3526">
        <w:t xml:space="preserve"> региональными отделениями. Также было отмечено наличие небольшого числа принадлежащих МСЭ центров, действующих наряду с региональными отделениями.</w:t>
      </w:r>
    </w:p>
    <w:p w14:paraId="5E16C930" w14:textId="35438586" w:rsidR="00565128" w:rsidRPr="00DD3526" w:rsidRDefault="00565128" w:rsidP="00937AE8">
      <w:r w:rsidRPr="00DD3526">
        <w:t xml:space="preserve">Делегации также обсудили Ускоритель региональных инициатив </w:t>
      </w:r>
      <w:r w:rsidR="006A6F6B">
        <w:rPr>
          <w:rFonts w:cs="Calibri"/>
        </w:rPr>
        <w:t>−</w:t>
      </w:r>
      <w:r w:rsidRPr="00DD3526">
        <w:t xml:space="preserve"> механизм, призванный содействовать определению приоритетов, </w:t>
      </w:r>
      <w:r w:rsidRPr="00DC2210">
        <w:t>привлечени</w:t>
      </w:r>
      <w:r>
        <w:t>ю</w:t>
      </w:r>
      <w:r w:rsidRPr="00DC2210">
        <w:t xml:space="preserve"> партнеров </w:t>
      </w:r>
      <w:r w:rsidRPr="00DD3526">
        <w:t>и поддержке эффективного осуществления региональных инициатив инновационным и скоординированным образом. Члены приветствовали этот подход в качестве практического инструмента для реализации итоговых документов ВКРЭ на практике.</w:t>
      </w:r>
    </w:p>
    <w:p w14:paraId="2B3111B4" w14:textId="77777777" w:rsidR="00565128" w:rsidRPr="00DD3526" w:rsidRDefault="00565128" w:rsidP="00937AE8">
      <w:r w:rsidRPr="00DD3526">
        <w:t xml:space="preserve">Была выражена широкая поддержка Альянсу, при этом несколько делегаций подчеркнули его потенциальную роль в преодолении цифрового разрыва, укреплении регионального потенциала и привлечении партнеров. В то же время было </w:t>
      </w:r>
      <w:r>
        <w:t>отмечено</w:t>
      </w:r>
      <w:r w:rsidRPr="00DD3526">
        <w:t>, что для партнерских отношений важны четкость, прозрачность и надлежащая осмотрительность.</w:t>
      </w:r>
    </w:p>
    <w:p w14:paraId="1480E303" w14:textId="77777777" w:rsidR="00565128" w:rsidRPr="00DD3526" w:rsidRDefault="00565128" w:rsidP="00937AE8">
      <w:pPr>
        <w:spacing w:after="120"/>
      </w:pPr>
      <w:r w:rsidRPr="00DD3526">
        <w:t>КГРЭ приняла к сведению Документ 21 как всеобъемлющий обновленный документ об Альянсе инноваций и предпринимательства, приветствовала достигнутый прогресс и призвала продолжать его осуществление в тесной увязке с региональными инициативами, деятельностью по созданию потенциала и общими задачами Бакинского плана действий.</w:t>
      </w:r>
    </w:p>
    <w:tbl>
      <w:tblPr>
        <w:tblStyle w:val="TableGrid"/>
        <w:tblW w:w="0" w:type="auto"/>
        <w:tblLayout w:type="fixed"/>
        <w:tblLook w:val="04A0" w:firstRow="1" w:lastRow="0" w:firstColumn="1" w:lastColumn="0" w:noHBand="0" w:noVBand="1"/>
      </w:tblPr>
      <w:tblGrid>
        <w:gridCol w:w="9629"/>
      </w:tblGrid>
      <w:tr w:rsidR="00565128" w:rsidRPr="005325E7" w14:paraId="0008F8D8" w14:textId="77777777" w:rsidTr="00ED4397">
        <w:tc>
          <w:tcPr>
            <w:tcW w:w="9629" w:type="dxa"/>
          </w:tcPr>
          <w:p w14:paraId="2F919B8B" w14:textId="77777777" w:rsidR="00565128" w:rsidRPr="00DD3526" w:rsidRDefault="00565128" w:rsidP="00ED4397">
            <w:pPr>
              <w:spacing w:after="120"/>
              <w:rPr>
                <w:szCs w:val="24"/>
              </w:rPr>
            </w:pPr>
            <w:r w:rsidRPr="00DD3526">
              <w:rPr>
                <w:color w:val="000000"/>
              </w:rPr>
              <w:t>КГРЭ приняла к сведению Документ 21 и приветствовала обновленную информацию о текущей работе, связанной с инновациями и предпринимательством. КГРЭ призвала БРЭ продолжать работу в рамках существующих рамок, обеспечивая прозрачность и согласованность с региональными инициативами.</w:t>
            </w:r>
          </w:p>
        </w:tc>
      </w:tr>
    </w:tbl>
    <w:p w14:paraId="733F25AC" w14:textId="3C60E85D" w:rsidR="00565128" w:rsidRPr="00DD3526" w:rsidRDefault="006A6F6B" w:rsidP="00565128">
      <w:pPr>
        <w:pStyle w:val="Heading1"/>
      </w:pPr>
      <w:r>
        <w:rPr>
          <w:lang w:val="en-US"/>
        </w:rPr>
        <w:lastRenderedPageBreak/>
        <w:t>8</w:t>
      </w:r>
      <w:r>
        <w:rPr>
          <w:lang w:val="en-US"/>
        </w:rPr>
        <w:tab/>
      </w:r>
      <w:r w:rsidR="00565128" w:rsidRPr="00DD3526">
        <w:t>Региональное присутствие</w:t>
      </w:r>
    </w:p>
    <w:p w14:paraId="589521F5" w14:textId="77777777" w:rsidR="00565128" w:rsidRPr="00DD3526" w:rsidRDefault="00565128" w:rsidP="00937AE8">
      <w:pPr>
        <w:pStyle w:val="Headingb"/>
        <w:rPr>
          <w:rFonts w:cstheme="minorBidi"/>
          <w:b w:val="0"/>
          <w:lang w:val="ru-RU"/>
        </w:rPr>
      </w:pPr>
      <w:r w:rsidRPr="00937AE8">
        <w:t>Документ</w:t>
      </w:r>
      <w:r w:rsidRPr="00DD3526">
        <w:rPr>
          <w:lang w:val="ru-RU"/>
        </w:rPr>
        <w:t xml:space="preserve"> </w:t>
      </w:r>
      <w:hyperlink r:id="rId63" w:history="1">
        <w:r w:rsidRPr="00DD3526">
          <w:rPr>
            <w:rStyle w:val="Hyperlink"/>
            <w:bCs/>
            <w:lang w:val="ru-RU"/>
          </w:rPr>
          <w:t>44</w:t>
        </w:r>
      </w:hyperlink>
      <w:r w:rsidRPr="00DD3526">
        <w:rPr>
          <w:lang w:val="ru-RU"/>
        </w:rPr>
        <w:t xml:space="preserve"> (Индия) – Предложение по обмену информацией о региональном сотрудничестве: стратегическая основа расширения участия региональных заинтересованных сторон МСЭ</w:t>
      </w:r>
      <w:hyperlink r:id="rId64" w:history="1"/>
    </w:p>
    <w:p w14:paraId="6C449FD3" w14:textId="77777777" w:rsidR="00565128" w:rsidRPr="00DD3526" w:rsidRDefault="00565128" w:rsidP="00937AE8">
      <w:r w:rsidRPr="00DD3526">
        <w:t>КГРЭ обсудила Документ 44, представленный Индией, в котором предлагается создать региональный пункт обмена информацией о сотрудничестве (RCE) в качестве стратегической основы для расширения участия и вовлечения заинтересованных сторон в региональную деятельность МСЭ. Предложение имеет целью укрепление прозрачности, сотрудничество и воздействие посредством структурированных механизмов обмена информацией</w:t>
      </w:r>
      <w:r>
        <w:t>, а также</w:t>
      </w:r>
      <w:r w:rsidRPr="00DD3526">
        <w:t xml:space="preserve"> создание партнерских отношений на региональном уровне.</w:t>
      </w:r>
    </w:p>
    <w:p w14:paraId="1FB44A1B" w14:textId="77777777" w:rsidR="00565128" w:rsidRPr="00DD3526" w:rsidRDefault="00565128" w:rsidP="00937AE8">
      <w:r w:rsidRPr="00DD3526">
        <w:t>В ходе обсуждения была высказана поддержка укрепления регионального и межрегионального обмена, прозрачности и вовлечения заинтересованных сторон. Несколько делегаций приветствовали намерение более наглядно демонстрировать деятельность, улучшить координацию и поддержать участие различных заинтересованных сторон, в том числе из НРС, ЛЛДС и СИДС.</w:t>
      </w:r>
    </w:p>
    <w:p w14:paraId="628BA960" w14:textId="77777777" w:rsidR="00565128" w:rsidRPr="00DD3526" w:rsidRDefault="00565128" w:rsidP="00937AE8">
      <w:r w:rsidRPr="00DD3526">
        <w:t>В то же время делегации подняли вопросы относительно дублирования, обеспечения ресурсами и интеграции и выразили обеспокоенность по этому поводу. Некоторые участники отметили, что существующие механизмы, такие как региональные форумы по вопросам развития, информационные панели проектов и другие платформы для обмена информацией, уже поддерживают региональный обмен, и предостерегли от создания параллельных структур. Были запрошены разъяснения относительно того, чем предлагаемый RCE будет отличаться от существующих инструментов, в том числе от Ускорителя региональных инициатив, или дополнять их и как будет управляться какая-либо дополнительная финансовая или административная нагрузка.</w:t>
      </w:r>
    </w:p>
    <w:p w14:paraId="22EDB13A" w14:textId="77777777" w:rsidR="00565128" w:rsidRPr="00DD3526" w:rsidRDefault="00565128" w:rsidP="00937AE8">
      <w:pPr>
        <w:rPr>
          <w:u w:val="single"/>
        </w:rPr>
      </w:pPr>
      <w:r w:rsidRPr="00DD3526">
        <w:t xml:space="preserve">Были высказаны предложения рассмотреть возможность апробирования этой структуры, уточнить ее сферу охвата (региональный </w:t>
      </w:r>
      <w:r>
        <w:t>либо</w:t>
      </w:r>
      <w:r w:rsidRPr="00DD3526">
        <w:t xml:space="preserve"> межрегиональный обмен) и обеспечить согласованность с существующими механизмами отчетности, оценки воздействия и вовлечения заинтересованных сторон. Акцент был сделан на интеграции этого предложения в существующие процессы, на заполнении выявленных пробелов</w:t>
      </w:r>
      <w:r>
        <w:t xml:space="preserve"> без</w:t>
      </w:r>
      <w:r w:rsidRPr="00455542">
        <w:t xml:space="preserve"> дублирования существующих площадок.</w:t>
      </w:r>
    </w:p>
    <w:p w14:paraId="13B4C063" w14:textId="77777777" w:rsidR="00565128" w:rsidRPr="00DD3526" w:rsidRDefault="00565128" w:rsidP="00937AE8">
      <w:r w:rsidRPr="00DD3526">
        <w:t>Директор БРЭ приветствовал это предложение как конструктивное и своевременное, поддержал принцип укрепления сотрудничества и призвал к доработке предложения путем сопоставления с существующими механизмами для определения дополнительных преимуществ. Было указано, что БРЭ проанализирует это предложение, изучит возможности совместной деятельности и рассмотрит, каким образом его элементы могут быть интегрированы в существующую практику МСЭ-D.</w:t>
      </w:r>
    </w:p>
    <w:p w14:paraId="18453FED" w14:textId="77777777" w:rsidR="00565128" w:rsidRPr="00DD3526" w:rsidRDefault="00565128" w:rsidP="00937AE8">
      <w:pPr>
        <w:spacing w:after="120"/>
      </w:pPr>
      <w:r w:rsidRPr="00DD3526">
        <w:t>КГРЭ приняла к сведению Документ 44 и приветствовала его как вклад в обсуждение вопроса об укреплении участия региональных заинтересованных сторон, призвав при этом внести в него дальнейшие разъяснения и уточнения для обеспечения эффективности, согласованности и эффективного использования ресурсов.</w:t>
      </w:r>
    </w:p>
    <w:tbl>
      <w:tblPr>
        <w:tblStyle w:val="TableGrid"/>
        <w:tblW w:w="0" w:type="auto"/>
        <w:tblLayout w:type="fixed"/>
        <w:tblLook w:val="04A0" w:firstRow="1" w:lastRow="0" w:firstColumn="1" w:lastColumn="0" w:noHBand="0" w:noVBand="1"/>
      </w:tblPr>
      <w:tblGrid>
        <w:gridCol w:w="9629"/>
      </w:tblGrid>
      <w:tr w:rsidR="00565128" w:rsidRPr="005325E7" w14:paraId="56D41B7B" w14:textId="77777777" w:rsidTr="00ED4397">
        <w:tc>
          <w:tcPr>
            <w:tcW w:w="9629" w:type="dxa"/>
          </w:tcPr>
          <w:p w14:paraId="33B23626" w14:textId="77777777" w:rsidR="00565128" w:rsidRPr="00DD3526" w:rsidRDefault="00565128" w:rsidP="00ED4397">
            <w:pPr>
              <w:tabs>
                <w:tab w:val="left" w:pos="567"/>
                <w:tab w:val="left" w:pos="1701"/>
              </w:tabs>
              <w:spacing w:after="120"/>
              <w:textAlignment w:val="auto"/>
            </w:pPr>
            <w:r w:rsidRPr="00DD3526">
              <w:rPr>
                <w:color w:val="000000"/>
              </w:rPr>
              <w:t xml:space="preserve">КГРЭ приняла это предложение к сведению и приветствовала лежащую в его основе задачу укрепления участия региональных заинтересованных сторон через региональные и зональные отделения МСЭ, отметив при этом, что следует </w:t>
            </w:r>
            <w:r>
              <w:rPr>
                <w:color w:val="000000"/>
              </w:rPr>
              <w:t>иметь в виду</w:t>
            </w:r>
            <w:r w:rsidRPr="00DD3526">
              <w:rPr>
                <w:color w:val="000000"/>
              </w:rPr>
              <w:t xml:space="preserve"> возможное дублирование существующих механизмов БРЭ, последствия для ресурсов и финансирования, а также необходимость более четкой интеграции с существующими платформами и процессами. КГРЭ дала указание БРЭ рассмотреть вопрос о том, как соответствующие элементы могут быть интегрированы в существующую структуру, в том числе возможность </w:t>
            </w:r>
            <w:r w:rsidRPr="00205985">
              <w:rPr>
                <w:color w:val="000000"/>
              </w:rPr>
              <w:t xml:space="preserve">апробирования </w:t>
            </w:r>
            <w:r w:rsidRPr="00DD3526">
              <w:rPr>
                <w:color w:val="000000"/>
              </w:rPr>
              <w:t xml:space="preserve">отдельных аспектов. </w:t>
            </w:r>
          </w:p>
        </w:tc>
      </w:tr>
    </w:tbl>
    <w:p w14:paraId="222F290F" w14:textId="6CBF12F8" w:rsidR="00565128" w:rsidRPr="00DD3526" w:rsidRDefault="00565128" w:rsidP="00937AE8">
      <w:pPr>
        <w:pStyle w:val="Headingb"/>
        <w:rPr>
          <w:rFonts w:cstheme="minorBidi"/>
          <w:b w:val="0"/>
          <w:bCs/>
          <w:lang w:val="ru-RU"/>
        </w:rPr>
      </w:pPr>
      <w:r w:rsidRPr="00937AE8">
        <w:t>Документ</w:t>
      </w:r>
      <w:r w:rsidRPr="00DD3526">
        <w:rPr>
          <w:bCs/>
          <w:lang w:val="ru-RU"/>
        </w:rPr>
        <w:t xml:space="preserve"> </w:t>
      </w:r>
      <w:hyperlink r:id="rId65" w:history="1">
        <w:r w:rsidRPr="00DD3526">
          <w:rPr>
            <w:rStyle w:val="Hyperlink"/>
            <w:bCs/>
            <w:lang w:val="ru-RU"/>
          </w:rPr>
          <w:t>16(Rev.2)</w:t>
        </w:r>
      </w:hyperlink>
      <w:r w:rsidRPr="00DD3526">
        <w:rPr>
          <w:bCs/>
          <w:lang w:val="ru-RU"/>
        </w:rPr>
        <w:t xml:space="preserve"> (Директор БРЭ) – Отчет о проведении обзора регионального присутствия МСЭ</w:t>
      </w:r>
      <w:hyperlink r:id="rId66" w:history="1"/>
    </w:p>
    <w:p w14:paraId="0646E318" w14:textId="77777777" w:rsidR="00565128" w:rsidRPr="00DD3526" w:rsidRDefault="00565128" w:rsidP="00937AE8">
      <w:r w:rsidRPr="00DD3526">
        <w:t>КГРЭ обсудила Документ 16(Rev.2), в котором содержится отчет о проведении обзора</w:t>
      </w:r>
      <w:r w:rsidRPr="00DD3526">
        <w:rPr>
          <w:b/>
          <w:bCs/>
        </w:rPr>
        <w:t xml:space="preserve"> </w:t>
      </w:r>
      <w:r w:rsidRPr="00DD3526">
        <w:t>регионального присутствия МСЭ, включая роль, эффективность и будущее позиционирование региональных и зональных отделений при выполнении мандатов ВКРЭ.</w:t>
      </w:r>
    </w:p>
    <w:p w14:paraId="6882BD7F" w14:textId="77777777" w:rsidR="00565128" w:rsidRPr="00DD3526" w:rsidRDefault="00565128" w:rsidP="00937AE8">
      <w:r w:rsidRPr="0050738D">
        <w:lastRenderedPageBreak/>
        <w:t>В</w:t>
      </w:r>
      <w:r w:rsidRPr="00DD3526">
        <w:t xml:space="preserve"> ходе обсуждения была отмечена центральная роль регионального присутствия в преобразовании итоговых документов ВКРЭ в результаты на местах, в частности путем реализации региональных инициатив и проектов, создания потенциала и </w:t>
      </w:r>
      <w:r>
        <w:t>привлечения партнеров</w:t>
      </w:r>
      <w:r w:rsidRPr="00DD3526">
        <w:t>. Делегации подчеркнули, что региональные и зональные отделения являются важнейш</w:t>
      </w:r>
      <w:r>
        <w:t>ими</w:t>
      </w:r>
      <w:r w:rsidRPr="00DD3526">
        <w:t xml:space="preserve"> </w:t>
      </w:r>
      <w:r>
        <w:t>пунктами</w:t>
      </w:r>
      <w:r w:rsidRPr="00DD3526">
        <w:t xml:space="preserve"> взаимодействия МСЭ и Государств-Член</w:t>
      </w:r>
      <w:r>
        <w:t>ов</w:t>
      </w:r>
      <w:r w:rsidRPr="00DD3526">
        <w:t>, которые делают возможн</w:t>
      </w:r>
      <w:r>
        <w:t>ым</w:t>
      </w:r>
      <w:r w:rsidRPr="00DD3526">
        <w:t xml:space="preserve"> </w:t>
      </w:r>
      <w:r>
        <w:t>учет</w:t>
      </w:r>
      <w:r w:rsidRPr="00DD3526">
        <w:t xml:space="preserve"> региональны</w:t>
      </w:r>
      <w:r>
        <w:t>х</w:t>
      </w:r>
      <w:r w:rsidRPr="00DD3526">
        <w:t xml:space="preserve"> приоритетов и национальных потребностей.</w:t>
      </w:r>
    </w:p>
    <w:p w14:paraId="7AACB0A9" w14:textId="77777777" w:rsidR="00565128" w:rsidRPr="00DD3526" w:rsidRDefault="00565128" w:rsidP="00937AE8">
      <w:r w:rsidRPr="00DD3526">
        <w:t xml:space="preserve">БРЭ </w:t>
      </w:r>
      <w:r>
        <w:t>про</w:t>
      </w:r>
      <w:r w:rsidRPr="00DD3526">
        <w:t xml:space="preserve">вело обзор регионального присутствия МСЭ с июля 2025 года в соответствии с рекомендациями Совета-25, содержащимися в Документе </w:t>
      </w:r>
      <w:hyperlink r:id="rId67" w:tgtFrame="_blank" w:history="1">
        <w:r w:rsidRPr="00DD3526">
          <w:rPr>
            <w:rStyle w:val="Hyperlink"/>
          </w:rPr>
          <w:t>C25/105</w:t>
        </w:r>
      </w:hyperlink>
      <w:r w:rsidRPr="00DD3526">
        <w:t xml:space="preserve"> (п. 26, Приложение H, Приложение A и Приложение 1) и в Документе </w:t>
      </w:r>
      <w:hyperlink r:id="rId68" w:tgtFrame="_blank" w:history="1">
        <w:r w:rsidRPr="00DD3526">
          <w:rPr>
            <w:rStyle w:val="Hyperlink"/>
          </w:rPr>
          <w:t>C25/69(Rev.1)</w:t>
        </w:r>
      </w:hyperlink>
      <w:r w:rsidRPr="00DD3526">
        <w:t xml:space="preserve">, и своевременно завершило все четыре этапа обзора. </w:t>
      </w:r>
      <w:hyperlink r:id="rId69" w:tgtFrame="_blank" w:history="1"/>
      <w:hyperlink r:id="rId70" w:tgtFrame="_blank" w:history="1"/>
    </w:p>
    <w:p w14:paraId="4E024971" w14:textId="501EA3DE" w:rsidR="00565128" w:rsidRPr="00DD3526" w:rsidRDefault="00565128" w:rsidP="00937AE8">
      <w:r w:rsidRPr="00DD3526">
        <w:t xml:space="preserve">Отчет о проведении обзора регионального присутствия МСЭ представлен в Документе </w:t>
      </w:r>
      <w:hyperlink r:id="rId71">
        <w:r w:rsidRPr="00DD3526">
          <w:rPr>
            <w:rStyle w:val="Hyperlink"/>
          </w:rPr>
          <w:t>TDAG</w:t>
        </w:r>
        <w:r w:rsidR="006A6F6B" w:rsidRPr="006A6F6B">
          <w:rPr>
            <w:rStyle w:val="Hyperlink"/>
          </w:rPr>
          <w:noBreakHyphen/>
        </w:r>
        <w:r w:rsidRPr="00DD3526">
          <w:rPr>
            <w:rStyle w:val="Hyperlink"/>
          </w:rPr>
          <w:t>26/INF/9</w:t>
        </w:r>
      </w:hyperlink>
      <w:r w:rsidRPr="00DD3526">
        <w:t>. В его основе лежит беспристрастный и объективный анализ с использованием многочисленных первичных и вторичных источников, включая опросы членов, кабинетные исследования, интервью с региональными организациями электросвязи и отзывы членов.</w:t>
      </w:r>
      <w:hyperlink r:id="rId72"/>
    </w:p>
    <w:p w14:paraId="48C84C3E" w14:textId="5C161B62" w:rsidR="00565128" w:rsidRPr="006A6F6B" w:rsidRDefault="00565128" w:rsidP="00937AE8">
      <w:pPr>
        <w:rPr>
          <w:lang w:val="en-US"/>
        </w:rPr>
      </w:pPr>
      <w:r w:rsidRPr="00DD3526">
        <w:t xml:space="preserve">Несколько делегаций высоко оценили работу БРЭ </w:t>
      </w:r>
      <w:r w:rsidR="006A6F6B">
        <w:rPr>
          <w:rFonts w:cs="Calibri"/>
        </w:rPr>
        <w:t>−</w:t>
      </w:r>
      <w:r w:rsidRPr="00DD3526">
        <w:t xml:space="preserve"> глубину, основательность и своевременность обзора, отметив всесторонний характер анализа и качество использованных доказательств.</w:t>
      </w:r>
    </w:p>
    <w:p w14:paraId="4721B858" w14:textId="77777777" w:rsidR="00565128" w:rsidRPr="00DD3526" w:rsidRDefault="00565128" w:rsidP="00937AE8">
      <w:r w:rsidRPr="00DD3526">
        <w:t>Несколько делегаций подчеркнули решающую роль региональных отделений МСЭ как важнейшего звена для связи с Государствами-Членами, в частности для создания потенциала, поддержки политики и согласования с региональными потребностями. Была широко признана важность вклада региональных и зональных отделений МСЭ в достижение результатов на местах.</w:t>
      </w:r>
    </w:p>
    <w:p w14:paraId="73A9EF4B" w14:textId="77777777" w:rsidR="00565128" w:rsidRPr="00DD3526" w:rsidRDefault="00565128" w:rsidP="00937AE8">
      <w:r w:rsidRPr="00DD3526">
        <w:t>Поднимались такие общие темы, как призывы к большей прозрачности и наглядности, особенно в отношении финансовых потоков, людских ресурсов, реализации проектов и доступа к данным на региональном уровне. Некоторые делегации подчеркнули важность четких показателей для более эффективной оценки воздействия и оперативности реагирования, а также более прочных консультационных механизмов для обеспечения того, чтобы региональная деятельность оставалась ориентированной на спрос и согласованной с национальными приоритетами.</w:t>
      </w:r>
    </w:p>
    <w:p w14:paraId="594DFC97" w14:textId="77777777" w:rsidR="00565128" w:rsidRPr="00DD3526" w:rsidRDefault="00565128" w:rsidP="00937AE8">
      <w:r w:rsidRPr="00DD3526">
        <w:t>Одна из делегаций обратила внимание на растущее значение вопросов, ориентированных на потребителей, включая приемлемость в ценовом отношении, качество обслуживания, защиту потребителей и доверие пользователей, и призвала к тому, чтобы региональные отделения МСЭ играли более активную роль в просвещении потребителей и обмене передовым опытом. Другие делегации подчеркнули необходимость доступа к более подробной информации для проведения обоснованных обсуждений в Совете и на Полномочной конференции и просили дать пояснения относительно возможных последующих шагов на основании выводов обзора.</w:t>
      </w:r>
    </w:p>
    <w:p w14:paraId="1FE01FDF" w14:textId="77777777" w:rsidR="00565128" w:rsidRPr="00DD3526" w:rsidRDefault="00565128" w:rsidP="00937AE8">
      <w:r w:rsidRPr="00DD3526">
        <w:t>В ответ Директор БРЭ подтвердил, что Совету будет представлен подробный отчет, подчеркнул, что обзор является объективным и основан на фактических данных, и пояснил, что в нем намеренно представлены выводы, а не рекомендации Секретариата, а принятие решений остается за членами МСЭ. Директор объяснил, как на практике ведется межсекторальное сотрудничество, как осуществляется финансовый контроль и расширение делегирования полномочий и как глобальные и региональные проекты управляются в рамках одной системы подотчетности. В целом КГРЭ с удовлетворением отметила высокий уровень доверия Государств-Членов к региональному присутствию, признав при этом возможность для дальнейшего совершенствования.</w:t>
      </w:r>
    </w:p>
    <w:p w14:paraId="743380E1" w14:textId="77777777" w:rsidR="00565128" w:rsidRPr="00DD3526" w:rsidRDefault="00565128" w:rsidP="00565128">
      <w:pPr>
        <w:tabs>
          <w:tab w:val="left" w:pos="567"/>
          <w:tab w:val="left" w:pos="1701"/>
        </w:tabs>
        <w:spacing w:after="120"/>
      </w:pPr>
      <w:r w:rsidRPr="00DD3526">
        <w:t xml:space="preserve">КГРЭ приняла к сведению Документ 16(Rev.2) и приветствовала его как стратегический вклад в укрепление регионального присутствия МСЭ, призвав продолжать </w:t>
      </w:r>
      <w:r>
        <w:t>добиваться улучшения</w:t>
      </w:r>
      <w:r w:rsidRPr="00DD3526">
        <w:t xml:space="preserve"> для обеспечения эффективности, последовательности и согласованности с приоритетами ВКРЭ-25 при одновременном укреплении потенциала региональных отделений для обеспечения инклюзивного и устойчивого цифрового развития.</w:t>
      </w:r>
    </w:p>
    <w:tbl>
      <w:tblPr>
        <w:tblStyle w:val="TableGrid"/>
        <w:tblW w:w="0" w:type="auto"/>
        <w:tblLayout w:type="fixed"/>
        <w:tblLook w:val="04A0" w:firstRow="1" w:lastRow="0" w:firstColumn="1" w:lastColumn="0" w:noHBand="0" w:noVBand="1"/>
      </w:tblPr>
      <w:tblGrid>
        <w:gridCol w:w="9629"/>
      </w:tblGrid>
      <w:tr w:rsidR="00565128" w:rsidRPr="005325E7" w14:paraId="2BA7B148" w14:textId="77777777" w:rsidTr="00ED4397">
        <w:tc>
          <w:tcPr>
            <w:tcW w:w="9629" w:type="dxa"/>
          </w:tcPr>
          <w:p w14:paraId="76E433E4" w14:textId="77777777" w:rsidR="00565128" w:rsidRPr="006A6F6B" w:rsidRDefault="00565128" w:rsidP="00ED4397">
            <w:pPr>
              <w:tabs>
                <w:tab w:val="left" w:pos="567"/>
                <w:tab w:val="left" w:pos="1701"/>
              </w:tabs>
              <w:spacing w:after="120"/>
              <w:textAlignment w:val="auto"/>
              <w:rPr>
                <w:color w:val="000000"/>
              </w:rPr>
            </w:pPr>
            <w:r w:rsidRPr="00DD3526">
              <w:rPr>
                <w:color w:val="000000"/>
              </w:rPr>
              <w:lastRenderedPageBreak/>
              <w:t>КГРЭ приняла к сведению документ, дав высокую оценку работе БРЭ по обзору регионального присутствия МСЭ, и отметила, что исследование было завершено вовремя с использованием основанного на фактических данных и беспристрастного подхода (</w:t>
            </w:r>
            <w:r>
              <w:rPr>
                <w:color w:val="000000"/>
              </w:rPr>
              <w:t>опросы</w:t>
            </w:r>
            <w:r w:rsidRPr="00DD3526">
              <w:rPr>
                <w:color w:val="000000"/>
              </w:rPr>
              <w:t xml:space="preserve">, кабинетное исследование, интервью и отзывы членов). КГРЭ подтвердила важную роль региональных и зональных отделений МСЭ в реализации Стратегического плана МСЭ и Плана действий МСЭ-D, поддержке Государств-Членов, обеспечении инклюзивного участия и региональных инициатив, а также отметила высокий уровень удовлетворенности оперативностью и эффективностью работы МСЭ. КГРЭ также отметила выявленные возможности для улучшения и выразила надежду на дальнейшее обсуждение подробных результатов в ходе 26-й сессии Совета. КГРЭ утвердила свой ответ, изложенный в Документе </w:t>
            </w:r>
            <w:hyperlink r:id="rId73">
              <w:r w:rsidRPr="006A6F6B">
                <w:rPr>
                  <w:rStyle w:val="Hyperlink"/>
                </w:rPr>
                <w:t>TDAG-26/DT/6(Rev.1)</w:t>
              </w:r>
            </w:hyperlink>
            <w:r w:rsidRPr="00DD3526">
              <w:rPr>
                <w:color w:val="000000"/>
              </w:rPr>
              <w:t>.</w:t>
            </w:r>
            <w:hyperlink r:id="rId74"/>
          </w:p>
        </w:tc>
      </w:tr>
    </w:tbl>
    <w:p w14:paraId="5B48EFF2" w14:textId="77777777" w:rsidR="00565128" w:rsidRPr="00DD3526" w:rsidRDefault="00565128" w:rsidP="00937AE8">
      <w:pPr>
        <w:pStyle w:val="Headingb"/>
        <w:rPr>
          <w:b w:val="0"/>
          <w:bCs/>
          <w:lang w:val="ru-RU"/>
        </w:rPr>
      </w:pPr>
      <w:r w:rsidRPr="00937AE8">
        <w:t>Документ</w:t>
      </w:r>
      <w:r w:rsidRPr="00DD3526">
        <w:rPr>
          <w:bCs/>
          <w:lang w:val="ru-RU"/>
        </w:rPr>
        <w:t xml:space="preserve"> </w:t>
      </w:r>
      <w:hyperlink r:id="rId75" w:history="1">
        <w:r w:rsidRPr="00DD3526">
          <w:rPr>
            <w:rStyle w:val="Hyperlink"/>
            <w:bCs/>
            <w:lang w:val="ru-RU"/>
          </w:rPr>
          <w:t>20</w:t>
        </w:r>
      </w:hyperlink>
      <w:r w:rsidRPr="00DD3526">
        <w:rPr>
          <w:bCs/>
          <w:lang w:val="ru-RU"/>
        </w:rPr>
        <w:t xml:space="preserve"> (Директор БРЭ) – Обновленная информация о переносе зонального отделения из Тегусигальпы в Панаму</w:t>
      </w:r>
      <w:hyperlink r:id="rId76" w:history="1"/>
    </w:p>
    <w:p w14:paraId="1829FA1F" w14:textId="77777777" w:rsidR="00565128" w:rsidRPr="00DD3526" w:rsidRDefault="00565128" w:rsidP="00937AE8">
      <w:r w:rsidRPr="00DD3526">
        <w:t>КГРЭ обсудила Документ 20, в котором представлена обновленная информация о переносе зонального отделения МСЭ-D из Тегусигальпы в город Панама в соответствии с поручением Совета МСЭ.</w:t>
      </w:r>
    </w:p>
    <w:p w14:paraId="1D6D3D9F" w14:textId="77777777" w:rsidR="00565128" w:rsidRPr="00DD3526" w:rsidRDefault="00565128" w:rsidP="00937AE8">
      <w:r w:rsidRPr="00DD3526">
        <w:t>КГРЭ была проинформирована о достигнутом значительном прогрессе, в частности об успешном проведении переговоров и подписании в декабре 2025 года соглашения с Панамой как принимающей страной, в котором подтверждена готовность Панамы разместить у себя новое зональное отделение.</w:t>
      </w:r>
    </w:p>
    <w:p w14:paraId="02E1C5BF" w14:textId="77777777" w:rsidR="00565128" w:rsidRPr="00DD3526" w:rsidRDefault="00565128" w:rsidP="00937AE8">
      <w:r w:rsidRPr="00DD3526">
        <w:t>Было сообщено, что новое зональное отделение будет размещено в городе Панама при поддержке Министерства иностранных дел Панамы и национального регуляторного органа, а также в координации с административными службами МСЭ и Региональным отделением для Северной и Южной Америки.</w:t>
      </w:r>
    </w:p>
    <w:p w14:paraId="2A6BE0B8" w14:textId="77777777" w:rsidR="00565128" w:rsidRPr="00DD3526" w:rsidRDefault="00565128" w:rsidP="00565128">
      <w:pPr>
        <w:tabs>
          <w:tab w:val="left" w:pos="567"/>
          <w:tab w:val="left" w:pos="1701"/>
        </w:tabs>
        <w:spacing w:after="120"/>
      </w:pPr>
      <w:r w:rsidRPr="00DD3526">
        <w:t>КГРЭ приняла к сведению обновленную информацию и высоко отметила прогресс, достигнутый в выполнении решения Совета.</w:t>
      </w:r>
    </w:p>
    <w:tbl>
      <w:tblPr>
        <w:tblStyle w:val="TableGrid"/>
        <w:tblW w:w="0" w:type="auto"/>
        <w:tblLayout w:type="fixed"/>
        <w:tblLook w:val="04A0" w:firstRow="1" w:lastRow="0" w:firstColumn="1" w:lastColumn="0" w:noHBand="0" w:noVBand="1"/>
      </w:tblPr>
      <w:tblGrid>
        <w:gridCol w:w="9629"/>
      </w:tblGrid>
      <w:tr w:rsidR="00565128" w:rsidRPr="005325E7" w14:paraId="071A55FE" w14:textId="77777777" w:rsidTr="00ED4397">
        <w:tc>
          <w:tcPr>
            <w:tcW w:w="9629" w:type="dxa"/>
          </w:tcPr>
          <w:p w14:paraId="0798AC65" w14:textId="77777777" w:rsidR="00565128" w:rsidRPr="00DD3526" w:rsidRDefault="00565128" w:rsidP="00ED4397">
            <w:pPr>
              <w:spacing w:after="120"/>
              <w:rPr>
                <w:szCs w:val="24"/>
              </w:rPr>
            </w:pPr>
            <w:r w:rsidRPr="00DD3526">
              <w:rPr>
                <w:color w:val="000000"/>
              </w:rPr>
              <w:t>КГРЭ приняла к сведению Документ 20 о статусе переноса зонального отделения из Тегусигальпы в город Панама.</w:t>
            </w:r>
          </w:p>
        </w:tc>
      </w:tr>
    </w:tbl>
    <w:p w14:paraId="1861A6B3" w14:textId="52903A65" w:rsidR="00565128" w:rsidRPr="00DD3526" w:rsidRDefault="006A6F6B" w:rsidP="00565128">
      <w:pPr>
        <w:pStyle w:val="Heading1"/>
      </w:pPr>
      <w:r>
        <w:rPr>
          <w:lang w:val="en-US"/>
        </w:rPr>
        <w:t>9</w:t>
      </w:r>
      <w:r>
        <w:rPr>
          <w:lang w:val="en-US"/>
        </w:rPr>
        <w:tab/>
      </w:r>
      <w:r w:rsidR="00565128" w:rsidRPr="00DD3526">
        <w:t>Сотрудничество с другими Секторами</w:t>
      </w:r>
    </w:p>
    <w:p w14:paraId="7544E80E" w14:textId="77777777" w:rsidR="00565128" w:rsidRPr="00DD3526" w:rsidRDefault="00565128" w:rsidP="00937AE8">
      <w:pPr>
        <w:pStyle w:val="Headingb"/>
        <w:rPr>
          <w:rFonts w:cstheme="minorBidi"/>
          <w:b w:val="0"/>
          <w:bCs/>
          <w:lang w:val="ru-RU"/>
        </w:rPr>
      </w:pPr>
      <w:r w:rsidRPr="00937AE8">
        <w:t>Документ</w:t>
      </w:r>
      <w:r w:rsidRPr="00DD3526">
        <w:rPr>
          <w:rFonts w:cstheme="minorBidi"/>
          <w:bCs/>
          <w:lang w:val="ru-RU"/>
        </w:rPr>
        <w:t xml:space="preserve"> </w:t>
      </w:r>
      <w:hyperlink r:id="rId77" w:history="1">
        <w:r w:rsidRPr="00DD3526">
          <w:rPr>
            <w:rStyle w:val="Hyperlink"/>
            <w:rFonts w:cstheme="minorBidi"/>
            <w:bCs/>
            <w:lang w:val="ru-RU"/>
          </w:rPr>
          <w:t>12</w:t>
        </w:r>
      </w:hyperlink>
      <w:r w:rsidRPr="00DD3526">
        <w:rPr>
          <w:rFonts w:cstheme="minorBidi"/>
          <w:bCs/>
          <w:lang w:val="ru-RU"/>
        </w:rPr>
        <w:t xml:space="preserve"> (Председатель МСКГ) – Отчет о ходе работы</w:t>
      </w:r>
    </w:p>
    <w:p w14:paraId="6F8768C7" w14:textId="77777777" w:rsidR="00565128" w:rsidRPr="00DD3526" w:rsidRDefault="00565128" w:rsidP="00937AE8">
      <w:r w:rsidRPr="00DD3526">
        <w:t>КГРЭ обсудила Документ 12, представленный Председателем Межсекторальной координационной группы (МСКГ) г-ном Фабио Биджи, в котором содержится отчет о ходе работы со времени представления КГРЭ предыдущего отчета МСКГ в 2025 году и изложены текущие области координации между Секторами Союза.</w:t>
      </w:r>
    </w:p>
    <w:p w14:paraId="38CB98B3" w14:textId="77777777" w:rsidR="00565128" w:rsidRPr="00DD3526" w:rsidRDefault="00565128" w:rsidP="00937AE8">
      <w:r w:rsidRPr="00DD3526">
        <w:t>В ходе обсуждения с удовлетворением были приняты к сведению усовершенствования веб-сайта МСКГ и процедур публикации документов, которые были согласованы с запросами членов и практикой, применяемой к другим собраниям Генерального секретариата. Эти изменения были восприняты как повышение прозрачности и доступности работы МСКГ.</w:t>
      </w:r>
    </w:p>
    <w:p w14:paraId="75ADCEFC" w14:textId="77777777" w:rsidR="00565128" w:rsidRPr="00DD3526" w:rsidRDefault="00565128" w:rsidP="00937AE8">
      <w:r w:rsidRPr="00DD3526">
        <w:t>КГРЭ приняла к сведению тематические области, охватываемые текущей деятельностью МСКГ. Делегации приветствовали карту сопоставления Резолюций и видов деятельности как практический инструмент для повышения согласованности между Секторами и исключения дублирования. Была подчеркнута важность соблюдения мандатов Секторов при одновременном укреплении обмена информацией и координации.</w:t>
      </w:r>
    </w:p>
    <w:p w14:paraId="27EA9016" w14:textId="77777777" w:rsidR="00565128" w:rsidRPr="00DD3526" w:rsidRDefault="00565128" w:rsidP="00937AE8">
      <w:r w:rsidRPr="00DD3526">
        <w:lastRenderedPageBreak/>
        <w:t>КГРЭ назначила заместителей Председателя г-на Ахмада Шарафата и г-жу Ингу Римкевичене своими двумя представителями в МСКГ и выразила признательность координаторам и докладчикам МСКГ за проделанную работу.</w:t>
      </w:r>
    </w:p>
    <w:p w14:paraId="6CA65D41" w14:textId="77777777" w:rsidR="00565128" w:rsidRPr="00DD3526" w:rsidRDefault="00565128" w:rsidP="00565128">
      <w:pPr>
        <w:tabs>
          <w:tab w:val="left" w:pos="567"/>
          <w:tab w:val="left" w:pos="1701"/>
        </w:tabs>
        <w:spacing w:after="120"/>
      </w:pPr>
      <w:r w:rsidRPr="00DD3526">
        <w:t>Собрание приняло к сведению Документ 12, дало высокую оценку проделанной работе, о которой было сообщено, и призвало продолжить межсекторальную координацию, при этом КГРЭ было предложено давать руководящие указания в случае необходимости и вносить вклад в будущую работу МСКГ в соответствии с приоритетами ВКРЭ-25.</w:t>
      </w:r>
    </w:p>
    <w:tbl>
      <w:tblPr>
        <w:tblStyle w:val="TableGrid"/>
        <w:tblW w:w="0" w:type="auto"/>
        <w:tblLayout w:type="fixed"/>
        <w:tblLook w:val="04A0" w:firstRow="1" w:lastRow="0" w:firstColumn="1" w:lastColumn="0" w:noHBand="0" w:noVBand="1"/>
      </w:tblPr>
      <w:tblGrid>
        <w:gridCol w:w="9629"/>
      </w:tblGrid>
      <w:tr w:rsidR="00565128" w:rsidRPr="00DD3526" w14:paraId="5238A620" w14:textId="77777777" w:rsidTr="00ED4397">
        <w:tc>
          <w:tcPr>
            <w:tcW w:w="9629" w:type="dxa"/>
          </w:tcPr>
          <w:p w14:paraId="45546878" w14:textId="77777777" w:rsidR="00565128" w:rsidRPr="00DD3526" w:rsidRDefault="00565128" w:rsidP="00ED4397">
            <w:pPr>
              <w:spacing w:after="120"/>
            </w:pPr>
            <w:r w:rsidRPr="00DD3526">
              <w:rPr>
                <w:color w:val="000000"/>
              </w:rPr>
              <w:t>КГРЭ приняла к сведению отчет о ходе работы Межсекторальной координационной группы и приветствовала обновленную информацию о текущей деятельности по координации трех Сектор</w:t>
            </w:r>
            <w:r>
              <w:rPr>
                <w:color w:val="000000"/>
              </w:rPr>
              <w:t>ов</w:t>
            </w:r>
            <w:r w:rsidRPr="00DD3526">
              <w:rPr>
                <w:color w:val="000000"/>
              </w:rPr>
              <w:t xml:space="preserve"> МСЭ. КГРЭ признала роль МСКГ в сокращении дублирования и повышении согласованности между Секторами, приняла к сведению обновления, касающиеся координационных инструментов и отображения видов деятельности, введенные после ВКРЭ-25, а также подтвердила назначение представителей КГРЭ для продолжения взаимодействия с МСКГ. КГРЭ утвердила свой ответ, изложенный в Документе </w:t>
            </w:r>
            <w:hyperlink r:id="rId78" w:history="1">
              <w:r w:rsidRPr="00DD3526">
                <w:rPr>
                  <w:rStyle w:val="Hyperlink"/>
                </w:rPr>
                <w:t>TDAG-26/DT/7</w:t>
              </w:r>
            </w:hyperlink>
            <w:r w:rsidRPr="00DD3526">
              <w:rPr>
                <w:color w:val="000000"/>
              </w:rPr>
              <w:t>.</w:t>
            </w:r>
            <w:hyperlink r:id="rId79"/>
          </w:p>
        </w:tc>
      </w:tr>
    </w:tbl>
    <w:p w14:paraId="6249EDFE" w14:textId="2FB4E9BA" w:rsidR="00565128" w:rsidRPr="00DD3526" w:rsidRDefault="00565128" w:rsidP="00937AE8">
      <w:pPr>
        <w:pStyle w:val="Headingb"/>
        <w:rPr>
          <w:rFonts w:cstheme="minorBidi"/>
          <w:b w:val="0"/>
          <w:lang w:val="ru-RU"/>
        </w:rPr>
      </w:pPr>
      <w:r w:rsidRPr="00DD3526">
        <w:rPr>
          <w:lang w:val="ru-RU"/>
        </w:rPr>
        <w:t xml:space="preserve">Документ </w:t>
      </w:r>
      <w:hyperlink r:id="rId80" w:history="1">
        <w:r w:rsidRPr="00DD3526">
          <w:rPr>
            <w:rStyle w:val="Hyperlink"/>
            <w:bCs/>
            <w:lang w:val="ru-RU"/>
          </w:rPr>
          <w:t>23</w:t>
        </w:r>
      </w:hyperlink>
      <w:r w:rsidRPr="00DD3526">
        <w:rPr>
          <w:lang w:val="ru-RU"/>
        </w:rPr>
        <w:t xml:space="preserve"> (КГСЭ) </w:t>
      </w:r>
      <w:r w:rsidR="006A6F6B">
        <w:rPr>
          <w:rFonts w:cs="Calibri"/>
          <w:lang w:val="ru-RU"/>
        </w:rPr>
        <w:t>−</w:t>
      </w:r>
      <w:r w:rsidRPr="00DD3526">
        <w:rPr>
          <w:lang w:val="ru-RU"/>
        </w:rPr>
        <w:t xml:space="preserve"> Входящее заявление о взаимодействии</w:t>
      </w:r>
      <w:r>
        <w:rPr>
          <w:lang w:val="ru-RU"/>
        </w:rPr>
        <w:t xml:space="preserve"> </w:t>
      </w:r>
      <w:r w:rsidRPr="00DD3526">
        <w:rPr>
          <w:lang w:val="ru-RU"/>
        </w:rPr>
        <w:t xml:space="preserve">от Консультативной группы по стандартизации электросвязи (КГСЭ) о деятельности и исследованиях в области устойчивой </w:t>
      </w:r>
      <w:r w:rsidRPr="006A6F6B">
        <w:rPr>
          <w:lang w:val="ru-RU"/>
        </w:rPr>
        <w:t>цифровой</w:t>
      </w:r>
      <w:r w:rsidRPr="00DD3526">
        <w:rPr>
          <w:lang w:val="ru-RU"/>
        </w:rPr>
        <w:t xml:space="preserve"> трансформации</w:t>
      </w:r>
      <w:hyperlink r:id="rId81" w:history="1">
        <w:bookmarkStart w:id="36" w:name="_Hlt227155474"/>
        <w:bookmarkStart w:id="37" w:name="_Hlt227155475"/>
        <w:bookmarkEnd w:id="36"/>
        <w:bookmarkEnd w:id="37"/>
      </w:hyperlink>
    </w:p>
    <w:p w14:paraId="493C1758" w14:textId="5DB34A3E" w:rsidR="00565128" w:rsidRPr="00DD3526" w:rsidRDefault="00565128" w:rsidP="00937AE8">
      <w:r w:rsidRPr="00DD3526">
        <w:t xml:space="preserve">КГРЭ обсудила Документ 23 </w:t>
      </w:r>
      <w:r w:rsidR="006A6F6B">
        <w:rPr>
          <w:rFonts w:cs="Calibri"/>
        </w:rPr>
        <w:t>−</w:t>
      </w:r>
      <w:r w:rsidRPr="00DD3526">
        <w:t xml:space="preserve"> входящее заявление о взаимодействии от Консультативной группы по стандартизации электросвязи (КГСЭ), в котором КГРЭ </w:t>
      </w:r>
      <w:r>
        <w:t xml:space="preserve">была </w:t>
      </w:r>
      <w:r w:rsidRPr="00DD3526">
        <w:t xml:space="preserve">проинформирована о текущей деятельности и исследованиях в области устойчивой цифровой трансформации и ей </w:t>
      </w:r>
      <w:r>
        <w:t>было предложено</w:t>
      </w:r>
      <w:r w:rsidRPr="00DD3526">
        <w:t xml:space="preserve"> </w:t>
      </w:r>
      <w:r>
        <w:t>вести обмен</w:t>
      </w:r>
      <w:r w:rsidRPr="00DD3526">
        <w:t xml:space="preserve"> информацией с Секторами МСЭ и соответствующими внешними органами по стандартизации.</w:t>
      </w:r>
    </w:p>
    <w:p w14:paraId="21585E4B" w14:textId="77777777" w:rsidR="00565128" w:rsidRPr="00DD3526" w:rsidRDefault="00565128" w:rsidP="00937AE8">
      <w:r w:rsidRPr="00DD3526">
        <w:t>КГРЭ признала важность межсекторального обмена информацией по устойчивой цифровой трансформации, отметив, что эта тема носит сквозной характер для трех Секторов МСЭ. В то же время делегации подчеркнули необходимость соблюдения мандатов Секторов и недопущения дублирования работы, указав, что координация должна быть сосредоточена на обмене информацией и взаимодополнении</w:t>
      </w:r>
      <w:r>
        <w:t xml:space="preserve"> без</w:t>
      </w:r>
      <w:r w:rsidRPr="00DD3526">
        <w:t xml:space="preserve"> дублировани</w:t>
      </w:r>
      <w:r>
        <w:t>я</w:t>
      </w:r>
      <w:r w:rsidRPr="00DD3526">
        <w:t xml:space="preserve"> деятельности.</w:t>
      </w:r>
    </w:p>
    <w:p w14:paraId="5626161F" w14:textId="77777777" w:rsidR="00565128" w:rsidRPr="00DD3526" w:rsidRDefault="00565128" w:rsidP="00937AE8">
      <w:r w:rsidRPr="00DD3526">
        <w:t>В ходе обсуждения было подчеркнуто, что МСЭ-D уже вносит вклад в устойчивую цифровую трансформацию в рамках своего мандата, ориентированного на развитие, в том числе ведет деятельность в области политики и создания потенциала, а также проводит мероприятия по осуществлению, руководствуясь итоговыми документами ВКРЭ. В этом контексте КГРЭ приветствовала возможность представить информацию о деятельности МСЭ-D, подчеркнув при этом, что в любом ответе должна быть четко отражена особая роль Сектора развития.</w:t>
      </w:r>
    </w:p>
    <w:p w14:paraId="0E2B89EB" w14:textId="77777777" w:rsidR="00565128" w:rsidRPr="00DD3526" w:rsidRDefault="00565128" w:rsidP="00937AE8">
      <w:pPr>
        <w:spacing w:after="120"/>
      </w:pPr>
      <w:r w:rsidRPr="00DD3526">
        <w:t xml:space="preserve">КГРЭ приняла к сведению Документ 23, высоко оценила инициативу КГСЭ по укреплению координации и приняла решение направить ответное заявление о взаимодействии (см. Документ </w:t>
      </w:r>
      <w:hyperlink r:id="rId82">
        <w:r w:rsidRPr="00DD3526">
          <w:rPr>
            <w:rStyle w:val="Hyperlink"/>
          </w:rPr>
          <w:t>TDAG-26/DT/3(Rev.1)</w:t>
        </w:r>
      </w:hyperlink>
      <w:r w:rsidRPr="00DD3526">
        <w:t>), чтобы отразить деятельность и позицию МСЭ-D, подтвердив при этом важность согласованности, координации и избежания дублирования деятельности Секторов.</w:t>
      </w:r>
      <w:hyperlink r:id="rId83">
        <w:bookmarkStart w:id="38" w:name="_Hlt227155476"/>
        <w:bookmarkEnd w:id="38"/>
      </w:hyperlink>
    </w:p>
    <w:tbl>
      <w:tblPr>
        <w:tblStyle w:val="TableGrid"/>
        <w:tblW w:w="0" w:type="auto"/>
        <w:tblLayout w:type="fixed"/>
        <w:tblLook w:val="04A0" w:firstRow="1" w:lastRow="0" w:firstColumn="1" w:lastColumn="0" w:noHBand="0" w:noVBand="1"/>
      </w:tblPr>
      <w:tblGrid>
        <w:gridCol w:w="9629"/>
      </w:tblGrid>
      <w:tr w:rsidR="00565128" w:rsidRPr="005325E7" w14:paraId="12C4B398" w14:textId="77777777" w:rsidTr="00ED4397">
        <w:tc>
          <w:tcPr>
            <w:tcW w:w="9629" w:type="dxa"/>
          </w:tcPr>
          <w:p w14:paraId="3756AA01" w14:textId="77777777" w:rsidR="00565128" w:rsidRPr="00DD3526" w:rsidRDefault="00565128" w:rsidP="00ED4397">
            <w:pPr>
              <w:spacing w:after="120"/>
            </w:pPr>
            <w:r w:rsidRPr="00DD3526">
              <w:rPr>
                <w:color w:val="000000"/>
              </w:rPr>
              <w:t>КГРЭ приняла к сведению Документ 23 и признала важность межсекторального обмена информацией по устойчивой цифровой трансформации, подчеркнув при этом необходимость соблюдать мандаты Секторов и избегать дублирования работы.</w:t>
            </w:r>
          </w:p>
        </w:tc>
      </w:tr>
    </w:tbl>
    <w:p w14:paraId="1F2A8FC9" w14:textId="77777777" w:rsidR="00565128" w:rsidRPr="00DD3526" w:rsidRDefault="00565128" w:rsidP="00937AE8">
      <w:pPr>
        <w:pStyle w:val="Headingb"/>
        <w:rPr>
          <w:rFonts w:cstheme="minorBidi"/>
          <w:b w:val="0"/>
          <w:lang w:val="ru-RU"/>
        </w:rPr>
      </w:pPr>
      <w:r w:rsidRPr="00937AE8">
        <w:t>Документ</w:t>
      </w:r>
      <w:r w:rsidRPr="00DD3526">
        <w:rPr>
          <w:lang w:val="ru-RU"/>
        </w:rPr>
        <w:t xml:space="preserve"> </w:t>
      </w:r>
      <w:hyperlink r:id="rId84">
        <w:r w:rsidRPr="00DD3526">
          <w:rPr>
            <w:rStyle w:val="Hyperlink"/>
            <w:bCs/>
            <w:lang w:val="ru-RU"/>
          </w:rPr>
          <w:t>24</w:t>
        </w:r>
      </w:hyperlink>
      <w:r w:rsidRPr="00DD3526">
        <w:rPr>
          <w:lang w:val="ru-RU"/>
        </w:rPr>
        <w:t xml:space="preserve"> (КГСЭ) – Заявление о взаимодействии от Консультативной группы по стандартизации электросвязи (КГСЭ) о деятельности в области цифровой трансформации</w:t>
      </w:r>
      <w:hyperlink r:id="rId85"/>
    </w:p>
    <w:p w14:paraId="3EDAC306" w14:textId="65CFF6CF" w:rsidR="00565128" w:rsidRPr="00DD3526" w:rsidRDefault="00565128" w:rsidP="00937AE8">
      <w:r w:rsidRPr="00DD3526">
        <w:t xml:space="preserve">КГРЭ рассмотрела Документ 24 – входящее заявление о взаимодействии от Консультативной группы по стандартизации электросвязи (КГСЭ), в котором содержится информация о работе КГСЭ в области </w:t>
      </w:r>
      <w:r w:rsidRPr="00DD3526">
        <w:lastRenderedPageBreak/>
        <w:t>цифровой трансформации, включая обновленный круг ведения Группы Докладчика КГСЭ по устойчивой цифровой трансформации (ГД-DT) на исследовательский период 2025</w:t>
      </w:r>
      <w:r w:rsidR="006A6F6B">
        <w:rPr>
          <w:rFonts w:cs="Calibri"/>
        </w:rPr>
        <w:t>−</w:t>
      </w:r>
      <w:r w:rsidRPr="00DD3526">
        <w:t>2028 годов.</w:t>
      </w:r>
    </w:p>
    <w:p w14:paraId="69788F13" w14:textId="77777777" w:rsidR="00565128" w:rsidRPr="00DD3526" w:rsidRDefault="00565128" w:rsidP="00937AE8">
      <w:r w:rsidRPr="00DD3526">
        <w:t xml:space="preserve">КГРЭ признала цифровую трансформацию сквозным приоритетом для всех трех Секторов МСЭ и отметила актуальность работы КГСЭ в этой области. В ходе обсуждения была подчеркнута важность обмена информацией и координации между Секторами, но в то же время было </w:t>
      </w:r>
      <w:r>
        <w:t>отмечено</w:t>
      </w:r>
      <w:r w:rsidRPr="00DD3526">
        <w:t xml:space="preserve">, что такое сотрудничество </w:t>
      </w:r>
      <w:r>
        <w:t xml:space="preserve">необходимо </w:t>
      </w:r>
      <w:r w:rsidRPr="00DD3526">
        <w:t xml:space="preserve">осуществлять при должном соблюдении мандатов и обязанностей Секторов и при четком понимании, что дублирование в работе недопустимо. </w:t>
      </w:r>
    </w:p>
    <w:p w14:paraId="5115BA32" w14:textId="77777777" w:rsidR="00565128" w:rsidRPr="00DD3526" w:rsidRDefault="00565128" w:rsidP="00937AE8">
      <w:r w:rsidRPr="00DD3526">
        <w:t xml:space="preserve">Делегации напомнили, что МСЭ-D вносит вклад в цифровую трансформацию, прежде всего в рамках своего мандата, ориентированного на развитие, в том числе ведет деятельность в области поддержки политики и создания потенциала, а также проводит </w:t>
      </w:r>
      <w:r w:rsidRPr="005325E7">
        <w:t>мероприятия по осуществлению,</w:t>
      </w:r>
      <w:r w:rsidRPr="00DD3526">
        <w:t xml:space="preserve"> руководствуясь итоговыми документами ВКРЭ. В этом контексте КГРЭ приветствовала продолжение обмена информацией с КГСЭ, отметив, что совместное использование информации должно способствовать повышению согласованности и осведомленности о деятельности Секторов, не приводя к дублированию ролей.</w:t>
      </w:r>
    </w:p>
    <w:p w14:paraId="4994F864" w14:textId="77777777" w:rsidR="00565128" w:rsidRPr="00DD3526" w:rsidRDefault="00565128" w:rsidP="00565128">
      <w:pPr>
        <w:tabs>
          <w:tab w:val="left" w:pos="567"/>
          <w:tab w:val="left" w:pos="1701"/>
        </w:tabs>
        <w:spacing w:after="120"/>
      </w:pPr>
      <w:r w:rsidRPr="00DD3526">
        <w:t xml:space="preserve">КГРЭ приняла к сведению Документ 24, поблагодарила КГСЭ за представленную информацию и утвердила ответное заявление о взаимодействии КГРЭ (Документ </w:t>
      </w:r>
      <w:hyperlink r:id="rId86">
        <w:r w:rsidRPr="00DD3526">
          <w:rPr>
            <w:rStyle w:val="Hyperlink"/>
          </w:rPr>
          <w:t>TDAG-26/DT/3(Rev.1)</w:t>
        </w:r>
      </w:hyperlink>
      <w:r w:rsidRPr="00DD3526">
        <w:t>), в котором излагается позиция МСЭ-D в отношении цифровой трансформации и подтверждаются принципы координации, взаимодополняемости и избежания дублирования деятельности Секторов МСЭ.</w:t>
      </w:r>
      <w:hyperlink r:id="rId87"/>
    </w:p>
    <w:tbl>
      <w:tblPr>
        <w:tblStyle w:val="TableGrid"/>
        <w:tblW w:w="0" w:type="auto"/>
        <w:tblLayout w:type="fixed"/>
        <w:tblLook w:val="04A0" w:firstRow="1" w:lastRow="0" w:firstColumn="1" w:lastColumn="0" w:noHBand="0" w:noVBand="1"/>
      </w:tblPr>
      <w:tblGrid>
        <w:gridCol w:w="9629"/>
      </w:tblGrid>
      <w:tr w:rsidR="00565128" w:rsidRPr="005325E7" w14:paraId="5D116FAA" w14:textId="77777777" w:rsidTr="00ED4397">
        <w:tc>
          <w:tcPr>
            <w:tcW w:w="9629" w:type="dxa"/>
          </w:tcPr>
          <w:p w14:paraId="7309E134" w14:textId="77777777" w:rsidR="00565128" w:rsidRPr="00DD3526" w:rsidRDefault="00565128" w:rsidP="00ED4397">
            <w:pPr>
              <w:spacing w:after="120"/>
            </w:pPr>
            <w:r w:rsidRPr="00DD3526">
              <w:rPr>
                <w:color w:val="000000"/>
              </w:rPr>
              <w:t xml:space="preserve">КГРЭ приняла к сведению Документ 24 – входящее заявление о взаимодействии от Консультативной группы по стандартизации электросвязи (КГСЭ) относительно ее работы в области цифровой трансформации. КГРЭ признала актуальность цифровой трансформации как приоритета для всех Секторов МСЭ, носящего сквозной характер. КГРЭ также признала важность межсекторального обмена информацией по устойчивой цифровой трансформации, подчеркнув при этом необходимость соблюдать мандаты Секторов и избегать дублирования работы, и утвердила заявление о взаимодействии, содержащееся в Документе </w:t>
            </w:r>
            <w:hyperlink r:id="rId88">
              <w:r w:rsidRPr="00DD3526">
                <w:rPr>
                  <w:rStyle w:val="Hyperlink"/>
                </w:rPr>
                <w:t>TDAG-26/DT/3(Rev.1)</w:t>
              </w:r>
            </w:hyperlink>
            <w:r w:rsidRPr="00DD3526">
              <w:rPr>
                <w:color w:val="000000"/>
              </w:rPr>
              <w:t xml:space="preserve">. </w:t>
            </w:r>
            <w:hyperlink r:id="rId89"/>
          </w:p>
        </w:tc>
      </w:tr>
    </w:tbl>
    <w:p w14:paraId="06D68472" w14:textId="4471CEC3" w:rsidR="00565128" w:rsidRPr="00D46EF0" w:rsidRDefault="006A6F6B" w:rsidP="00565128">
      <w:pPr>
        <w:pStyle w:val="Heading1"/>
      </w:pPr>
      <w:r w:rsidRPr="006A6F6B">
        <w:t>10</w:t>
      </w:r>
      <w:r w:rsidRPr="006A6F6B">
        <w:tab/>
      </w:r>
      <w:r w:rsidR="00565128" w:rsidRPr="00EF1586">
        <w:t>Мероприятия по подготовке к ПК-26, имеющие отношение к работе МСЭ</w:t>
      </w:r>
      <w:r w:rsidRPr="006A6F6B">
        <w:noBreakHyphen/>
      </w:r>
      <w:r w:rsidR="00565128" w:rsidRPr="00EF1586">
        <w:t>D</w:t>
      </w:r>
    </w:p>
    <w:p w14:paraId="6EA3BDC9" w14:textId="77777777" w:rsidR="00565128" w:rsidRPr="00D46EF0" w:rsidRDefault="00565128" w:rsidP="00937AE8">
      <w:pPr>
        <w:pStyle w:val="Headingb"/>
        <w:rPr>
          <w:rFonts w:cstheme="minorBidi"/>
          <w:b w:val="0"/>
          <w:lang w:val="ru-RU"/>
        </w:rPr>
      </w:pPr>
      <w:r w:rsidRPr="00937AE8">
        <w:t>Документ</w:t>
      </w:r>
      <w:r>
        <w:rPr>
          <w:lang w:val="ru-RU"/>
        </w:rPr>
        <w:t xml:space="preserve"> </w:t>
      </w:r>
      <w:hyperlink r:id="rId90">
        <w:r w:rsidRPr="00D46EF0">
          <w:rPr>
            <w:rStyle w:val="Hyperlink"/>
            <w:rFonts w:cstheme="minorBidi"/>
            <w:bCs/>
            <w:lang w:val="ru-RU"/>
          </w:rPr>
          <w:t>35</w:t>
        </w:r>
      </w:hyperlink>
      <w:r>
        <w:rPr>
          <w:lang w:val="ru-RU"/>
        </w:rPr>
        <w:t xml:space="preserve"> (Российская Федерация) – Предложения по пересмотру Резолюции 191 (Пересм. Бухарест, 2022 г.) ПК "Стратегия координации усилий трех Секторов Союза"</w:t>
      </w:r>
      <w:hyperlink r:id="rId91"/>
    </w:p>
    <w:p w14:paraId="1AB4C6F3" w14:textId="77777777" w:rsidR="00565128" w:rsidRPr="00D46EF0" w:rsidRDefault="00565128" w:rsidP="00937AE8">
      <w:r>
        <w:t>КГРЭ рассмотрела Документ 35, представленный Российской Федерацией, в котором предлагается пересмотреть Резолюцию 191 Полномочной конференции с целью укрепить координацию между тремя Секторами МСЭ и сократить дублирование работы, принимая при этом во внимание развитие ситуации после АР-23, ВАСЭ-24 и ВКРЭ-25.</w:t>
      </w:r>
    </w:p>
    <w:p w14:paraId="244126BB" w14:textId="77777777" w:rsidR="00565128" w:rsidRPr="00D46EF0" w:rsidRDefault="00565128" w:rsidP="00937AE8">
      <w:r>
        <w:t>КГРЭ признала обоснованность этого предложения, а именно необходимость повышения эффективности координации между Секторами и укрепления подхода "Единый МСЭ".</w:t>
      </w:r>
    </w:p>
    <w:p w14:paraId="72778E3A" w14:textId="77777777" w:rsidR="00565128" w:rsidRPr="00D46EF0" w:rsidRDefault="00565128" w:rsidP="00937AE8">
      <w:r>
        <w:t>В то же время в ходе обсуждения было отмечено, что эти предложения поднимают сложные и, возможно, далеко идущие вопросы, в частности в отношении мандатов Секторов, методов работы и механизмов управления. Несколько делегаций выразили настороженность в связи с возможными последствиями для устоявшихся функций и обязанностей Секторов, отметив, что такие вопросы требуют тщательного рассмотрения, выходящего за пределы сферы деятельности одной консультативной группы.</w:t>
      </w:r>
    </w:p>
    <w:p w14:paraId="6F982D0C" w14:textId="77777777" w:rsidR="00565128" w:rsidRPr="00D46EF0" w:rsidRDefault="00565128" w:rsidP="00937AE8">
      <w:pPr>
        <w:spacing w:after="120"/>
      </w:pPr>
      <w:r>
        <w:t>КГРЭ не усмотрела необходимости принимать какое-либо решение по предлагаемым изменениям на данном этапе, поскольку рассмотрение этого вопроса остается в компетенции предстоящей Полномочной конференции (ПК-26).</w:t>
      </w:r>
    </w:p>
    <w:tbl>
      <w:tblPr>
        <w:tblStyle w:val="TableGrid"/>
        <w:tblW w:w="0" w:type="auto"/>
        <w:tblLayout w:type="fixed"/>
        <w:tblLook w:val="04A0" w:firstRow="1" w:lastRow="0" w:firstColumn="1" w:lastColumn="0" w:noHBand="0" w:noVBand="1"/>
      </w:tblPr>
      <w:tblGrid>
        <w:gridCol w:w="9629"/>
      </w:tblGrid>
      <w:tr w:rsidR="00565128" w:rsidRPr="00D46EF0" w14:paraId="27FB4B0D" w14:textId="77777777" w:rsidTr="00ED4397">
        <w:tc>
          <w:tcPr>
            <w:tcW w:w="9629" w:type="dxa"/>
          </w:tcPr>
          <w:p w14:paraId="3C050771" w14:textId="77777777" w:rsidR="00565128" w:rsidRPr="00D46EF0" w:rsidRDefault="00565128" w:rsidP="00ED4397">
            <w:pPr>
              <w:spacing w:after="120"/>
            </w:pPr>
            <w:r>
              <w:rPr>
                <w:color w:val="000000"/>
              </w:rPr>
              <w:lastRenderedPageBreak/>
              <w:t>КГРЭ приняла к сведению Документ 35. КГРЭ признала целесообразность улучшения координации между тремя Секторами и сокращения дублирования, отметив при этом, что эти предложения поднимают сложные и потенциально далеко идущие вопросы, касающиеся мандатов, методов работы и механизмов управления.</w:t>
            </w:r>
          </w:p>
        </w:tc>
      </w:tr>
    </w:tbl>
    <w:p w14:paraId="6E7AF2C2" w14:textId="77777777" w:rsidR="00565128" w:rsidRPr="00162218" w:rsidRDefault="00565128" w:rsidP="00937AE8">
      <w:pPr>
        <w:pStyle w:val="Headingb"/>
        <w:rPr>
          <w:rFonts w:cstheme="minorBidi"/>
          <w:b w:val="0"/>
          <w:lang w:val="ru-RU"/>
        </w:rPr>
      </w:pPr>
      <w:r>
        <w:rPr>
          <w:lang w:val="ru-RU"/>
        </w:rPr>
        <w:t xml:space="preserve">Документ </w:t>
      </w:r>
      <w:hyperlink r:id="rId92">
        <w:r w:rsidRPr="00D46EF0">
          <w:rPr>
            <w:rStyle w:val="Hyperlink"/>
            <w:rFonts w:cstheme="minorBidi"/>
            <w:bCs/>
            <w:lang w:val="ru-RU"/>
          </w:rPr>
          <w:t>36</w:t>
        </w:r>
      </w:hyperlink>
      <w:r>
        <w:rPr>
          <w:lang w:val="ru-RU"/>
        </w:rPr>
        <w:t xml:space="preserve"> (Российская Федерация) – Упорядочение Резолюции 58 ПК "Укрепление отношений МСЭ с </w:t>
      </w:r>
      <w:r w:rsidRPr="00937AE8">
        <w:t>региональными</w:t>
      </w:r>
      <w:r>
        <w:rPr>
          <w:lang w:val="ru-RU"/>
        </w:rPr>
        <w:t xml:space="preserve"> организациями электросвязи и региональные подготовительные мероприятия к Полномочной конференции" и соответствующих резолюций Секторов</w:t>
      </w:r>
      <w:hyperlink r:id="rId93"/>
    </w:p>
    <w:p w14:paraId="7DBFEFCA" w14:textId="77777777" w:rsidR="00565128" w:rsidRPr="00162218" w:rsidRDefault="00565128" w:rsidP="00937AE8">
      <w:r>
        <w:t>КГРЭ рассмотрела представленный Российской Федерацией Документ 36, в котором предлагается упорядочить Резолюцию 58 Полномочной конференции вместе с соответствующими резолюциями Секторов в целях повышения согласованности, эффективности и координации в отношениях между МСЭ и региональными и субрегиональными организациями электросвязи, а также в ходе подготовки к Полномочной конференции.</w:t>
      </w:r>
    </w:p>
    <w:p w14:paraId="475F0734" w14:textId="77777777" w:rsidR="00565128" w:rsidRPr="00162218" w:rsidRDefault="00565128" w:rsidP="00937AE8">
      <w:r>
        <w:t>КГРЭ признала обоснованность этого предложения, отметив важность тесного и хорошо скоординированного взаимодействия между МСЭ и региональными организациями электросвязи, а также потенциальную пользу сокращения дублирования и фрагментации в резолюциях, в которых рассматриваются схожие темы.</w:t>
      </w:r>
    </w:p>
    <w:p w14:paraId="23A4223F" w14:textId="77777777" w:rsidR="00565128" w:rsidRPr="00162218" w:rsidRDefault="00565128" w:rsidP="00565128">
      <w:pPr>
        <w:tabs>
          <w:tab w:val="left" w:pos="567"/>
          <w:tab w:val="left" w:pos="1701"/>
        </w:tabs>
        <w:spacing w:after="120"/>
      </w:pPr>
      <w:r>
        <w:t>В то же время делегации отметили, что эти предложения затрагивают важные вопросы, и поэтому КГРЭ воздержалась на данный момент от одобрения предложенных изменений. Более того, в ходе обсуждения было подчеркнуто, что любое упорядочение Резолюции 58 ПК и связанных с ней резолюций Секторов потребует тщательного анализа и более широких консультаций, включая рассмотрение на соответствующих форумах на уровне Секторов и конференций.</w:t>
      </w:r>
    </w:p>
    <w:tbl>
      <w:tblPr>
        <w:tblStyle w:val="TableGrid"/>
        <w:tblW w:w="0" w:type="auto"/>
        <w:tblLayout w:type="fixed"/>
        <w:tblLook w:val="04A0" w:firstRow="1" w:lastRow="0" w:firstColumn="1" w:lastColumn="0" w:noHBand="0" w:noVBand="1"/>
      </w:tblPr>
      <w:tblGrid>
        <w:gridCol w:w="9629"/>
      </w:tblGrid>
      <w:tr w:rsidR="00565128" w:rsidRPr="008A3282" w14:paraId="42FDA161" w14:textId="77777777" w:rsidTr="00ED4397">
        <w:tc>
          <w:tcPr>
            <w:tcW w:w="9629" w:type="dxa"/>
          </w:tcPr>
          <w:p w14:paraId="6AC281E2" w14:textId="77777777" w:rsidR="00565128" w:rsidRPr="00D46EF0" w:rsidRDefault="00565128" w:rsidP="00ED4397">
            <w:pPr>
              <w:spacing w:after="120"/>
            </w:pPr>
            <w:r>
              <w:rPr>
                <w:color w:val="000000"/>
              </w:rPr>
              <w:t>КГРЭ приняла к сведению Документ 36, касающийся предложений по упорядочению Резолюции 58 ПК и связанных с ней резолюций Секторов, и поблагодарила Российскую Федерацию за представленный вклад. КГРЭ признала целесообразность повышения согласованности, эффективности и координации в отношениях между МСЭ и региональными организациями электросвязи, а также при подготовке к Полномочной конференции, отметив при этом, что в предложениях поднимаются важные вопросы, касающиеся сроков, мандатов, охвата развивающихся стран и сохранения положений, относящихся к конкретным Секторам.</w:t>
            </w:r>
          </w:p>
        </w:tc>
      </w:tr>
    </w:tbl>
    <w:p w14:paraId="1724DDC2" w14:textId="77777777" w:rsidR="00565128" w:rsidRPr="00162218" w:rsidRDefault="00565128" w:rsidP="00937AE8">
      <w:pPr>
        <w:pStyle w:val="Headingb"/>
        <w:rPr>
          <w:rFonts w:cstheme="minorBidi"/>
          <w:b w:val="0"/>
          <w:lang w:val="ru-RU"/>
        </w:rPr>
      </w:pPr>
      <w:r>
        <w:rPr>
          <w:lang w:val="ru-RU"/>
        </w:rPr>
        <w:t xml:space="preserve">Документ </w:t>
      </w:r>
      <w:hyperlink r:id="rId94" w:history="1">
        <w:r w:rsidRPr="006F697D">
          <w:rPr>
            <w:rStyle w:val="Hyperlink"/>
            <w:rFonts w:cstheme="minorBidi"/>
            <w:bCs/>
            <w:lang w:val="ru-RU"/>
          </w:rPr>
          <w:t>26</w:t>
        </w:r>
      </w:hyperlink>
      <w:r>
        <w:rPr>
          <w:lang w:val="ru-RU"/>
        </w:rPr>
        <w:t xml:space="preserve"> (РГС-СФП) – Входящее заявление о взаимодействии от Рабочей группы Совета по разработке Стратегического и Финансового планов на 2028−2031 годы (РГС-СФП) по итогам ее </w:t>
      </w:r>
      <w:r w:rsidRPr="00937AE8">
        <w:t>третьего</w:t>
      </w:r>
      <w:r>
        <w:rPr>
          <w:lang w:val="ru-RU"/>
        </w:rPr>
        <w:t xml:space="preserve"> собрания</w:t>
      </w:r>
      <w:hyperlink r:id="rId95" w:history="1"/>
    </w:p>
    <w:p w14:paraId="7C5C14F1" w14:textId="56A8A908" w:rsidR="00565128" w:rsidRPr="00162218" w:rsidRDefault="00565128" w:rsidP="00937AE8">
      <w:r>
        <w:t>КГРЭ рассмотрела Документ 26 – входящее заявление о взаимодействии от Рабочей группы Совета по разработке Стратегического и Финансового планов на 2028</w:t>
      </w:r>
      <w:r w:rsidR="00C2744D">
        <w:rPr>
          <w:rFonts w:cs="Calibri"/>
        </w:rPr>
        <w:t>−</w:t>
      </w:r>
      <w:r>
        <w:t>2031 годы (РГС-СФП), в котором КГРЭ была проинформирована об итогах третьего собрания РГС-СФП и о ходе обсуждений, связанных с подготовкой Стратегического и Финансового планов МСЭ на период 2028</w:t>
      </w:r>
      <w:r w:rsidR="00C2744D">
        <w:rPr>
          <w:rFonts w:cs="Calibri"/>
        </w:rPr>
        <w:t>−</w:t>
      </w:r>
      <w:r>
        <w:t>2031 годов.</w:t>
      </w:r>
    </w:p>
    <w:p w14:paraId="739C6DF7" w14:textId="2EE693E6" w:rsidR="00565128" w:rsidRPr="00D46EF0" w:rsidRDefault="00565128" w:rsidP="00937AE8">
      <w:r>
        <w:t>КГРЭ приняла к сведению представленную информацию и приветствовала обновленные сведения о результатах обсуждений в РГС-СФП. В ходе рассмотрения было отмечено, что результаты работы РГС</w:t>
      </w:r>
      <w:r w:rsidR="00C2744D" w:rsidRPr="00C2744D">
        <w:noBreakHyphen/>
      </w:r>
      <w:r>
        <w:t>СФП актуальны для деятельности МСЭ-D, особенно в том, что касается согласования приоритетов Секторов и вклада в стратегическую основу всего Союза.</w:t>
      </w:r>
    </w:p>
    <w:p w14:paraId="533385DB" w14:textId="77777777" w:rsidR="00565128" w:rsidRPr="00CF0258" w:rsidRDefault="00565128" w:rsidP="00565128">
      <w:pPr>
        <w:tabs>
          <w:tab w:val="left" w:pos="567"/>
          <w:tab w:val="left" w:pos="1701"/>
        </w:tabs>
        <w:spacing w:after="120"/>
      </w:pPr>
      <w:r>
        <w:t>На данном этапе обсуждений по существу относительно содержания этого заявления о взаимодействии не проводилось. КГРЭ приняла к сведению Документ 26.</w:t>
      </w:r>
    </w:p>
    <w:tbl>
      <w:tblPr>
        <w:tblStyle w:val="TableGrid"/>
        <w:tblW w:w="0" w:type="auto"/>
        <w:tblLayout w:type="fixed"/>
        <w:tblLook w:val="04A0" w:firstRow="1" w:lastRow="0" w:firstColumn="1" w:lastColumn="0" w:noHBand="0" w:noVBand="1"/>
      </w:tblPr>
      <w:tblGrid>
        <w:gridCol w:w="9629"/>
      </w:tblGrid>
      <w:tr w:rsidR="00565128" w:rsidRPr="00D46EF0" w14:paraId="58D3B112" w14:textId="77777777" w:rsidTr="00ED4397">
        <w:tc>
          <w:tcPr>
            <w:tcW w:w="9629" w:type="dxa"/>
          </w:tcPr>
          <w:p w14:paraId="7AA2F666" w14:textId="77777777" w:rsidR="00565128" w:rsidRPr="00D46EF0" w:rsidRDefault="00565128" w:rsidP="00ED4397">
            <w:pPr>
              <w:spacing w:after="120"/>
              <w:rPr>
                <w:szCs w:val="24"/>
              </w:rPr>
            </w:pPr>
            <w:r>
              <w:rPr>
                <w:color w:val="000000"/>
              </w:rPr>
              <w:t>КГРЭ приняла к сведению Документ 26.</w:t>
            </w:r>
          </w:p>
        </w:tc>
      </w:tr>
    </w:tbl>
    <w:p w14:paraId="4C3CEFDB" w14:textId="6FCE2EF6" w:rsidR="00565128" w:rsidRPr="006A5E2E" w:rsidRDefault="00565128" w:rsidP="00937AE8">
      <w:pPr>
        <w:pStyle w:val="Headingb"/>
        <w:rPr>
          <w:rFonts w:cstheme="minorBidi"/>
          <w:b w:val="0"/>
          <w:lang w:val="ru-RU"/>
        </w:rPr>
      </w:pPr>
      <w:r w:rsidRPr="006A5E2E">
        <w:rPr>
          <w:lang w:val="ru-RU"/>
        </w:rPr>
        <w:lastRenderedPageBreak/>
        <w:t xml:space="preserve">Документ </w:t>
      </w:r>
      <w:hyperlink r:id="rId96" w:history="1">
        <w:r w:rsidRPr="006A5E2E">
          <w:rPr>
            <w:rStyle w:val="Hyperlink"/>
            <w:rFonts w:cstheme="minorBidi"/>
            <w:bCs/>
            <w:lang w:val="ru-RU"/>
          </w:rPr>
          <w:t>28</w:t>
        </w:r>
      </w:hyperlink>
      <w:r w:rsidRPr="006A5E2E">
        <w:rPr>
          <w:lang w:val="ru-RU"/>
        </w:rPr>
        <w:t xml:space="preserve"> (РГС-СФП) </w:t>
      </w:r>
      <w:r w:rsidR="006A5E2E">
        <w:rPr>
          <w:rFonts w:cs="Calibri"/>
          <w:lang w:val="ru-RU"/>
        </w:rPr>
        <w:t>−</w:t>
      </w:r>
      <w:r w:rsidRPr="006A5E2E">
        <w:rPr>
          <w:lang w:val="ru-RU"/>
        </w:rPr>
        <w:t xml:space="preserve"> Входящее заявление о взаимодействии от Рабочей группы Совета по разработке Стратегического и Финансового планов на 2028</w:t>
      </w:r>
      <w:r w:rsidR="006A5E2E">
        <w:rPr>
          <w:rFonts w:cs="Calibri"/>
          <w:lang w:val="ru-RU"/>
        </w:rPr>
        <w:t>−</w:t>
      </w:r>
      <w:r w:rsidRPr="006A5E2E">
        <w:rPr>
          <w:lang w:val="ru-RU"/>
        </w:rPr>
        <w:t>2031 годы (РГС-СФП) по итогам ее четвертого собрания</w:t>
      </w:r>
      <w:hyperlink r:id="rId97" w:history="1"/>
    </w:p>
    <w:p w14:paraId="58CA891C" w14:textId="57D6C6F8" w:rsidR="00565128" w:rsidRPr="00162218" w:rsidRDefault="00565128" w:rsidP="00937AE8">
      <w:r w:rsidRPr="006A5E2E">
        <w:t>КГРЭ рассмотрела Документ</w:t>
      </w:r>
      <w:r>
        <w:t xml:space="preserve"> 28 </w:t>
      </w:r>
      <w:r w:rsidR="006A5E2E">
        <w:rPr>
          <w:rFonts w:cs="Calibri"/>
        </w:rPr>
        <w:t>−</w:t>
      </w:r>
      <w:r>
        <w:t xml:space="preserve"> входящее заявление о взаимодействии от Рабочей группы Совета по разработке Стратегического и Финансового планов на 2028</w:t>
      </w:r>
      <w:r w:rsidR="006A5E2E">
        <w:rPr>
          <w:rFonts w:cs="Calibri"/>
        </w:rPr>
        <w:t>−</w:t>
      </w:r>
      <w:r>
        <w:t>2031 годы (РГС-СФП), в котором КГРЭ была проинформирована об итогах четвертого собрания РГС-СФП, состоявшегося в январе 2026 года, в контексте продолжающейся подготовки Стратегического и Финансового планов МСЭ на период 2028</w:t>
      </w:r>
      <w:r w:rsidR="006A5E2E">
        <w:rPr>
          <w:rFonts w:cs="Calibri"/>
        </w:rPr>
        <w:t>−</w:t>
      </w:r>
      <w:r>
        <w:t>2031 годов.</w:t>
      </w:r>
    </w:p>
    <w:p w14:paraId="6CFAEE3B" w14:textId="77777777" w:rsidR="00565128" w:rsidRPr="00162218" w:rsidRDefault="00565128" w:rsidP="00565128">
      <w:pPr>
        <w:tabs>
          <w:tab w:val="left" w:pos="567"/>
          <w:tab w:val="left" w:pos="1701"/>
        </w:tabs>
        <w:spacing w:after="120"/>
      </w:pPr>
      <w:r>
        <w:t>КГРЭ приняла к сведению представленную информацию и ознакомилась с обновленными данными о ходе обсуждений в РГС-СФП.</w:t>
      </w:r>
    </w:p>
    <w:tbl>
      <w:tblPr>
        <w:tblStyle w:val="TableGrid"/>
        <w:tblW w:w="0" w:type="auto"/>
        <w:tblLayout w:type="fixed"/>
        <w:tblLook w:val="04A0" w:firstRow="1" w:lastRow="0" w:firstColumn="1" w:lastColumn="0" w:noHBand="0" w:noVBand="1"/>
      </w:tblPr>
      <w:tblGrid>
        <w:gridCol w:w="9629"/>
      </w:tblGrid>
      <w:tr w:rsidR="00565128" w:rsidRPr="00162218" w14:paraId="12943097" w14:textId="77777777" w:rsidTr="00ED4397">
        <w:tc>
          <w:tcPr>
            <w:tcW w:w="9629" w:type="dxa"/>
          </w:tcPr>
          <w:p w14:paraId="71923F52" w14:textId="77777777" w:rsidR="00565128" w:rsidRPr="00162218" w:rsidRDefault="00565128" w:rsidP="00ED4397">
            <w:pPr>
              <w:spacing w:after="120"/>
              <w:rPr>
                <w:szCs w:val="24"/>
              </w:rPr>
            </w:pPr>
            <w:r>
              <w:rPr>
                <w:color w:val="000000"/>
              </w:rPr>
              <w:t>КГРЭ приняла к сведению Документ 28.</w:t>
            </w:r>
          </w:p>
        </w:tc>
      </w:tr>
    </w:tbl>
    <w:p w14:paraId="5A18D7D0" w14:textId="67521E15" w:rsidR="00565128" w:rsidRPr="00162218" w:rsidRDefault="00565128" w:rsidP="00937AE8">
      <w:pPr>
        <w:pStyle w:val="Headingb"/>
        <w:rPr>
          <w:lang w:val="ru-RU"/>
        </w:rPr>
      </w:pPr>
      <w:r>
        <w:rPr>
          <w:lang w:val="ru-RU"/>
        </w:rPr>
        <w:t xml:space="preserve">Документ </w:t>
      </w:r>
      <w:hyperlink r:id="rId98" w:history="1">
        <w:r w:rsidRPr="006F697D">
          <w:rPr>
            <w:rStyle w:val="Hyperlink"/>
            <w:rFonts w:cstheme="minorBidi"/>
            <w:bCs/>
            <w:lang w:val="ru-RU"/>
          </w:rPr>
          <w:t>29</w:t>
        </w:r>
      </w:hyperlink>
      <w:r>
        <w:rPr>
          <w:lang w:val="ru-RU"/>
        </w:rPr>
        <w:t xml:space="preserve"> (РГС-СФП) </w:t>
      </w:r>
      <w:r w:rsidR="006A5E2E">
        <w:rPr>
          <w:rFonts w:cs="Calibri"/>
          <w:lang w:val="ru-RU"/>
        </w:rPr>
        <w:t>−</w:t>
      </w:r>
      <w:r>
        <w:rPr>
          <w:lang w:val="ru-RU"/>
        </w:rPr>
        <w:t xml:space="preserve"> Входящее заявление о взаимодействии от Рабочей группы Совета по </w:t>
      </w:r>
      <w:r w:rsidRPr="006A5E2E">
        <w:rPr>
          <w:lang w:val="ru-RU"/>
        </w:rPr>
        <w:t>разработке</w:t>
      </w:r>
      <w:r>
        <w:rPr>
          <w:lang w:val="ru-RU"/>
        </w:rPr>
        <w:t xml:space="preserve"> Стратегического и Финансового планов на 2028</w:t>
      </w:r>
      <w:r w:rsidR="006A5E2E">
        <w:rPr>
          <w:rFonts w:cs="Calibri"/>
          <w:lang w:val="ru-RU"/>
        </w:rPr>
        <w:t>−</w:t>
      </w:r>
      <w:r>
        <w:rPr>
          <w:lang w:val="ru-RU"/>
        </w:rPr>
        <w:t>2031 годы (РГС-СФП) по итогам ее четвертого собрания</w:t>
      </w:r>
      <w:hyperlink r:id="rId99" w:history="1">
        <w:bookmarkStart w:id="39" w:name="_Hlt227156049"/>
        <w:bookmarkStart w:id="40" w:name="_Hlt227156050"/>
        <w:bookmarkEnd w:id="39"/>
        <w:bookmarkEnd w:id="40"/>
      </w:hyperlink>
    </w:p>
    <w:p w14:paraId="061C20EE" w14:textId="788942D7" w:rsidR="00565128" w:rsidRPr="00162218" w:rsidRDefault="00565128" w:rsidP="00937AE8">
      <w:r>
        <w:t>КГРЭ рассмотрела Документ 29 – входящее заявление о взаимодействии от Рабочей группы Совета по разработке Стратегического и Финансового планов на 2028</w:t>
      </w:r>
      <w:r w:rsidR="006A5E2E">
        <w:rPr>
          <w:rFonts w:cs="Calibri"/>
        </w:rPr>
        <w:t>−</w:t>
      </w:r>
      <w:r>
        <w:t>2031 годы (РГС-СФП), в котором сообщается об итогах четвертого собрания РГС-СФП, состоявшегося в январе 2026 года, в контексте доработки Стратегического плана МСЭ на 2028</w:t>
      </w:r>
      <w:r w:rsidR="006A5E2E">
        <w:rPr>
          <w:rFonts w:cs="Calibri"/>
        </w:rPr>
        <w:t>−</w:t>
      </w:r>
      <w:r>
        <w:t>2031 годы.</w:t>
      </w:r>
    </w:p>
    <w:p w14:paraId="00280030" w14:textId="763926C8" w:rsidR="00565128" w:rsidRPr="00D46EF0" w:rsidRDefault="00565128" w:rsidP="00937AE8">
      <w:r>
        <w:t>КГРЭ отметила, что РГС-СФП рассмотрела вклады МСЭ-D, подготовленные с учетом результатов ВКРЭ</w:t>
      </w:r>
      <w:r w:rsidR="006A5E2E" w:rsidRPr="006A5E2E">
        <w:noBreakHyphen/>
      </w:r>
      <w:r>
        <w:t>25, включая вклад МСЭ-D в проект Стратегического плана, и одобрила поправки к Приложению 1 к Резолюции 71, в частности те, которые касаются целевых показателей, конечных результатов и соответствующих индикаторов. Делегации подтвердили актуальность этих обновлений для будущего оперативного планирования в рамках МСЭ-D.</w:t>
      </w:r>
    </w:p>
    <w:p w14:paraId="199BEDFB" w14:textId="77777777" w:rsidR="00565128" w:rsidRPr="00D46EF0" w:rsidRDefault="00565128" w:rsidP="00937AE8">
      <w:r>
        <w:t xml:space="preserve">В ходе обсуждения также было отмечено, что параллельно с этим КГРЭ рассмотрела и одобрила свою собственную аналитическую работу по показателям конечных результатов в рамках Бакинского плана действий, что обеспечило солидную основу для вклада МСЭ-D в деятельность РГС-СФП. В этом контексте КГРЭ согласилась с тем, что ее вклады должны быть официально переданы РГС-СФП. </w:t>
      </w:r>
    </w:p>
    <w:p w14:paraId="0E058709" w14:textId="77777777" w:rsidR="00565128" w:rsidRPr="00162218" w:rsidRDefault="00565128" w:rsidP="00565128">
      <w:pPr>
        <w:tabs>
          <w:tab w:val="left" w:pos="567"/>
          <w:tab w:val="left" w:pos="1701"/>
        </w:tabs>
        <w:spacing w:after="120"/>
      </w:pPr>
      <w:r>
        <w:t xml:space="preserve">КГРЭ утвердила ответное заявление о взаимодействии в адрес РГС-СФП, содержащееся в Документе </w:t>
      </w:r>
      <w:hyperlink r:id="rId100" w:history="1">
        <w:r w:rsidRPr="00360A62">
          <w:rPr>
            <w:rStyle w:val="Hyperlink"/>
          </w:rPr>
          <w:t>TDAG</w:t>
        </w:r>
        <w:r w:rsidRPr="006F697D">
          <w:rPr>
            <w:rStyle w:val="Hyperlink"/>
            <w:rFonts w:ascii="Cambria Math" w:hAnsi="Cambria Math" w:cs="Cambria Math"/>
          </w:rPr>
          <w:t>‑</w:t>
        </w:r>
        <w:r w:rsidRPr="006F697D">
          <w:rPr>
            <w:rStyle w:val="Hyperlink"/>
          </w:rPr>
          <w:t>26/</w:t>
        </w:r>
        <w:r w:rsidRPr="00360A62">
          <w:rPr>
            <w:rStyle w:val="Hyperlink"/>
          </w:rPr>
          <w:t>DT</w:t>
        </w:r>
        <w:r w:rsidRPr="006F697D">
          <w:rPr>
            <w:rStyle w:val="Hyperlink"/>
          </w:rPr>
          <w:t>/4(</w:t>
        </w:r>
        <w:r>
          <w:rPr>
            <w:rStyle w:val="Hyperlink"/>
          </w:rPr>
          <w:t>Rev</w:t>
        </w:r>
        <w:r w:rsidRPr="006F697D">
          <w:rPr>
            <w:rStyle w:val="Hyperlink"/>
          </w:rPr>
          <w:t>.1).</w:t>
        </w:r>
      </w:hyperlink>
      <w:hyperlink r:id="rId101" w:history="1">
        <w:bookmarkStart w:id="41" w:name="_Hlt227156053"/>
        <w:bookmarkStart w:id="42" w:name="_Hlt227156054"/>
        <w:bookmarkEnd w:id="41"/>
        <w:bookmarkEnd w:id="42"/>
      </w:hyperlink>
    </w:p>
    <w:tbl>
      <w:tblPr>
        <w:tblStyle w:val="TableGrid"/>
        <w:tblW w:w="0" w:type="auto"/>
        <w:tblLayout w:type="fixed"/>
        <w:tblLook w:val="04A0" w:firstRow="1" w:lastRow="0" w:firstColumn="1" w:lastColumn="0" w:noHBand="0" w:noVBand="1"/>
      </w:tblPr>
      <w:tblGrid>
        <w:gridCol w:w="9629"/>
      </w:tblGrid>
      <w:tr w:rsidR="00565128" w:rsidRPr="00D46EF0" w14:paraId="57269BE8" w14:textId="77777777" w:rsidTr="00ED4397">
        <w:tc>
          <w:tcPr>
            <w:tcW w:w="9629" w:type="dxa"/>
          </w:tcPr>
          <w:p w14:paraId="051A25BE" w14:textId="77777777" w:rsidR="00565128" w:rsidRPr="00D46EF0" w:rsidRDefault="00565128" w:rsidP="00ED4397">
            <w:pPr>
              <w:spacing w:after="120"/>
              <w:rPr>
                <w:szCs w:val="24"/>
              </w:rPr>
            </w:pPr>
            <w:r>
              <w:rPr>
                <w:color w:val="000000"/>
              </w:rPr>
              <w:t xml:space="preserve">КГРЭ приняла к сведению Документ 29 и утвердила свой ответ, подробно изложенный в Документе </w:t>
            </w:r>
            <w:hyperlink r:id="rId102" w:history="1">
              <w:r w:rsidRPr="00360A62">
                <w:rPr>
                  <w:rStyle w:val="Hyperlink"/>
                </w:rPr>
                <w:t>TDAG</w:t>
              </w:r>
              <w:r w:rsidRPr="006F697D">
                <w:rPr>
                  <w:rStyle w:val="Hyperlink"/>
                  <w:rFonts w:ascii="Cambria Math" w:hAnsi="Cambria Math" w:cs="Cambria Math"/>
                </w:rPr>
                <w:t>‑</w:t>
              </w:r>
              <w:r w:rsidRPr="006F697D">
                <w:rPr>
                  <w:rStyle w:val="Hyperlink"/>
                </w:rPr>
                <w:t>26/</w:t>
              </w:r>
              <w:r w:rsidRPr="00360A62">
                <w:rPr>
                  <w:rStyle w:val="Hyperlink"/>
                </w:rPr>
                <w:t>DT</w:t>
              </w:r>
              <w:r w:rsidRPr="006F697D">
                <w:rPr>
                  <w:rStyle w:val="Hyperlink"/>
                </w:rPr>
                <w:t>/4(</w:t>
              </w:r>
              <w:r>
                <w:rPr>
                  <w:rStyle w:val="Hyperlink"/>
                </w:rPr>
                <w:t>Rev</w:t>
              </w:r>
              <w:r w:rsidRPr="006F697D">
                <w:rPr>
                  <w:rStyle w:val="Hyperlink"/>
                </w:rPr>
                <w:t>.1)</w:t>
              </w:r>
              <w:r w:rsidRPr="006A5E2E">
                <w:t>.</w:t>
              </w:r>
            </w:hyperlink>
            <w:hyperlink r:id="rId103" w:history="1">
              <w:bookmarkStart w:id="43" w:name="_Hlt227156057"/>
              <w:bookmarkStart w:id="44" w:name="_Hlt227156058"/>
              <w:bookmarkEnd w:id="43"/>
              <w:bookmarkEnd w:id="44"/>
            </w:hyperlink>
          </w:p>
        </w:tc>
      </w:tr>
    </w:tbl>
    <w:p w14:paraId="7F37F3EB" w14:textId="37F9DE15" w:rsidR="00565128" w:rsidRPr="00162218" w:rsidRDefault="00565128" w:rsidP="00937AE8">
      <w:pPr>
        <w:pStyle w:val="Headingb"/>
        <w:rPr>
          <w:lang w:val="ru-RU"/>
        </w:rPr>
      </w:pPr>
      <w:r>
        <w:rPr>
          <w:lang w:val="ru-RU"/>
        </w:rPr>
        <w:t xml:space="preserve">Документ </w:t>
      </w:r>
      <w:hyperlink r:id="rId104" w:history="1">
        <w:r w:rsidRPr="00EA3608">
          <w:rPr>
            <w:rStyle w:val="Hyperlink"/>
            <w:rFonts w:cstheme="minorBidi"/>
            <w:bCs/>
            <w:lang w:val="ru-RU"/>
          </w:rPr>
          <w:t>30</w:t>
        </w:r>
      </w:hyperlink>
      <w:r>
        <w:rPr>
          <w:lang w:val="ru-RU"/>
        </w:rPr>
        <w:t xml:space="preserve"> (РГС-СФП) </w:t>
      </w:r>
      <w:r w:rsidR="006A5E2E">
        <w:rPr>
          <w:rFonts w:cs="Calibri"/>
          <w:lang w:val="ru-RU"/>
        </w:rPr>
        <w:t>−</w:t>
      </w:r>
      <w:r>
        <w:rPr>
          <w:lang w:val="ru-RU"/>
        </w:rPr>
        <w:t xml:space="preserve"> Входящее заявление о взаимодействии от Рабочей группы Совета по </w:t>
      </w:r>
      <w:r w:rsidRPr="006A5E2E">
        <w:rPr>
          <w:lang w:val="ru-RU"/>
        </w:rPr>
        <w:t>разработке</w:t>
      </w:r>
      <w:r>
        <w:rPr>
          <w:lang w:val="ru-RU"/>
        </w:rPr>
        <w:t xml:space="preserve"> Стратегического и Финансового планов на 2028−2031 годы (РГС-СФП) по итогам ее четвертого собрания</w:t>
      </w:r>
      <w:hyperlink r:id="rId105" w:history="1">
        <w:bookmarkStart w:id="45" w:name="_Hlt227156060"/>
        <w:bookmarkStart w:id="46" w:name="_Hlt227156061"/>
        <w:bookmarkEnd w:id="45"/>
        <w:bookmarkEnd w:id="46"/>
      </w:hyperlink>
    </w:p>
    <w:p w14:paraId="20956C38" w14:textId="616CC8AD" w:rsidR="00565128" w:rsidRPr="00162218" w:rsidRDefault="00565128" w:rsidP="00565128">
      <w:pPr>
        <w:tabs>
          <w:tab w:val="left" w:pos="567"/>
          <w:tab w:val="left" w:pos="1701"/>
        </w:tabs>
        <w:spacing w:after="120"/>
      </w:pPr>
      <w:r>
        <w:t xml:space="preserve">КГРЭ рассмотрела Документ 30 </w:t>
      </w:r>
      <w:r w:rsidR="006A5E2E">
        <w:rPr>
          <w:rFonts w:cs="Calibri"/>
        </w:rPr>
        <w:t>−</w:t>
      </w:r>
      <w:r>
        <w:t xml:space="preserve"> входящее заявление о взаимодействии от Рабочей группы Совета по </w:t>
      </w:r>
      <w:r w:rsidRPr="00937AE8">
        <w:t>разработке Стратегического и Финансового планов на 2028</w:t>
      </w:r>
      <w:r w:rsidR="006A5E2E">
        <w:rPr>
          <w:rFonts w:cs="Calibri"/>
        </w:rPr>
        <w:t>−</w:t>
      </w:r>
      <w:r w:rsidRPr="00937AE8">
        <w:t>2031 годы (РГС-СФП), в котором содержалась дополнительная информация об итогах четвертого собрания РГС-СФП, состоявшегося в январ</w:t>
      </w:r>
      <w:r>
        <w:t>е 2026 года, в контексте продолжающейся доработки Стратегического и Финансового планов МСЭ на 2028</w:t>
      </w:r>
      <w:r w:rsidR="006A5E2E">
        <w:rPr>
          <w:rFonts w:cs="Calibri"/>
        </w:rPr>
        <w:t>−</w:t>
      </w:r>
      <w:r>
        <w:t>2031 годы.</w:t>
      </w:r>
    </w:p>
    <w:p w14:paraId="1F655EE9" w14:textId="77777777" w:rsidR="00565128" w:rsidRPr="00D46EF0" w:rsidRDefault="00565128" w:rsidP="00565128">
      <w:pPr>
        <w:tabs>
          <w:tab w:val="left" w:pos="567"/>
          <w:tab w:val="left" w:pos="1701"/>
        </w:tabs>
        <w:spacing w:after="120"/>
      </w:pPr>
      <w:r>
        <w:t>КГРЭ приняла к сведению представленную информацию и ознакомилась с обновленными данными о ходе обсуждений в РГС-СФП. Документ был рассмотрен наряду с другими соответствующими заявлениями о взаимодействии от РГС-СФП, касающимися итогов того же собрания.</w:t>
      </w:r>
    </w:p>
    <w:tbl>
      <w:tblPr>
        <w:tblStyle w:val="TableGrid"/>
        <w:tblW w:w="0" w:type="auto"/>
        <w:tblLayout w:type="fixed"/>
        <w:tblLook w:val="04A0" w:firstRow="1" w:lastRow="0" w:firstColumn="1" w:lastColumn="0" w:noHBand="0" w:noVBand="1"/>
      </w:tblPr>
      <w:tblGrid>
        <w:gridCol w:w="9629"/>
      </w:tblGrid>
      <w:tr w:rsidR="00565128" w:rsidRPr="00D46EF0" w14:paraId="2FA89E93" w14:textId="77777777" w:rsidTr="00ED4397">
        <w:tc>
          <w:tcPr>
            <w:tcW w:w="9629" w:type="dxa"/>
          </w:tcPr>
          <w:p w14:paraId="0EF6DDD3" w14:textId="77777777" w:rsidR="00565128" w:rsidRPr="00D46EF0" w:rsidRDefault="00565128" w:rsidP="00ED4397">
            <w:pPr>
              <w:spacing w:after="120"/>
              <w:rPr>
                <w:szCs w:val="24"/>
              </w:rPr>
            </w:pPr>
            <w:r>
              <w:rPr>
                <w:color w:val="000000"/>
              </w:rPr>
              <w:t>КГРЭ приняла к сведению Документ 30.</w:t>
            </w:r>
          </w:p>
        </w:tc>
      </w:tr>
    </w:tbl>
    <w:p w14:paraId="72D84CB5" w14:textId="301EC1CB" w:rsidR="00565128" w:rsidRPr="00162218" w:rsidRDefault="00565128" w:rsidP="00937AE8">
      <w:pPr>
        <w:pStyle w:val="Headingb"/>
        <w:rPr>
          <w:lang w:val="ru-RU"/>
        </w:rPr>
      </w:pPr>
      <w:r>
        <w:rPr>
          <w:lang w:val="ru-RU"/>
        </w:rPr>
        <w:lastRenderedPageBreak/>
        <w:t xml:space="preserve">Документ </w:t>
      </w:r>
      <w:hyperlink r:id="rId106" w:history="1">
        <w:r w:rsidRPr="00EA3608">
          <w:rPr>
            <w:rStyle w:val="Hyperlink"/>
            <w:rFonts w:cstheme="minorBidi"/>
            <w:bCs/>
            <w:lang w:val="ru-RU"/>
          </w:rPr>
          <w:t>25</w:t>
        </w:r>
      </w:hyperlink>
      <w:r>
        <w:rPr>
          <w:lang w:val="ru-RU"/>
        </w:rPr>
        <w:t xml:space="preserve"> (КГСЭ) </w:t>
      </w:r>
      <w:r w:rsidR="006A5E2E">
        <w:rPr>
          <w:rFonts w:cs="Calibri"/>
          <w:lang w:val="ru-RU"/>
        </w:rPr>
        <w:t>−</w:t>
      </w:r>
      <w:r>
        <w:rPr>
          <w:lang w:val="ru-RU"/>
        </w:rPr>
        <w:t xml:space="preserve"> Входящее заявление о взаимодействии от Консультативной группы по </w:t>
      </w:r>
      <w:r w:rsidRPr="006A5E2E">
        <w:rPr>
          <w:lang w:val="ru-RU"/>
        </w:rPr>
        <w:t>стандартизации</w:t>
      </w:r>
      <w:r>
        <w:rPr>
          <w:lang w:val="ru-RU"/>
        </w:rPr>
        <w:t xml:space="preserve"> электросвязи (КГСЭ), касающееся третьего представления КГСЭ в адрес Рабочей группы Совета по разработке Стратегического и Финансового планов на 2028</w:t>
      </w:r>
      <w:r w:rsidR="006A5E2E">
        <w:rPr>
          <w:rFonts w:cs="Calibri"/>
          <w:lang w:val="ru-RU"/>
        </w:rPr>
        <w:t>−</w:t>
      </w:r>
      <w:r>
        <w:rPr>
          <w:lang w:val="ru-RU"/>
        </w:rPr>
        <w:t>2031 годы</w:t>
      </w:r>
      <w:hyperlink r:id="rId107" w:history="1">
        <w:bookmarkStart w:id="47" w:name="_Hlt227156064"/>
        <w:bookmarkStart w:id="48" w:name="_Hlt227156065"/>
        <w:bookmarkEnd w:id="47"/>
        <w:bookmarkEnd w:id="48"/>
      </w:hyperlink>
    </w:p>
    <w:p w14:paraId="6F03BDC0" w14:textId="6A8F79DD" w:rsidR="00565128" w:rsidRPr="00162218" w:rsidRDefault="00565128" w:rsidP="00937AE8">
      <w:r>
        <w:t xml:space="preserve">КГРЭ рассмотрела Документ 25 </w:t>
      </w:r>
      <w:r w:rsidR="006A5E2E">
        <w:rPr>
          <w:rFonts w:cs="Calibri"/>
        </w:rPr>
        <w:t>−</w:t>
      </w:r>
      <w:r>
        <w:t xml:space="preserve"> входящее заявление о взаимодействии от Консультативной группы по стандартизации электросвязи (КГСЭ), в котором сообщается о третьем представлении КГСЭ в адрес Рабочей группы Совета по разработке Стратегического и Финансового планов (РГС-СФП) в контексте подготовки Стратегического и Финансового планов МСЭ на период 2028</w:t>
      </w:r>
      <w:r w:rsidR="006A5E2E">
        <w:rPr>
          <w:rFonts w:cs="Calibri"/>
        </w:rPr>
        <w:t>−</w:t>
      </w:r>
      <w:r>
        <w:t>2031 годов.</w:t>
      </w:r>
    </w:p>
    <w:p w14:paraId="7D9374A5" w14:textId="77777777" w:rsidR="00565128" w:rsidRPr="00D46EF0" w:rsidRDefault="00565128" w:rsidP="00565128">
      <w:pPr>
        <w:tabs>
          <w:tab w:val="left" w:pos="567"/>
          <w:tab w:val="left" w:pos="1701"/>
        </w:tabs>
        <w:spacing w:after="120"/>
      </w:pPr>
      <w:r>
        <w:t>КГРЭ приняла к сведению представленную информацию и выразила признательность КГСЭ за ее вклад в процесс стратегического планирования, особенно в том, что касается вкладов Сектора МСЭ-Т в определение стратегических приоритетов, конечных результатов и показателей. Документ был рассмотрен наряду с другими соответствующими заявлениями о взаимодействии от КГСЭ, касающимися обсуждений в рамках РГС-СФП.</w:t>
      </w:r>
    </w:p>
    <w:tbl>
      <w:tblPr>
        <w:tblStyle w:val="TableGrid"/>
        <w:tblW w:w="0" w:type="auto"/>
        <w:tblLayout w:type="fixed"/>
        <w:tblLook w:val="04A0" w:firstRow="1" w:lastRow="0" w:firstColumn="1" w:lastColumn="0" w:noHBand="0" w:noVBand="1"/>
      </w:tblPr>
      <w:tblGrid>
        <w:gridCol w:w="9629"/>
      </w:tblGrid>
      <w:tr w:rsidR="00565128" w:rsidRPr="00D46EF0" w14:paraId="10771E17" w14:textId="77777777" w:rsidTr="00ED4397">
        <w:tc>
          <w:tcPr>
            <w:tcW w:w="9629" w:type="dxa"/>
          </w:tcPr>
          <w:p w14:paraId="1CEECE90" w14:textId="77777777" w:rsidR="00565128" w:rsidRPr="00D46EF0" w:rsidRDefault="00565128" w:rsidP="00ED4397">
            <w:pPr>
              <w:spacing w:after="120"/>
              <w:rPr>
                <w:szCs w:val="24"/>
              </w:rPr>
            </w:pPr>
            <w:r>
              <w:rPr>
                <w:color w:val="000000"/>
              </w:rPr>
              <w:t>КГРЭ приняла к сведению Документ 25.</w:t>
            </w:r>
          </w:p>
        </w:tc>
      </w:tr>
    </w:tbl>
    <w:p w14:paraId="44CA1F8A" w14:textId="2276BFD0" w:rsidR="00565128" w:rsidRPr="00162218" w:rsidRDefault="00565128" w:rsidP="00937AE8">
      <w:pPr>
        <w:pStyle w:val="Headingb"/>
        <w:rPr>
          <w:lang w:val="ru-RU"/>
        </w:rPr>
      </w:pPr>
      <w:r>
        <w:rPr>
          <w:lang w:val="ru-RU"/>
        </w:rPr>
        <w:t xml:space="preserve">Документ </w:t>
      </w:r>
      <w:hyperlink r:id="rId108" w:history="1">
        <w:r w:rsidRPr="00EA3608">
          <w:rPr>
            <w:rStyle w:val="Hyperlink"/>
            <w:rFonts w:cstheme="minorBidi"/>
            <w:bCs/>
            <w:lang w:val="ru-RU"/>
          </w:rPr>
          <w:t>27</w:t>
        </w:r>
      </w:hyperlink>
      <w:r>
        <w:rPr>
          <w:lang w:val="ru-RU"/>
        </w:rPr>
        <w:t xml:space="preserve"> (КГСЭ) </w:t>
      </w:r>
      <w:r w:rsidR="006A5E2E">
        <w:rPr>
          <w:rFonts w:cs="Calibri"/>
          <w:lang w:val="ru-RU"/>
        </w:rPr>
        <w:t>−</w:t>
      </w:r>
      <w:r>
        <w:rPr>
          <w:lang w:val="ru-RU"/>
        </w:rPr>
        <w:t xml:space="preserve"> Входящее заявление о взаимодействии от Консультативной группы по </w:t>
      </w:r>
      <w:r w:rsidRPr="006A5E2E">
        <w:rPr>
          <w:lang w:val="ru-RU"/>
        </w:rPr>
        <w:t>стандартизации</w:t>
      </w:r>
      <w:r>
        <w:rPr>
          <w:lang w:val="ru-RU"/>
        </w:rPr>
        <w:t xml:space="preserve"> электросвязи (КГСЭ), касающееся четвертого представления КГСЭ в адрес Рабочей группы Совета по разработке Стратегического и Финансового планов на 2028</w:t>
      </w:r>
      <w:r w:rsidR="006A5E2E">
        <w:rPr>
          <w:rFonts w:cs="Calibri"/>
          <w:lang w:val="ru-RU"/>
        </w:rPr>
        <w:t>−</w:t>
      </w:r>
      <w:r>
        <w:rPr>
          <w:lang w:val="ru-RU"/>
        </w:rPr>
        <w:t>2031 годы</w:t>
      </w:r>
      <w:hyperlink r:id="rId109" w:history="1"/>
    </w:p>
    <w:p w14:paraId="1928BA0A" w14:textId="3B8D6651" w:rsidR="00565128" w:rsidRPr="00162218" w:rsidRDefault="00565128" w:rsidP="00937AE8">
      <w:r>
        <w:t xml:space="preserve">КГРЭ рассмотрела Документ 27 </w:t>
      </w:r>
      <w:r w:rsidR="006A5E2E">
        <w:rPr>
          <w:rFonts w:cs="Calibri"/>
        </w:rPr>
        <w:t>−</w:t>
      </w:r>
      <w:r>
        <w:t xml:space="preserve"> входящее заявление о взаимодействии от Консультативной группы по стандартизации электросвязи (КГСЭ), содержащее четвертое представление КГСЭ в адрес Рабочей группы Совета по разработке Стратегического и Финансового планов (РГС-СФП) в контексте разработки Стратегического и Финансового планов МСЭ на период 2028</w:t>
      </w:r>
      <w:r w:rsidR="006A5E2E">
        <w:rPr>
          <w:rFonts w:cs="Calibri"/>
        </w:rPr>
        <w:t>−</w:t>
      </w:r>
      <w:r>
        <w:t>2031 годов.</w:t>
      </w:r>
    </w:p>
    <w:p w14:paraId="4A75E15B" w14:textId="77777777" w:rsidR="00565128" w:rsidRPr="00D46EF0" w:rsidRDefault="00565128" w:rsidP="00565128">
      <w:pPr>
        <w:tabs>
          <w:tab w:val="left" w:pos="567"/>
          <w:tab w:val="left" w:pos="1701"/>
        </w:tabs>
        <w:spacing w:after="120"/>
      </w:pPr>
      <w:r>
        <w:t>КГРЭ приняла к сведению представленную информацию и выразила признательность за постоянное участие КГСЭ в процессе стратегического планирования в масштабах всего Союза, в том числе за вклад КГСЭ в определение стратегических приоритетов, конечных результатов и показателей с точки зрения Сектора МСЭ-Т. Документ был рассмотрен наряду с другими соответствующими заявлениями о взаимодействии от КГСЭ, касающимися обсуждений в рамках РГС-СФП.</w:t>
      </w:r>
    </w:p>
    <w:tbl>
      <w:tblPr>
        <w:tblStyle w:val="TableGrid"/>
        <w:tblW w:w="0" w:type="auto"/>
        <w:tblLayout w:type="fixed"/>
        <w:tblLook w:val="04A0" w:firstRow="1" w:lastRow="0" w:firstColumn="1" w:lastColumn="0" w:noHBand="0" w:noVBand="1"/>
      </w:tblPr>
      <w:tblGrid>
        <w:gridCol w:w="9629"/>
      </w:tblGrid>
      <w:tr w:rsidR="00565128" w:rsidRPr="00D46EF0" w14:paraId="4067ECA3" w14:textId="77777777" w:rsidTr="00ED4397">
        <w:tc>
          <w:tcPr>
            <w:tcW w:w="9629" w:type="dxa"/>
          </w:tcPr>
          <w:p w14:paraId="27534417" w14:textId="77777777" w:rsidR="00565128" w:rsidRPr="00D46EF0" w:rsidRDefault="00565128" w:rsidP="00ED4397">
            <w:pPr>
              <w:spacing w:after="120"/>
              <w:rPr>
                <w:szCs w:val="24"/>
              </w:rPr>
            </w:pPr>
            <w:r>
              <w:rPr>
                <w:color w:val="000000"/>
              </w:rPr>
              <w:t>КГРЭ приняла к сведению Документ 27.</w:t>
            </w:r>
          </w:p>
        </w:tc>
      </w:tr>
    </w:tbl>
    <w:p w14:paraId="6DEE1196" w14:textId="6A92EFC9" w:rsidR="00565128" w:rsidRPr="00162218" w:rsidRDefault="00565128" w:rsidP="00937AE8">
      <w:pPr>
        <w:pStyle w:val="Headingb"/>
        <w:rPr>
          <w:lang w:val="ru-RU"/>
        </w:rPr>
      </w:pPr>
      <w:r>
        <w:rPr>
          <w:lang w:val="ru-RU"/>
        </w:rPr>
        <w:t xml:space="preserve">Документ </w:t>
      </w:r>
      <w:hyperlink r:id="rId110" w:history="1">
        <w:r w:rsidRPr="00B97DCA">
          <w:rPr>
            <w:rStyle w:val="Hyperlink"/>
            <w:rFonts w:cstheme="minorBidi"/>
            <w:bCs/>
            <w:lang w:val="ru-RU"/>
          </w:rPr>
          <w:t>31</w:t>
        </w:r>
      </w:hyperlink>
      <w:r>
        <w:rPr>
          <w:lang w:val="ru-RU"/>
        </w:rPr>
        <w:t xml:space="preserve"> (КГСЭ) </w:t>
      </w:r>
      <w:r w:rsidR="006A5E2E">
        <w:rPr>
          <w:rFonts w:cs="Calibri"/>
          <w:lang w:val="ru-RU"/>
        </w:rPr>
        <w:t>−</w:t>
      </w:r>
      <w:r>
        <w:rPr>
          <w:lang w:val="ru-RU"/>
        </w:rPr>
        <w:t xml:space="preserve"> Входящее заявление о взаимодействии от Консультативной группы по </w:t>
      </w:r>
      <w:r w:rsidRPr="006A5E2E">
        <w:rPr>
          <w:lang w:val="ru-RU"/>
        </w:rPr>
        <w:t>стандартизации</w:t>
      </w:r>
      <w:r>
        <w:rPr>
          <w:lang w:val="ru-RU"/>
        </w:rPr>
        <w:t xml:space="preserve"> электросвязи (КГСЭ) по итогам четвертого собрания РГС-СФП (ответ на Документ CWG-SFP-LS3)</w:t>
      </w:r>
      <w:hyperlink r:id="rId111" w:history="1"/>
    </w:p>
    <w:p w14:paraId="6125A8AB" w14:textId="5DB6DE3B" w:rsidR="00565128" w:rsidRPr="00162218" w:rsidRDefault="00565128" w:rsidP="00937AE8">
      <w:r>
        <w:t xml:space="preserve">КГРЭ рассмотрела Документ 31 </w:t>
      </w:r>
      <w:r w:rsidR="006A5E2E">
        <w:rPr>
          <w:rFonts w:cs="Calibri"/>
        </w:rPr>
        <w:t>−</w:t>
      </w:r>
      <w:r>
        <w:t xml:space="preserve"> входящее заявление о взаимодействии от Консультативной группы по стандартизации электросвязи (КГСЭ), содержащее ответ КГСЭ на Документ CWG-SFP-LS3 об итогах четвертого собрания Рабочей группы Совета по разработке Стратегического и Финансового планов (РГС-СФП), состоявшегося в январе 2026 года, в контексте подготовки Стратегического и Финансового планов МСЭ на 2028</w:t>
      </w:r>
      <w:r w:rsidR="006A5E2E">
        <w:rPr>
          <w:rFonts w:cs="Calibri"/>
        </w:rPr>
        <w:t>−</w:t>
      </w:r>
      <w:r>
        <w:t>2031 годы.</w:t>
      </w:r>
    </w:p>
    <w:p w14:paraId="7CC487A7" w14:textId="77777777" w:rsidR="00565128" w:rsidRPr="00162218" w:rsidRDefault="00565128" w:rsidP="00565128">
      <w:pPr>
        <w:tabs>
          <w:tab w:val="left" w:pos="567"/>
          <w:tab w:val="left" w:pos="1701"/>
        </w:tabs>
        <w:spacing w:after="120"/>
      </w:pPr>
      <w:r>
        <w:t>КГРЭ приняла к сведению представленную информацию и выразила признательность КГСЭ за оценку результатов работы РГС-СФП, включая рассмотрение КГСЭ поправок, предложенных РГС-СФП к проекту Стратегического плана.</w:t>
      </w:r>
    </w:p>
    <w:tbl>
      <w:tblPr>
        <w:tblStyle w:val="TableGrid"/>
        <w:tblW w:w="0" w:type="auto"/>
        <w:tblLayout w:type="fixed"/>
        <w:tblLook w:val="04A0" w:firstRow="1" w:lastRow="0" w:firstColumn="1" w:lastColumn="0" w:noHBand="0" w:noVBand="1"/>
      </w:tblPr>
      <w:tblGrid>
        <w:gridCol w:w="9629"/>
      </w:tblGrid>
      <w:tr w:rsidR="00565128" w:rsidRPr="00162218" w14:paraId="6182A4DC" w14:textId="77777777" w:rsidTr="00ED4397">
        <w:tc>
          <w:tcPr>
            <w:tcW w:w="9629" w:type="dxa"/>
          </w:tcPr>
          <w:p w14:paraId="1A950236" w14:textId="77777777" w:rsidR="00565128" w:rsidRPr="00162218" w:rsidRDefault="00565128" w:rsidP="00ED4397">
            <w:pPr>
              <w:spacing w:after="120"/>
              <w:rPr>
                <w:szCs w:val="24"/>
              </w:rPr>
            </w:pPr>
            <w:r>
              <w:rPr>
                <w:color w:val="000000"/>
              </w:rPr>
              <w:t>КГРЭ приняла к сведению Документ 31.</w:t>
            </w:r>
          </w:p>
        </w:tc>
      </w:tr>
    </w:tbl>
    <w:p w14:paraId="6BFB848E" w14:textId="6775F386" w:rsidR="00565128" w:rsidRPr="00162218" w:rsidRDefault="00565128" w:rsidP="006A5E2E">
      <w:pPr>
        <w:pStyle w:val="Headingb"/>
        <w:keepNext/>
        <w:keepLines/>
        <w:rPr>
          <w:lang w:val="ru-RU"/>
        </w:rPr>
      </w:pPr>
      <w:r>
        <w:rPr>
          <w:lang w:val="ru-RU"/>
        </w:rPr>
        <w:lastRenderedPageBreak/>
        <w:t xml:space="preserve">Документ </w:t>
      </w:r>
      <w:hyperlink r:id="rId112" w:history="1">
        <w:r w:rsidRPr="00B97DCA">
          <w:rPr>
            <w:rStyle w:val="Hyperlink"/>
            <w:rFonts w:cstheme="minorBidi"/>
            <w:bCs/>
            <w:lang w:val="ru-RU"/>
          </w:rPr>
          <w:t>32</w:t>
        </w:r>
      </w:hyperlink>
      <w:r>
        <w:rPr>
          <w:lang w:val="ru-RU"/>
        </w:rPr>
        <w:t xml:space="preserve"> (КГСЭ) </w:t>
      </w:r>
      <w:r w:rsidR="006A5E2E">
        <w:rPr>
          <w:rFonts w:cs="Calibri"/>
          <w:lang w:val="ru-RU"/>
        </w:rPr>
        <w:t>−</w:t>
      </w:r>
      <w:r>
        <w:rPr>
          <w:lang w:val="ru-RU"/>
        </w:rPr>
        <w:t xml:space="preserve"> Входящее заявление о взаимодействии от Консультативной группы по стандартизации электросвязи (КГСЭ), в котором представлено предложение КГСЭ о внесении </w:t>
      </w:r>
      <w:r w:rsidRPr="006A5E2E">
        <w:rPr>
          <w:lang w:val="ru-RU"/>
        </w:rPr>
        <w:t>изменений</w:t>
      </w:r>
      <w:r>
        <w:rPr>
          <w:lang w:val="ru-RU"/>
        </w:rPr>
        <w:t xml:space="preserve"> в проект Стратегического плана МСЭ на 2028–2031 годы в части средств достижения целей</w:t>
      </w:r>
      <w:hyperlink r:id="rId113" w:history="1"/>
    </w:p>
    <w:p w14:paraId="2B19265C" w14:textId="0C027368" w:rsidR="00565128" w:rsidRPr="00162218" w:rsidRDefault="00565128" w:rsidP="00937AE8">
      <w:r>
        <w:t xml:space="preserve">КГРЭ рассмотрела Документ 32 </w:t>
      </w:r>
      <w:r w:rsidR="006A5E2E">
        <w:rPr>
          <w:rFonts w:cs="Calibri"/>
        </w:rPr>
        <w:t>−</w:t>
      </w:r>
      <w:r>
        <w:t xml:space="preserve"> входящее заявление о взаимодействии от Консультативной группы по стандартизации электросвязи (КГСЭ), в котором представлены предложения КГСЭ о внесении изменений в средства достижения целей, указанные в проекте Стратегического плана МСЭ на период 2028</w:t>
      </w:r>
      <w:r w:rsidR="006A5E2E">
        <w:rPr>
          <w:rFonts w:cs="Calibri"/>
        </w:rPr>
        <w:t>−</w:t>
      </w:r>
      <w:r>
        <w:t xml:space="preserve">2031 годов, с акцентом на организационные преобразования, цифровые возможности, инновации и управление людскими ресурсами. </w:t>
      </w:r>
    </w:p>
    <w:p w14:paraId="7EE16B1D" w14:textId="77777777" w:rsidR="00565128" w:rsidRPr="00162218" w:rsidRDefault="00565128" w:rsidP="00565128">
      <w:pPr>
        <w:tabs>
          <w:tab w:val="left" w:pos="567"/>
          <w:tab w:val="left" w:pos="1701"/>
        </w:tabs>
        <w:spacing w:after="120"/>
      </w:pPr>
      <w:r>
        <w:t>КГРЭ приняла к сведению представленную информацию и выразила признательность за вклад КГСЭ в укрепление механизмов реализации Стратегического плана.</w:t>
      </w:r>
    </w:p>
    <w:tbl>
      <w:tblPr>
        <w:tblStyle w:val="TableGrid"/>
        <w:tblW w:w="0" w:type="auto"/>
        <w:tblLayout w:type="fixed"/>
        <w:tblLook w:val="04A0" w:firstRow="1" w:lastRow="0" w:firstColumn="1" w:lastColumn="0" w:noHBand="0" w:noVBand="1"/>
      </w:tblPr>
      <w:tblGrid>
        <w:gridCol w:w="9629"/>
      </w:tblGrid>
      <w:tr w:rsidR="00565128" w:rsidRPr="00162218" w14:paraId="62E40671" w14:textId="77777777" w:rsidTr="00ED4397">
        <w:tc>
          <w:tcPr>
            <w:tcW w:w="9629" w:type="dxa"/>
          </w:tcPr>
          <w:p w14:paraId="28D7339E" w14:textId="77777777" w:rsidR="00565128" w:rsidRPr="00162218" w:rsidRDefault="00565128" w:rsidP="00ED4397">
            <w:pPr>
              <w:spacing w:after="120"/>
              <w:rPr>
                <w:szCs w:val="24"/>
              </w:rPr>
            </w:pPr>
            <w:r>
              <w:rPr>
                <w:color w:val="000000"/>
              </w:rPr>
              <w:t>КГРЭ приняла к сведению Документ 32.</w:t>
            </w:r>
          </w:p>
        </w:tc>
      </w:tr>
    </w:tbl>
    <w:p w14:paraId="60D81948" w14:textId="143BBFE9" w:rsidR="00565128" w:rsidRPr="00162218" w:rsidRDefault="006A5E2E" w:rsidP="00565128">
      <w:pPr>
        <w:pStyle w:val="Heading1"/>
      </w:pPr>
      <w:r w:rsidRPr="006A5E2E">
        <w:t>11</w:t>
      </w:r>
      <w:r>
        <w:rPr>
          <w:lang w:val="en-US"/>
        </w:rPr>
        <w:tab/>
      </w:r>
      <w:r w:rsidR="00565128">
        <w:t>Отчет председателя Группы по инициативам в области создания потенциала (ГИСП)</w:t>
      </w:r>
    </w:p>
    <w:p w14:paraId="5D4EBF23" w14:textId="77777777" w:rsidR="00565128" w:rsidRPr="00162218" w:rsidRDefault="00565128" w:rsidP="00937AE8">
      <w:pPr>
        <w:pStyle w:val="Headingb"/>
        <w:rPr>
          <w:rFonts w:cstheme="minorBidi"/>
          <w:b w:val="0"/>
          <w:lang w:val="ru-RU"/>
        </w:rPr>
      </w:pPr>
      <w:r w:rsidRPr="00937AE8">
        <w:t>Документ</w:t>
      </w:r>
      <w:r>
        <w:rPr>
          <w:lang w:val="ru-RU"/>
        </w:rPr>
        <w:t xml:space="preserve"> </w:t>
      </w:r>
      <w:hyperlink r:id="rId114" w:history="1">
        <w:r w:rsidRPr="00B97DCA">
          <w:rPr>
            <w:rStyle w:val="Hyperlink"/>
            <w:rFonts w:cstheme="minorBidi"/>
            <w:bCs/>
            <w:lang w:val="ru-RU"/>
          </w:rPr>
          <w:t>11(</w:t>
        </w:r>
        <w:r>
          <w:rPr>
            <w:rStyle w:val="Hyperlink"/>
            <w:rFonts w:cstheme="minorBidi"/>
            <w:bCs/>
          </w:rPr>
          <w:t>Rev</w:t>
        </w:r>
        <w:r w:rsidRPr="00B97DCA">
          <w:rPr>
            <w:rStyle w:val="Hyperlink"/>
            <w:rFonts w:cstheme="minorBidi"/>
            <w:bCs/>
            <w:lang w:val="ru-RU"/>
          </w:rPr>
          <w:t>.1)</w:t>
        </w:r>
      </w:hyperlink>
      <w:r w:rsidRPr="00B97DCA">
        <w:rPr>
          <w:rFonts w:cstheme="minorBidi"/>
          <w:lang w:val="ru-RU"/>
        </w:rPr>
        <w:t xml:space="preserve"> </w:t>
      </w:r>
      <w:r>
        <w:rPr>
          <w:lang w:val="ru-RU"/>
        </w:rPr>
        <w:t xml:space="preserve">(Председатель ГИСП) – Отчет о работе Группы по инициативам в области </w:t>
      </w:r>
      <w:r w:rsidRPr="00937AE8">
        <w:t>создания</w:t>
      </w:r>
      <w:r>
        <w:rPr>
          <w:lang w:val="ru-RU"/>
        </w:rPr>
        <w:t xml:space="preserve"> потенциала (ГИСП) для КГРЭ</w:t>
      </w:r>
      <w:hyperlink r:id="rId115" w:history="1"/>
    </w:p>
    <w:p w14:paraId="310795B4" w14:textId="77777777" w:rsidR="00565128" w:rsidRPr="00162218" w:rsidRDefault="00565128" w:rsidP="00937AE8">
      <w:r>
        <w:t>КГРЭ рассмотрела Документ 11(Rev.1), содержащий отчет председателя Группы по инициативам в области создания потенциала (ГИСП), в котором кратко описана работа, проделанная Группой со времени проведения последнего собрания КГРЭ, и представлены планируемые Группой виды деятельности на предстоящий период.</w:t>
      </w:r>
    </w:p>
    <w:p w14:paraId="0B06FB20" w14:textId="77777777" w:rsidR="00565128" w:rsidRPr="00D46EF0" w:rsidRDefault="00565128" w:rsidP="00937AE8">
      <w:r>
        <w:t>В презентации освещалась недавняя деятельность ГИСП, в частности исследование национальных стратегий развития цифровых навыков, вклад в рассмотрение Комплекта материалов МСЭ по цифровым навыкам, а также вклады в реализацию инициатив по созданию потенциала в рамках мандата, предусмотренного Резолюцией 40 (Пересм. Баку, 2025 г.) ВКРЭ и Резолюцией 73 (Пересм. Баку, 2025 г.). Председатель также упомянул о запланированной последующей деятельности, в частности о разработке онлайнового хранилища информации о национальных стратегиях развития цифровых навыков и о первоначальных соображениях относительно осуществления пересмотренной Резолюции 40.</w:t>
      </w:r>
    </w:p>
    <w:p w14:paraId="25DCC136" w14:textId="7DD5EC43" w:rsidR="00565128" w:rsidRPr="00D46EF0" w:rsidRDefault="00565128" w:rsidP="00565128">
      <w:pPr>
        <w:tabs>
          <w:tab w:val="left" w:pos="567"/>
          <w:tab w:val="left" w:pos="1701"/>
        </w:tabs>
        <w:spacing w:after="120"/>
      </w:pPr>
      <w:r>
        <w:t>В ходе обсуждения одна из делегаций подчеркнула актуальность работы ГИСП для 2</w:t>
      </w:r>
      <w:r w:rsidR="006A5E2E" w:rsidRPr="006A5E2E">
        <w:noBreakHyphen/>
      </w:r>
      <w:r>
        <w:t>й</w:t>
      </w:r>
      <w:r w:rsidR="006A5E2E">
        <w:rPr>
          <w:lang w:val="en-US"/>
        </w:rPr>
        <w:t> </w:t>
      </w:r>
      <w:r w:rsidRPr="00937AE8">
        <w:t>Исследовательской комиссии, особенно в контексте Вопроса 5/2, и предложила направить этот отчет 2-й Исследовательской комиссии, с тем чтобы избежать дублирования усилий и использовать результа</w:t>
      </w:r>
      <w:r>
        <w:t>ты уже проделанной ГИСП аналитической работы в дальнейшей деятельности. Председатель ГИСП отметил, что Группа находится на заключительном этапе своего текущего цикла и выразил признательность членам ГИСП за их работу и Секретариату за оказанную поддержку.</w:t>
      </w:r>
    </w:p>
    <w:p w14:paraId="20ECEC24" w14:textId="7294B170" w:rsidR="00565128" w:rsidRPr="00D46EF0" w:rsidRDefault="00565128" w:rsidP="00565128">
      <w:pPr>
        <w:tabs>
          <w:tab w:val="left" w:pos="567"/>
          <w:tab w:val="left" w:pos="1701"/>
        </w:tabs>
        <w:spacing w:after="120"/>
      </w:pPr>
      <w:r>
        <w:t xml:space="preserve">КГРЭ приняла к сведению Документ 11(Rev.1), поблагодарила Председателя и членов ГИСП за их работу и </w:t>
      </w:r>
      <w:r w:rsidR="00EA29C8">
        <w:t>отметила</w:t>
      </w:r>
      <w:r>
        <w:t xml:space="preserve"> вклад Группы в деятельность МСЭ-D по созданию потенциала.</w:t>
      </w:r>
    </w:p>
    <w:tbl>
      <w:tblPr>
        <w:tblStyle w:val="TableGrid"/>
        <w:tblW w:w="0" w:type="auto"/>
        <w:tblLayout w:type="fixed"/>
        <w:tblLook w:val="04A0" w:firstRow="1" w:lastRow="0" w:firstColumn="1" w:lastColumn="0" w:noHBand="0" w:noVBand="1"/>
      </w:tblPr>
      <w:tblGrid>
        <w:gridCol w:w="9629"/>
      </w:tblGrid>
      <w:tr w:rsidR="00565128" w:rsidRPr="00D46EF0" w14:paraId="7BF2D5CF" w14:textId="77777777" w:rsidTr="00ED4397">
        <w:tc>
          <w:tcPr>
            <w:tcW w:w="9629" w:type="dxa"/>
          </w:tcPr>
          <w:p w14:paraId="3C2BEB68" w14:textId="77777777" w:rsidR="00565128" w:rsidRPr="00D46EF0" w:rsidRDefault="00565128" w:rsidP="00ED4397">
            <w:pPr>
              <w:spacing w:after="120"/>
              <w:rPr>
                <w:szCs w:val="24"/>
              </w:rPr>
            </w:pPr>
            <w:r>
              <w:rPr>
                <w:color w:val="000000"/>
              </w:rPr>
              <w:t>КГРЭ приняла к сведению Документ 11(Rev.1) о работе Группы по инициативам в области создания потенциала (ГИСП).</w:t>
            </w:r>
          </w:p>
        </w:tc>
      </w:tr>
    </w:tbl>
    <w:p w14:paraId="2E016F05" w14:textId="2886C2AA" w:rsidR="00565128" w:rsidRPr="00D46EF0" w:rsidRDefault="006A5E2E" w:rsidP="006A5E2E">
      <w:pPr>
        <w:pStyle w:val="Heading1"/>
      </w:pPr>
      <w:r w:rsidRPr="006A5E2E">
        <w:lastRenderedPageBreak/>
        <w:t>12</w:t>
      </w:r>
      <w:r>
        <w:rPr>
          <w:lang w:val="en-US"/>
        </w:rPr>
        <w:tab/>
      </w:r>
      <w:r w:rsidR="00565128">
        <w:t>Отчет о работе Группы экспертов по Регламенту международной электросвязи (ГЭ-РМЭ)</w:t>
      </w:r>
    </w:p>
    <w:p w14:paraId="080CE05F" w14:textId="77777777" w:rsidR="00565128" w:rsidRPr="00162218" w:rsidRDefault="00565128" w:rsidP="006A5E2E">
      <w:pPr>
        <w:pStyle w:val="Headingb"/>
        <w:keepNext/>
        <w:keepLines/>
        <w:rPr>
          <w:rFonts w:cstheme="minorBidi"/>
          <w:b w:val="0"/>
          <w:lang w:val="ru-RU"/>
        </w:rPr>
      </w:pPr>
      <w:r>
        <w:rPr>
          <w:lang w:val="ru-RU"/>
        </w:rPr>
        <w:t xml:space="preserve">Документ </w:t>
      </w:r>
      <w:hyperlink r:id="rId116" w:history="1">
        <w:r w:rsidRPr="00B97DCA">
          <w:rPr>
            <w:rStyle w:val="Hyperlink"/>
            <w:rFonts w:cstheme="minorBidi"/>
            <w:bCs/>
            <w:lang w:val="ru-RU"/>
          </w:rPr>
          <w:t>13</w:t>
        </w:r>
      </w:hyperlink>
      <w:r>
        <w:rPr>
          <w:lang w:val="ru-RU"/>
        </w:rPr>
        <w:t xml:space="preserve"> (Директор БРЭ) – Отчет о работе Группы экспертов по Регламенту международной </w:t>
      </w:r>
      <w:r w:rsidRPr="00937AE8">
        <w:t>электросвязи</w:t>
      </w:r>
      <w:r>
        <w:rPr>
          <w:lang w:val="ru-RU"/>
        </w:rPr>
        <w:t xml:space="preserve"> (ГЭ-РМЭ) для КГРЭ</w:t>
      </w:r>
      <w:hyperlink r:id="rId117" w:history="1"/>
    </w:p>
    <w:p w14:paraId="71084FE9" w14:textId="77777777" w:rsidR="00565128" w:rsidRPr="00B97DCA" w:rsidRDefault="00565128" w:rsidP="00937AE8">
      <w:r>
        <w:t>КГРЭ рассмотрела Документ 13, содержащий отчет о работе Группы экспертов по Регламенту международной электросвязи (ГЭ-РМЭ). В отчете приведена краткая информация о пятом и шестом собраниях ГЭ-РМЭ, состоявшихся в сентябре 2025 года и январе 2026 года, соответственно, которые были проведены в соответствии с Резолюцией 146 (Пересм. Бухарест, 2022 г.) ПК и Резолюцией 1379 (Изм. 2023 г.) Совета.</w:t>
      </w:r>
    </w:p>
    <w:p w14:paraId="66EE8EB6" w14:textId="77777777" w:rsidR="00565128" w:rsidRPr="00162218" w:rsidRDefault="00565128" w:rsidP="00937AE8">
      <w:r>
        <w:t>В презентации было подчеркнуто, что в ходе этих собраний Группа экспертов рассмотрела проект заключительного отчета для представления Совету 2026 года, проанализировала письменные вклады, полученные от Членов, и предложила участникам высказать свои мнения относительно сферы охвата, актуальности и возможных будущих направлений развития Регламента международной электросвязи (РМЭ). В отчете отмечается, что в рамках обсуждений в Группе экспертов были высказаны различные мнения, что отражено в отчетах о собраниях.</w:t>
      </w:r>
    </w:p>
    <w:p w14:paraId="68E5B9B3" w14:textId="77777777" w:rsidR="00565128" w:rsidRPr="00D46EF0" w:rsidRDefault="00565128" w:rsidP="00565128">
      <w:pPr>
        <w:tabs>
          <w:tab w:val="left" w:pos="567"/>
          <w:tab w:val="left" w:pos="1701"/>
        </w:tabs>
        <w:spacing w:after="120"/>
      </w:pPr>
      <w:r>
        <w:t>КГРЭ приняла к сведению представленную информацию и выразила признательность за работу, проделанную ГЭ-РМЭ в соответствии со своим мандатом. КГРЭ также приняла к сведению, что Группа экспертов завершила подготовку своего отчета для последующего рассмотрения в рамках соответствующих процессов МСЭ. В заключение Председатель заявила, что Документ 13 представлен только для информации и что на данном этапе от КГРЭ не требуется никаких дальнейших действий.</w:t>
      </w:r>
    </w:p>
    <w:tbl>
      <w:tblPr>
        <w:tblStyle w:val="TableGrid"/>
        <w:tblW w:w="0" w:type="auto"/>
        <w:tblLayout w:type="fixed"/>
        <w:tblLook w:val="04A0" w:firstRow="1" w:lastRow="0" w:firstColumn="1" w:lastColumn="0" w:noHBand="0" w:noVBand="1"/>
      </w:tblPr>
      <w:tblGrid>
        <w:gridCol w:w="9629"/>
      </w:tblGrid>
      <w:tr w:rsidR="00565128" w:rsidRPr="00D46EF0" w14:paraId="5E11F9C5" w14:textId="77777777" w:rsidTr="00ED4397">
        <w:tc>
          <w:tcPr>
            <w:tcW w:w="9629" w:type="dxa"/>
          </w:tcPr>
          <w:p w14:paraId="50120335" w14:textId="77777777" w:rsidR="00565128" w:rsidRPr="00D46EF0" w:rsidRDefault="00565128" w:rsidP="00ED4397">
            <w:pPr>
              <w:spacing w:after="120"/>
              <w:rPr>
                <w:szCs w:val="24"/>
              </w:rPr>
            </w:pPr>
            <w:r>
              <w:rPr>
                <w:color w:val="000000"/>
              </w:rPr>
              <w:t>КГРЭ приняла к сведению Документ 13, содержащий отчет о работе Группы экспертов по Регламенту международной электросвязи (ГЭ-РМЭ).</w:t>
            </w:r>
          </w:p>
        </w:tc>
      </w:tr>
    </w:tbl>
    <w:p w14:paraId="72A7DB85" w14:textId="6A406E56" w:rsidR="00565128" w:rsidRPr="00D46EF0" w:rsidRDefault="006A5E2E" w:rsidP="00565128">
      <w:pPr>
        <w:pStyle w:val="Heading1"/>
      </w:pPr>
      <w:r w:rsidRPr="006A5E2E">
        <w:t>13</w:t>
      </w:r>
      <w:r w:rsidRPr="006A5E2E">
        <w:tab/>
      </w:r>
      <w:r w:rsidR="00565128">
        <w:t>Использование шести официальных языков Союза на равной основе</w:t>
      </w:r>
    </w:p>
    <w:p w14:paraId="2C9D7F2B" w14:textId="77777777" w:rsidR="00565128" w:rsidRPr="00162218" w:rsidRDefault="00565128" w:rsidP="00937AE8">
      <w:pPr>
        <w:pStyle w:val="Headingb"/>
        <w:rPr>
          <w:rFonts w:cstheme="minorBidi"/>
        </w:rPr>
      </w:pPr>
      <w:r>
        <w:t xml:space="preserve">Документ </w:t>
      </w:r>
      <w:hyperlink r:id="rId118" w:history="1">
        <w:r w:rsidRPr="00B97DCA">
          <w:rPr>
            <w:rStyle w:val="Hyperlink"/>
            <w:rFonts w:cstheme="minorBidi"/>
            <w:bCs/>
            <w:lang w:val="ru-RU"/>
          </w:rPr>
          <w:t>38</w:t>
        </w:r>
      </w:hyperlink>
      <w:r>
        <w:t xml:space="preserve"> (Российская Федерация) – Замечания к отчету Директора БРЭ "Использование всех официальных языков в МСЭ-D на равной основе"</w:t>
      </w:r>
      <w:hyperlink r:id="rId119" w:history="1"/>
    </w:p>
    <w:p w14:paraId="31246638" w14:textId="77777777" w:rsidR="00565128" w:rsidRPr="00D46EF0" w:rsidRDefault="00565128" w:rsidP="00937AE8">
      <w:r>
        <w:t>КГРЭ рассмотрела представленный Российской Федерацией Документ 38, в котором содержатся замечания к отчету Директора БРЭ об использовании в МСЭ-D всех шести официальных языков Союза на равной основе. Во вкладе обращается внимание на сохраняющееся неравенство в плане доступа к информации на разных языках, в частности на ограниченный доступ к документам КГРЭ и веб-контенту МСЭ-D на других языках помимо английского.</w:t>
      </w:r>
    </w:p>
    <w:p w14:paraId="5C7244C3" w14:textId="77777777" w:rsidR="00565128" w:rsidRPr="00D46EF0" w:rsidRDefault="00565128" w:rsidP="00937AE8">
      <w:r>
        <w:t>В связи с этим Российская Федерация призывает устранить неравенство в использовании официальных языков на веб-сайтах МСЭ-D в соответствии с обязательствами, изложенными в Документе TDAG-26/14.</w:t>
      </w:r>
    </w:p>
    <w:p w14:paraId="26C4E58D" w14:textId="77777777" w:rsidR="00565128" w:rsidRPr="00D46EF0" w:rsidRDefault="00565128" w:rsidP="00565128">
      <w:pPr>
        <w:tabs>
          <w:tab w:val="left" w:pos="567"/>
          <w:tab w:val="left" w:pos="1701"/>
        </w:tabs>
        <w:spacing w:after="120"/>
      </w:pPr>
      <w:r>
        <w:t>КГРЭ приняла Документ 38 к сведению и выразила признательность за меры, принятые БРЭ для решения поднятых вопросов. Председатель отметила, что замечания должным образом приняты к сведению, что отражает тот факт, что КГРЭ продолжает уделять внимание вопросу обеспечения принципа многоязычия и равноправного доступа к информации на всех языках в МСЭ-D, при этом на данном этапе от КГРЭ не требуется принимать никаких дополнительных решений.</w:t>
      </w:r>
    </w:p>
    <w:tbl>
      <w:tblPr>
        <w:tblStyle w:val="TableGrid"/>
        <w:tblW w:w="0" w:type="auto"/>
        <w:tblLayout w:type="fixed"/>
        <w:tblLook w:val="04A0" w:firstRow="1" w:lastRow="0" w:firstColumn="1" w:lastColumn="0" w:noHBand="0" w:noVBand="1"/>
      </w:tblPr>
      <w:tblGrid>
        <w:gridCol w:w="9629"/>
      </w:tblGrid>
      <w:tr w:rsidR="00565128" w:rsidRPr="00D46EF0" w14:paraId="28276C72" w14:textId="77777777" w:rsidTr="00ED4397">
        <w:tc>
          <w:tcPr>
            <w:tcW w:w="9629" w:type="dxa"/>
          </w:tcPr>
          <w:p w14:paraId="6AA71D99" w14:textId="77777777" w:rsidR="00565128" w:rsidRPr="00D46EF0" w:rsidRDefault="00565128" w:rsidP="00ED4397">
            <w:pPr>
              <w:spacing w:after="120"/>
              <w:rPr>
                <w:szCs w:val="24"/>
              </w:rPr>
            </w:pPr>
            <w:r>
              <w:rPr>
                <w:color w:val="000000"/>
              </w:rPr>
              <w:t>КГРЭ приняла к сведению Документ 38 и выразила признательность за меры, принятые БРЭ для решения затронутых в Документе вопросов.</w:t>
            </w:r>
          </w:p>
        </w:tc>
      </w:tr>
    </w:tbl>
    <w:p w14:paraId="0B78208B" w14:textId="77777777" w:rsidR="00565128" w:rsidRPr="00162218" w:rsidRDefault="00565128" w:rsidP="006A5E2E">
      <w:pPr>
        <w:pStyle w:val="Headingb"/>
        <w:keepNext/>
        <w:rPr>
          <w:rFonts w:cstheme="minorBidi"/>
          <w:bCs/>
        </w:rPr>
      </w:pPr>
      <w:r>
        <w:rPr>
          <w:bCs/>
        </w:rPr>
        <w:lastRenderedPageBreak/>
        <w:t xml:space="preserve">Документ </w:t>
      </w:r>
      <w:hyperlink r:id="rId120" w:history="1">
        <w:r w:rsidRPr="00FB3E39">
          <w:rPr>
            <w:rStyle w:val="Hyperlink"/>
            <w:rFonts w:cstheme="minorBidi"/>
            <w:bCs/>
            <w:lang w:val="ru-RU"/>
          </w:rPr>
          <w:t>14</w:t>
        </w:r>
      </w:hyperlink>
      <w:r w:rsidRPr="00FB3E39">
        <w:rPr>
          <w:rFonts w:cstheme="minorBidi"/>
          <w:bCs/>
        </w:rPr>
        <w:t xml:space="preserve"> </w:t>
      </w:r>
      <w:r>
        <w:rPr>
          <w:bCs/>
        </w:rPr>
        <w:t>(Директор БРЭ) – Использование всех официальных языков в МСЭ-D</w:t>
      </w:r>
      <w:r>
        <w:t xml:space="preserve"> </w:t>
      </w:r>
      <w:r>
        <w:rPr>
          <w:bCs/>
        </w:rPr>
        <w:t>на равной основе</w:t>
      </w:r>
      <w:hyperlink r:id="rId121" w:history="1"/>
    </w:p>
    <w:p w14:paraId="1A8520C8" w14:textId="77777777" w:rsidR="00565128" w:rsidRPr="00D46EF0" w:rsidRDefault="00565128" w:rsidP="00937AE8">
      <w:r>
        <w:t>КГРЭ рассмотрела Документ 14, в котором представлена обновленная информация о мерах, принятых БРЭ для содействия использованию шести официальных языков Союза на равной основе в рамках МСЭ-D, в соответствии с Резолюцией 154 (Пересм. Бухарест, 2022 г.) Полномочной конференции и соответствующими резолюциями ВКРЭ.</w:t>
      </w:r>
    </w:p>
    <w:p w14:paraId="0047598C" w14:textId="3351A97A" w:rsidR="00565128" w:rsidRPr="00D46EF0" w:rsidRDefault="00565128" w:rsidP="00937AE8">
      <w:r>
        <w:t xml:space="preserve">В ходе презентации были отмечены успехи в обеспечении многоязычного доступа к цифровому контенту МСЭ-D, в частности благодаря переводу веб-сайтов МСЭ-D на платформу МСЭ WordPress, обеспечивающую машинный перевод на все официальные языки, а также опыту, полученному при работе с веб-сайтом ВКРЭ-25, где машинный перевод сочетается с выборочным постредактированием и контролем качества. В </w:t>
      </w:r>
      <w:r w:rsidR="00110FEB">
        <w:t>д</w:t>
      </w:r>
      <w:r>
        <w:t>окументе также описывается текущий порядок обеспечения устного и письменного перевода собраний и документов МСЭ-D, включая непрерывное предоставление услуг профессионального устного перевода на официально предусмотренных собраниях, выполнение человеком перевода документов, представляемых в установленные сроки, и дополнительное использование системы ITUTranslate для повышения доступности. Далее в документе сообщается о тестировании появляющихся языковых технологий, отмечается их потенциальная польза при использовании в неофициальном контексте, но подчеркивается, что они пока не подходят для официальных собраний, требующих высокой точности перевода.</w:t>
      </w:r>
    </w:p>
    <w:p w14:paraId="4C430EE0" w14:textId="77777777" w:rsidR="00565128" w:rsidRPr="00D46EF0" w:rsidRDefault="00565128" w:rsidP="00565128">
      <w:pPr>
        <w:tabs>
          <w:tab w:val="left" w:pos="567"/>
          <w:tab w:val="left" w:pos="1701"/>
        </w:tabs>
        <w:spacing w:after="120"/>
      </w:pPr>
      <w:r>
        <w:t>КГРЭ приняла к сведению представленную информацию и высоко оценила усилия, предпринимаемые БРЭ для укрепления многоязычия во всех видах деятельности МСЭ-D.</w:t>
      </w:r>
    </w:p>
    <w:tbl>
      <w:tblPr>
        <w:tblStyle w:val="TableGrid"/>
        <w:tblW w:w="0" w:type="auto"/>
        <w:tblLayout w:type="fixed"/>
        <w:tblLook w:val="04A0" w:firstRow="1" w:lastRow="0" w:firstColumn="1" w:lastColumn="0" w:noHBand="0" w:noVBand="1"/>
      </w:tblPr>
      <w:tblGrid>
        <w:gridCol w:w="9629"/>
      </w:tblGrid>
      <w:tr w:rsidR="00565128" w:rsidRPr="00D46EF0" w14:paraId="316E6AF2" w14:textId="77777777" w:rsidTr="00ED4397">
        <w:tc>
          <w:tcPr>
            <w:tcW w:w="9629" w:type="dxa"/>
          </w:tcPr>
          <w:p w14:paraId="439E7800" w14:textId="77777777" w:rsidR="00565128" w:rsidRPr="00D46EF0" w:rsidRDefault="00565128" w:rsidP="00ED4397">
            <w:pPr>
              <w:spacing w:after="120"/>
              <w:rPr>
                <w:szCs w:val="24"/>
              </w:rPr>
            </w:pPr>
            <w:r>
              <w:rPr>
                <w:color w:val="000000"/>
              </w:rPr>
              <w:t>КГРЭ приняла к сведению Документ 14.</w:t>
            </w:r>
          </w:p>
        </w:tc>
      </w:tr>
    </w:tbl>
    <w:p w14:paraId="7409A2AC" w14:textId="4637DB09" w:rsidR="00565128" w:rsidRPr="00E732D0" w:rsidRDefault="00110FEB" w:rsidP="00937AE8">
      <w:pPr>
        <w:pStyle w:val="Heading1"/>
      </w:pPr>
      <w:r>
        <w:t>14</w:t>
      </w:r>
      <w:r>
        <w:tab/>
      </w:r>
      <w:r w:rsidR="00565128" w:rsidRPr="00937AE8">
        <w:t>Календарь</w:t>
      </w:r>
      <w:r w:rsidR="00565128">
        <w:t xml:space="preserve"> мероприятий МСЭ-D</w:t>
      </w:r>
    </w:p>
    <w:p w14:paraId="30B29BBE" w14:textId="77777777" w:rsidR="00565128" w:rsidRPr="00162218" w:rsidRDefault="00565128" w:rsidP="00937AE8">
      <w:pPr>
        <w:pStyle w:val="Headingb"/>
        <w:rPr>
          <w:rFonts w:cstheme="minorBidi"/>
          <w:bCs/>
        </w:rPr>
      </w:pPr>
      <w:r>
        <w:rPr>
          <w:bCs/>
        </w:rPr>
        <w:t xml:space="preserve">Документ </w:t>
      </w:r>
      <w:hyperlink r:id="rId122" w:history="1">
        <w:r w:rsidRPr="003B66BE">
          <w:rPr>
            <w:rStyle w:val="Hyperlink"/>
            <w:rFonts w:cstheme="minorBidi"/>
            <w:bCs/>
            <w:lang w:val="ru-RU"/>
          </w:rPr>
          <w:t>15</w:t>
        </w:r>
      </w:hyperlink>
      <w:r>
        <w:rPr>
          <w:bCs/>
        </w:rPr>
        <w:t xml:space="preserve"> (Директор БРЭ) – Календарь мероприятий МСЭ-D</w:t>
      </w:r>
      <w:hyperlink r:id="rId123" w:history="1">
        <w:bookmarkStart w:id="49" w:name="_Hlt227156158"/>
        <w:bookmarkStart w:id="50" w:name="_Hlt227156157"/>
        <w:bookmarkEnd w:id="49"/>
        <w:bookmarkEnd w:id="50"/>
      </w:hyperlink>
    </w:p>
    <w:p w14:paraId="4F0D9A38" w14:textId="77777777" w:rsidR="00565128" w:rsidRPr="00D46EF0" w:rsidRDefault="00565128" w:rsidP="00937AE8">
      <w:r>
        <w:t>КГРЭ рассмотрела Документ 15, в котором представлен проект календаря основных мероприятий МСЭ-D, запланированных на ближайшие два года, с указанием для справки отдельных ключевых мероприятий в масштабах всего МСЭ. Календарь был представлен в качестве инструмента планирования, призванного обеспечить заблаговременную информированность о мероприятиях, облегчить координацию и способствовать сокращению числа возможных накладок при планировании деятельности Государств-Членов и других заинтересованных сторон.</w:t>
      </w:r>
    </w:p>
    <w:p w14:paraId="57E23A26" w14:textId="77777777" w:rsidR="00565128" w:rsidRPr="00D46EF0" w:rsidRDefault="00565128" w:rsidP="00937AE8">
      <w:pPr>
        <w:rPr>
          <w:rFonts w:cstheme="minorBidi"/>
        </w:rPr>
      </w:pPr>
      <w:r>
        <w:t>В ходе обсуждения было отмечено, что даты, указанные в календаре, носят ориентировочный характер, и была подчеркнута важность постоянной координации во избежание накладок, особенно в свете растущего числа мероприятий МСЭ-D и МСЭ в целом. Некоторые члены обратились к БРЭ с просьбой рассмотреть вопрос о плотном графике проведения мероприятий высокого уровня в рамках одного календарного года в целом, отметив, что это может создать дополнительную нагрузку на Государства-Члены с точки зрения участия и ресурсов.</w:t>
      </w:r>
    </w:p>
    <w:p w14:paraId="1CDD9B8C" w14:textId="77777777" w:rsidR="00565128" w:rsidRPr="00D46EF0" w:rsidRDefault="00565128" w:rsidP="00565128">
      <w:pPr>
        <w:tabs>
          <w:tab w:val="left" w:pos="567"/>
          <w:tab w:val="left" w:pos="1701"/>
        </w:tabs>
        <w:spacing w:after="120"/>
        <w:rPr>
          <w:rFonts w:cstheme="minorBidi"/>
        </w:rPr>
      </w:pPr>
      <w:r>
        <w:t>Отвечая на этот вопрос, Директор БРЭ пояснил, что рассмотрение и координация календаря осуществляются на уровне МСЭ и что БРЭ по-прежнему внимательно следит за тем, чтобы по возможности свести к минимуму накладки, при этом принимая во внимание установленные обязательные требования и межсекторальные процессы. КГРЭ приняла к сведению Документ 15 при том понимании, что представленный календарь будет и далее пересматриваться и корректироваться по мере необходимости.</w:t>
      </w:r>
    </w:p>
    <w:tbl>
      <w:tblPr>
        <w:tblStyle w:val="TableGrid"/>
        <w:tblW w:w="0" w:type="auto"/>
        <w:tblLayout w:type="fixed"/>
        <w:tblLook w:val="04A0" w:firstRow="1" w:lastRow="0" w:firstColumn="1" w:lastColumn="0" w:noHBand="0" w:noVBand="1"/>
      </w:tblPr>
      <w:tblGrid>
        <w:gridCol w:w="9629"/>
      </w:tblGrid>
      <w:tr w:rsidR="00565128" w:rsidRPr="008A3282" w14:paraId="649F8F7C" w14:textId="77777777" w:rsidTr="00ED4397">
        <w:tc>
          <w:tcPr>
            <w:tcW w:w="9629" w:type="dxa"/>
          </w:tcPr>
          <w:p w14:paraId="7CA5183B" w14:textId="77777777" w:rsidR="00565128" w:rsidRPr="00D46EF0" w:rsidRDefault="00565128" w:rsidP="00110FEB">
            <w:pPr>
              <w:keepLines/>
              <w:spacing w:after="120"/>
              <w:rPr>
                <w:szCs w:val="24"/>
              </w:rPr>
            </w:pPr>
            <w:r>
              <w:rPr>
                <w:color w:val="000000"/>
              </w:rPr>
              <w:lastRenderedPageBreak/>
              <w:t>КГРЭ приняла к сведению Документ 15 и напомнила, что даты являются ориентировочными и что любые случаи совпадения сроков проведения мероприятий будут рассматриваться БРЭ. Некоторые члены обратились к БРЭ с просьбой рассмотреть вопрос о количестве мероприятий высокого уровня в течение одного календарного года ввиду потенциальной нагрузки на Государства-Члены. Директор БРЭ пояснил, что на уровне МСЭ в настоящее время проводится необходимый обзор и координация.</w:t>
            </w:r>
          </w:p>
        </w:tc>
      </w:tr>
    </w:tbl>
    <w:p w14:paraId="58507238" w14:textId="5B5397ED" w:rsidR="00565128" w:rsidRPr="00E732D0" w:rsidRDefault="00110FEB" w:rsidP="00937AE8">
      <w:pPr>
        <w:pStyle w:val="Heading1"/>
      </w:pPr>
      <w:r>
        <w:t>15</w:t>
      </w:r>
      <w:r>
        <w:tab/>
      </w:r>
      <w:r w:rsidR="00565128" w:rsidRPr="00937AE8">
        <w:t>Любые</w:t>
      </w:r>
      <w:r w:rsidR="00565128">
        <w:t xml:space="preserve"> другие вопросы</w:t>
      </w:r>
    </w:p>
    <w:p w14:paraId="213AB6F2" w14:textId="77777777" w:rsidR="00565128" w:rsidRPr="00D46EF0" w:rsidRDefault="00565128" w:rsidP="00937AE8">
      <w:pPr>
        <w:pStyle w:val="Headingb"/>
        <w:rPr>
          <w:rFonts w:cstheme="minorBidi"/>
        </w:rPr>
      </w:pPr>
      <w:r>
        <w:t xml:space="preserve">Документ </w:t>
      </w:r>
      <w:hyperlink r:id="rId124" w:history="1">
        <w:r w:rsidRPr="00A01FD9">
          <w:rPr>
            <w:rStyle w:val="Hyperlink"/>
            <w:rFonts w:cstheme="minorBidi"/>
            <w:bCs/>
            <w:lang w:val="ru-RU"/>
          </w:rPr>
          <w:t>7</w:t>
        </w:r>
      </w:hyperlink>
      <w:r>
        <w:t xml:space="preserve"> (Отчет Генерального секретаря) – Обновленная информация об обеспечении непрерывности деятельности</w:t>
      </w:r>
      <w:bookmarkStart w:id="51" w:name="_Hlt227156199"/>
      <w:bookmarkStart w:id="52" w:name="_Hlt227156200"/>
      <w:bookmarkEnd w:id="51"/>
      <w:bookmarkEnd w:id="52"/>
    </w:p>
    <w:p w14:paraId="64892B44" w14:textId="416775EC" w:rsidR="00565128" w:rsidRPr="00D46EF0" w:rsidRDefault="00565128" w:rsidP="00937AE8">
      <w:r>
        <w:t>КГРЭ рассмотрела Документ 7, в котором представлена обновленная информация о мерах по обеспечению непрерывности деятельности МСЭ в период строительства нового здания штаб-квартиры МСЭ в 2028</w:t>
      </w:r>
      <w:r w:rsidR="00110FEB">
        <w:rPr>
          <w:rFonts w:cs="Calibri"/>
        </w:rPr>
        <w:t>−</w:t>
      </w:r>
      <w:r>
        <w:t>2029 годах. В отчете обновлена информация, ранее представленная Рабочей группе Совета по финансовым и людским ресурсам (РГС-ФЛР), а также описаны возможные варианты проведения собраний МСЭ в этот период и соответствующие финансовые последствия.</w:t>
      </w:r>
    </w:p>
    <w:p w14:paraId="7D4DC93C" w14:textId="77777777" w:rsidR="00565128" w:rsidRPr="00D46EF0" w:rsidRDefault="00565128" w:rsidP="00937AE8">
      <w:r>
        <w:t>В ходе презентации было отмечено, что Секретариат продолжает изучать различные варианты обеспечения непрерывности работы МСЭ, в частности в отношении официально предусмотренных и технических собраний, на которые могут повлиять сбои, связанные со строительством, и что более подробная информация будет представлена в рамках соответствующих процессов Совета. КГРЭ отметила, что этот документ был представлен для информации и ознакомления, с тем чтобы держать Консультативную группу в курсе происходящих событий и планируемых мероприятий.</w:t>
      </w:r>
    </w:p>
    <w:p w14:paraId="2C2DF477" w14:textId="77777777" w:rsidR="00565128" w:rsidRPr="00D46EF0" w:rsidRDefault="00565128" w:rsidP="00565128">
      <w:pPr>
        <w:tabs>
          <w:tab w:val="left" w:pos="567"/>
          <w:tab w:val="left" w:pos="1701"/>
        </w:tabs>
        <w:spacing w:after="120"/>
      </w:pPr>
      <w:r>
        <w:t>После представления документа КГРЭ приняла к сведению Документ 7, признав, что этот вопрос будет и далее рассматриваться соответствующими органами Совета.</w:t>
      </w:r>
    </w:p>
    <w:tbl>
      <w:tblPr>
        <w:tblStyle w:val="TableGrid"/>
        <w:tblW w:w="0" w:type="auto"/>
        <w:tblLayout w:type="fixed"/>
        <w:tblLook w:val="04A0" w:firstRow="1" w:lastRow="0" w:firstColumn="1" w:lastColumn="0" w:noHBand="0" w:noVBand="1"/>
      </w:tblPr>
      <w:tblGrid>
        <w:gridCol w:w="9629"/>
      </w:tblGrid>
      <w:tr w:rsidR="00565128" w:rsidRPr="00D46EF0" w14:paraId="29D288F5" w14:textId="77777777" w:rsidTr="00ED4397">
        <w:tc>
          <w:tcPr>
            <w:tcW w:w="9629" w:type="dxa"/>
          </w:tcPr>
          <w:p w14:paraId="7A0841D5" w14:textId="77777777" w:rsidR="00565128" w:rsidRPr="00D46EF0" w:rsidRDefault="00565128" w:rsidP="00ED4397">
            <w:pPr>
              <w:spacing w:after="120"/>
              <w:rPr>
                <w:szCs w:val="24"/>
              </w:rPr>
            </w:pPr>
            <w:r>
              <w:rPr>
                <w:color w:val="000000"/>
              </w:rPr>
              <w:t>КГРЭ приняла к сведению Документ 7.</w:t>
            </w:r>
          </w:p>
        </w:tc>
      </w:tr>
    </w:tbl>
    <w:p w14:paraId="0CDCED28" w14:textId="77777777" w:rsidR="00565128" w:rsidRPr="00D46EF0" w:rsidRDefault="00565128" w:rsidP="00937AE8">
      <w:pPr>
        <w:pStyle w:val="Headingb"/>
        <w:rPr>
          <w:szCs w:val="24"/>
        </w:rPr>
      </w:pPr>
      <w:r>
        <w:t>Исходящие заявления о взаимодействии</w:t>
      </w:r>
    </w:p>
    <w:p w14:paraId="1282DC52" w14:textId="2183B86B" w:rsidR="00565128" w:rsidRPr="00D46EF0" w:rsidRDefault="00565128" w:rsidP="00937AE8">
      <w:r>
        <w:t>КГРЭ утвердила набор исходящих заявлений о взаимодействии, отражающих согласованные ответы и последующие действия, вытекающие из проведенных обсуждений, в том числе i) ответ в адрес КГСЭ относительно работы в области цифровой трансформации; ii) ответ Рабочей группе Совета по разработке Стратегического и Финансового планов (РГС-СФП); iii) заявление о взаимодействии в адрес Совета, касающееся предлагаемого распределения средств для поддержки реализации региональных инициатив ВКРЭ-25; iv) заявление о взаимодействии в адрес Совета, касающееся отчета об обзоре регионального присутствия МСЭ; и v) заявление о взаимодействии в адрес Межсекторальной координационной группы (МСКГ) в ответ на отчет о ходе работы. КГРЭ также утвердила исходящее заявление о взаимодействии в адрес КГСЭ, касающееся деятельности БРЭ в области мониторинга изменения климата и адаптации к нему, а также систем раннего предупреждения.</w:t>
      </w:r>
    </w:p>
    <w:p w14:paraId="414ADF86" w14:textId="58E6691D" w:rsidR="00565128" w:rsidRPr="00E732D0" w:rsidRDefault="003053FC" w:rsidP="00937AE8">
      <w:pPr>
        <w:pStyle w:val="Heading1"/>
      </w:pPr>
      <w:r>
        <w:t>16</w:t>
      </w:r>
      <w:r>
        <w:tab/>
      </w:r>
      <w:r w:rsidR="00565128" w:rsidRPr="00937AE8">
        <w:t>Церемония</w:t>
      </w:r>
      <w:r w:rsidR="00565128">
        <w:t xml:space="preserve"> закрытия</w:t>
      </w:r>
    </w:p>
    <w:p w14:paraId="706DF82F" w14:textId="77777777" w:rsidR="00565128" w:rsidRPr="00162218" w:rsidRDefault="00565128" w:rsidP="00937AE8">
      <w:r>
        <w:t xml:space="preserve">Церемония закрытия КГРЭ-26 состоялась в пятницу, 10 апреля 2026 года, после завершения обсуждений и утверждения оставшихся документов и краткого изложения выводов, содержащихся в Документе </w:t>
      </w:r>
      <w:hyperlink r:id="rId125" w:history="1">
        <w:r w:rsidRPr="00891FA8">
          <w:rPr>
            <w:rStyle w:val="Hyperlink"/>
          </w:rPr>
          <w:t>TDAG</w:t>
        </w:r>
        <w:r w:rsidRPr="00A01FD9">
          <w:rPr>
            <w:rStyle w:val="Hyperlink"/>
          </w:rPr>
          <w:t>-26/</w:t>
        </w:r>
        <w:r w:rsidRPr="00891FA8">
          <w:rPr>
            <w:rStyle w:val="Hyperlink"/>
          </w:rPr>
          <w:t>DT</w:t>
        </w:r>
        <w:r w:rsidRPr="00A01FD9">
          <w:rPr>
            <w:rStyle w:val="Hyperlink"/>
          </w:rPr>
          <w:t>/10(</w:t>
        </w:r>
        <w:r w:rsidRPr="00891FA8">
          <w:rPr>
            <w:rStyle w:val="Hyperlink"/>
          </w:rPr>
          <w:t>Rev</w:t>
        </w:r>
        <w:r w:rsidRPr="00A01FD9">
          <w:rPr>
            <w:rStyle w:val="Hyperlink"/>
          </w:rPr>
          <w:t>.4)</w:t>
        </w:r>
        <w:r w:rsidRPr="003053FC">
          <w:t>.</w:t>
        </w:r>
      </w:hyperlink>
      <w:hyperlink r:id="rId126" w:history="1">
        <w:bookmarkStart w:id="53" w:name="_Hlt227156210"/>
        <w:bookmarkStart w:id="54" w:name="_Hlt227156211"/>
        <w:bookmarkEnd w:id="53"/>
        <w:bookmarkEnd w:id="54"/>
      </w:hyperlink>
    </w:p>
    <w:p w14:paraId="45D7217A" w14:textId="77777777" w:rsidR="00565128" w:rsidRPr="00D46EF0" w:rsidRDefault="00565128" w:rsidP="00937AE8">
      <w:r>
        <w:t xml:space="preserve">В своем заключительном слове Председатель КГРЭ выразила искреннюю признательность всем делегациям за их активную работу на протяжении всей недели, отметив, что собрание КГРЭ-26 стало для нее первым в качестве Председателя. Она особо отметила конструктивный дух и </w:t>
      </w:r>
      <w:r>
        <w:lastRenderedPageBreak/>
        <w:t>целеустремленность членов Группы, которые позволили достичь консенсуса по напряженной повестке дня и по целому ряду сложных и деликатных вопросов. Председатель подчеркнула, что утвержденные выводы и заявления о взаимодействии отражают коллективные усилия и руководящие указания КГРЭ в поддержку выполнения решений ВКРЭ-25.</w:t>
      </w:r>
    </w:p>
    <w:p w14:paraId="692C2FA4" w14:textId="77777777" w:rsidR="00565128" w:rsidRPr="00D46EF0" w:rsidRDefault="00565128" w:rsidP="00937AE8">
      <w:r>
        <w:t>В ходе заключительной части собрания ряд делегаций взяли слово, чтобы выразить свою признательность Председателю за ее руководство, БРЭ за проделанную работу и секретариату КГРЭ за его усилия, высоко оценив открытый и коллегиальный характер собрания. В этих выступлениях подчеркивалась ценность диалога и достижения консенсуса в ходе КГРЭ-26.</w:t>
      </w:r>
    </w:p>
    <w:p w14:paraId="5F2C9D1D" w14:textId="77777777" w:rsidR="00565128" w:rsidRPr="00D46EF0" w:rsidRDefault="00565128" w:rsidP="00937AE8">
      <w:r>
        <w:t>Председатель выразила признательность Бюро развития электросвязи (БРЭ), как штаб-квартире, так и региональным группам, за их профессионализм и неустанные усилия по поддержке работы КГРЭ и содействию всеобъемлющему выполнению Бакинского плана действий во всех регионах. Она также выразила признательность председателям 1-й и 2-й Исследовательских комиссий МСЭ-D, заместителям Председателя КГРЭ и БРЭ, отметив значительный объем работы, проделанный при подготовке к собранию и в ходе его проведения. Особая благодарность была выражена устным переводчикам и вспомогательному персоналу конференций, чей вклад был чрезвычайно важен для бесперебойной работы собрания.</w:t>
      </w:r>
    </w:p>
    <w:p w14:paraId="4D944903" w14:textId="448F8D6A" w:rsidR="00565128" w:rsidRPr="00162218" w:rsidRDefault="00565128" w:rsidP="00937AE8">
      <w:r>
        <w:t xml:space="preserve">Директор БРЭ также обратился к собранию, поблагодарив Государства-Члены и Членов Сектора за постоянное сотрудничество и достижение консенсуса. Он подчеркнул, что необходимо продолжать уделять особое внимание людям и сообществам, особенно тем, кто находится в уязвимом и маргинализированном положении, и вновь подтвердил приверженность МСЭ-D делу продвижения универсальной возможности установления соединений и устойчивой цифровой трансформации. Он призвал продолжать сотрудничество в реализации Бакинского плана действий и поблагодарил партнеров, включая представителей частного сектора, за их вклад в поддержку мандата МСЭ-D в области развития. В конце его выступления был показан </w:t>
      </w:r>
      <w:hyperlink r:id="rId127">
        <w:r w:rsidRPr="00C51F56">
          <w:rPr>
            <w:rStyle w:val="Hyperlink"/>
          </w:rPr>
          <w:t>видеоролик</w:t>
        </w:r>
      </w:hyperlink>
      <w:r>
        <w:t xml:space="preserve"> с основными моментами мероприятия.</w:t>
      </w:r>
      <w:hyperlink r:id="rId128"/>
    </w:p>
    <w:p w14:paraId="4CC1CC02" w14:textId="77777777" w:rsidR="00565128" w:rsidRPr="00162218" w:rsidRDefault="00565128" w:rsidP="00937AE8">
      <w:r>
        <w:t>В заключение церемонии Председатель объявила 33-е собрание Консультативной группы по развитию электросвязи закрытым, пожелала всем участникам благополучного возвращения домой и отметила, что работа КГРЭ-26 завершена.</w:t>
      </w:r>
    </w:p>
    <w:p w14:paraId="41BC535A" w14:textId="2E2B8827" w:rsidR="00565128" w:rsidRPr="00E732D0" w:rsidRDefault="003053FC" w:rsidP="00565128">
      <w:pPr>
        <w:pStyle w:val="Heading1"/>
      </w:pPr>
      <w:r>
        <w:t>17</w:t>
      </w:r>
      <w:r>
        <w:tab/>
      </w:r>
      <w:r w:rsidR="00565128">
        <w:t>Сопутствующие мероприятия и информационные сессии</w:t>
      </w:r>
    </w:p>
    <w:p w14:paraId="70D66960" w14:textId="77777777" w:rsidR="00565128" w:rsidRPr="00D46EF0" w:rsidRDefault="00565128" w:rsidP="00937AE8">
      <w:r>
        <w:t>Параллельно с обсуждениями в рамках пленарных заседаний КГРЭ-26 был проведен ряд сопутствующих мероприятий и информационных сессий, организованных для содействия обмену информацией, созданию потенциала и обеспечению широкого участия.</w:t>
      </w:r>
    </w:p>
    <w:p w14:paraId="6C95853A" w14:textId="77777777" w:rsidR="00565128" w:rsidRPr="00D46EF0" w:rsidRDefault="00565128" w:rsidP="00937AE8">
      <w:r>
        <w:t>В первый день собрания была проведена информационная сессия для новых участников, направленная на содействие эффективному участию делегатов, впервые присутствующих на собрании КГРЭ. На сессии был представлен обзор мандата и роли КГРЭ, ее методов работы, структуры документации и практических руководящих указаний по участию в обсуждениях на пленарных заседаниях.</w:t>
      </w:r>
    </w:p>
    <w:p w14:paraId="3F24FDED" w14:textId="77777777" w:rsidR="00565128" w:rsidRPr="00D46EF0" w:rsidRDefault="00565128" w:rsidP="00937AE8">
      <w:r>
        <w:t>В ходе собрания были организованы две информационные сессии по информационным панелям и показателям БРЭ. На этих сессиях была представлена система мониторинга и отчетности МСЭ-D, включая информационные панели и показатели, используемые для отслеживания хода выполнения Кигалийского плана действий и Бакинского плана действий. Участники были проинформированы о том, как эти инструменты способствуют обеспечению прозрачности, представлению отчетности на основе фактических данных и принятию обоснованных решений.</w:t>
      </w:r>
    </w:p>
    <w:p w14:paraId="092E50AE" w14:textId="77777777" w:rsidR="00565128" w:rsidRPr="00D46EF0" w:rsidRDefault="00565128" w:rsidP="00937AE8">
      <w:r>
        <w:t>В рамках КГРЭ-26 также было проведено мероприятие "Сеть женщин (NoW) в МСЭ-D". Мероприятие послужило платформой для обмена мнениями по вопросам гендерного равенства, участия женщин и их лидерства в цифровом развитии, а также позволило осветить текущие усилия МСЭ-D по содействию учету гендерных аспектов в программах и мероприятиях.</w:t>
      </w:r>
    </w:p>
    <w:p w14:paraId="50D9E60C" w14:textId="77777777" w:rsidR="00565128" w:rsidRPr="00D46EF0" w:rsidRDefault="00565128" w:rsidP="00937AE8">
      <w:r>
        <w:lastRenderedPageBreak/>
        <w:t>Кроме того, во время работы КГРЭ по предложению Королевства Саудовская Аравия был проведен семинар-практикум по вопросам регулирования. В ходе семинара-практикума состоялся обмен опытом и мнениями в области регулирования, что способствовало обмену знаниями и созданию потенциала в поддержку эффективной цифровой политики и нормативно-правовой базы.</w:t>
      </w:r>
    </w:p>
    <w:p w14:paraId="525B3519" w14:textId="3D5DD899" w:rsidR="00565128" w:rsidRPr="00E732D0" w:rsidRDefault="00091ED9" w:rsidP="00565128">
      <w:pPr>
        <w:pStyle w:val="Heading1"/>
      </w:pPr>
      <w:r>
        <w:t>18</w:t>
      </w:r>
      <w:r>
        <w:tab/>
      </w:r>
      <w:r w:rsidR="00565128">
        <w:t>Интервью с директорами региональных отделений</w:t>
      </w:r>
    </w:p>
    <w:p w14:paraId="1010D8A7" w14:textId="77777777" w:rsidR="00565128" w:rsidRPr="00D46EF0" w:rsidRDefault="00565128" w:rsidP="00937AE8">
      <w:r>
        <w:t>В рамках КГРЭ-26 под руководством Председателя КГРЭ состоялось специальная пленарная сессия в формате интервью с региональными директорами МСЭ, в котором также принял участие Председатель БРЭ. В сессии приняли участие директора Региональных отделений МСЭ для Африки, Северной и Южной Америки, арабских государств, Азиатско-Тихоокеанского региона, Содружества Независимых Государств и Европы.</w:t>
      </w:r>
    </w:p>
    <w:p w14:paraId="7154269A" w14:textId="77777777" w:rsidR="00565128" w:rsidRPr="00D46EF0" w:rsidRDefault="00565128" w:rsidP="00937AE8">
      <w:r>
        <w:t>Сессия была организована в контексте перехода от решений ВКРЭ-25 к их реализации, при этом основное внимание уделялось региональным инициативам, принятым на Конференции. Директор каждого регионального отделения рассказал о приоритетах своего региона и подходах к реализации решений на 2026 год, включая запланированные виды деятельности, партнерства и механизмы координации.</w:t>
      </w:r>
    </w:p>
    <w:p w14:paraId="4459DB08" w14:textId="77777777" w:rsidR="00565128" w:rsidRPr="00D46EF0" w:rsidRDefault="00565128" w:rsidP="00937AE8">
      <w:r>
        <w:t>В ходе обсуждения</w:t>
      </w:r>
      <w:r w:rsidRPr="00AA7A36">
        <w:t xml:space="preserve"> </w:t>
      </w:r>
      <w:r>
        <w:t>особое внимание было уделено следующим вопросам:</w:t>
      </w:r>
    </w:p>
    <w:p w14:paraId="463489C3" w14:textId="22E7B9D5" w:rsidR="00565128" w:rsidRPr="00D46EF0" w:rsidRDefault="00937AE8" w:rsidP="00937AE8">
      <w:pPr>
        <w:pStyle w:val="enumlev1"/>
      </w:pPr>
      <w:r>
        <w:t>•</w:t>
      </w:r>
      <w:r w:rsidRPr="00937AE8">
        <w:tab/>
      </w:r>
      <w:r w:rsidR="00565128">
        <w:t>роль региональных инициатив как ключевого механизма реализации видов деятельности МСЭ-D на региональном и национальном уровнях;</w:t>
      </w:r>
    </w:p>
    <w:p w14:paraId="6895DF18" w14:textId="1D6059C8" w:rsidR="00565128" w:rsidRPr="00D46EF0" w:rsidRDefault="00937AE8" w:rsidP="00937AE8">
      <w:pPr>
        <w:pStyle w:val="enumlev1"/>
      </w:pPr>
      <w:r>
        <w:t>•</w:t>
      </w:r>
      <w:r w:rsidRPr="00937AE8">
        <w:tab/>
      </w:r>
      <w:r w:rsidR="00565128">
        <w:t>важность партнерских отношений и мобилизации ресурсов для содействия реализации;</w:t>
      </w:r>
    </w:p>
    <w:p w14:paraId="589C9314" w14:textId="14611B5C" w:rsidR="00565128" w:rsidRPr="00D46EF0" w:rsidRDefault="00937AE8" w:rsidP="00937AE8">
      <w:pPr>
        <w:pStyle w:val="enumlev1"/>
      </w:pPr>
      <w:r>
        <w:t>•</w:t>
      </w:r>
      <w:r w:rsidRPr="00937AE8">
        <w:tab/>
      </w:r>
      <w:r w:rsidR="00565128">
        <w:t>необходимость использования подходов, учитывающих особенности конкретных регионов и отражающих различные уровни развития и приоритеты;</w:t>
      </w:r>
    </w:p>
    <w:p w14:paraId="09C34DAC" w14:textId="6C6359C2" w:rsidR="00565128" w:rsidRPr="00162218" w:rsidRDefault="00937AE8" w:rsidP="00937AE8">
      <w:pPr>
        <w:pStyle w:val="enumlev1"/>
      </w:pPr>
      <w:r>
        <w:t>•</w:t>
      </w:r>
      <w:r w:rsidRPr="00937AE8">
        <w:tab/>
      </w:r>
      <w:r w:rsidR="00565128">
        <w:t>важность координации между штаб-квартирой и региональными отделениями для обеспечения согласованности и эффективности.</w:t>
      </w:r>
    </w:p>
    <w:p w14:paraId="24876613" w14:textId="77777777" w:rsidR="00565128" w:rsidRPr="00D46EF0" w:rsidRDefault="00565128" w:rsidP="00937AE8">
      <w:r>
        <w:t>В ходе обсуждения директора региональных отделений последовательно подчеркивали центральную роль региональных и зональных отделений как оперативных органов МСЭ-D, выступающих в качестве основного связующего звена между штаб-квартирой, Государствами-Членами и партнерами. Они отметили, что региональные отделения отвечают за преобразование глобальных мандатов в конкретные виды деятельности, адаптированные к региональным приоритетам, национальным планам развития и местным реалиям.</w:t>
      </w:r>
    </w:p>
    <w:p w14:paraId="7963AF48" w14:textId="77777777" w:rsidR="00565128" w:rsidRPr="00D46EF0" w:rsidRDefault="00565128" w:rsidP="00937AE8">
      <w:r>
        <w:t>Директора региональных отделений подчеркнули, что их работа опирается на постоянное взаимодействие с Государствами-Членами, начиная с ВКРЭ и далее в рамках региональных форумов по вопросам развития (РФР) и постоянных консультаций. Было отмечено, что эти площадки имеют решающее значение для совместной разработки региональных инициатив, определения приоритетных проектов и приведения деятельности в соответствие с национальными потребностями. Также было отмечено, что зональные отделения играют особо важную роль в поддержании тесных повседневных контактов с администрациями, содействии процессу реализации на местах и обеспечении оперативности реагирования.</w:t>
      </w:r>
    </w:p>
    <w:p w14:paraId="004848D5" w14:textId="77777777" w:rsidR="00565128" w:rsidRPr="00D46EF0" w:rsidRDefault="00565128" w:rsidP="00937AE8">
      <w:r>
        <w:t>Одной из ключевых тем сессии стала роль начального финансирования, выделенного Советом после ВКРЭ, в качестве катализатора мобилизации ресурсов. Директора региональных отделений поделились конкретным опытом, демонстрирующим, что даже скромное начальное финансирование играет важную роль в привлечении дополнительного внешнего финансирования, укреплении доверия между партнерами и содействии переходу проектов от стадии концепции к реализации.</w:t>
      </w:r>
    </w:p>
    <w:p w14:paraId="701EC79A" w14:textId="77777777" w:rsidR="00565128" w:rsidRPr="00D46EF0" w:rsidRDefault="00565128" w:rsidP="00937AE8">
      <w:r>
        <w:t xml:space="preserve">Директора региональных отделений отметили, что начальное финансирование служит наглядным подтверждением обязательств МСЭ-D, что зачастую является необходимым условием для привлечения банков развития, учреждений Организации Объединенных Наций, двусторонних </w:t>
      </w:r>
      <w:r>
        <w:lastRenderedPageBreak/>
        <w:t>доноров и частного сектора. Это позволяет МСЭ-D не только предоставлять специальные знания и инструменты, но и обеспечивать реальное финансовое участие, тем самым подчеркивая ценность результатов своей работы для партнеров.</w:t>
      </w:r>
    </w:p>
    <w:p w14:paraId="67DC4FF0" w14:textId="77777777" w:rsidR="00565128" w:rsidRPr="00D46EF0" w:rsidRDefault="00565128" w:rsidP="00937AE8">
      <w:r>
        <w:t>Были приведены примеры использования начального финансирования для пилотных проектов, которые впоследствии были расширены за счет привлечения внешнего финансирования. Директора региональных отделений подчеркнули, что начальное финансирование позволило МСЭ-D "пополнить" или дополнить ресурсы партнеров, способствуя успешной реализации проектов и их тиражированию в других странах. Для некоторых регионов начальное финансирование было признано принципиально важным для начала осуществления проектов в сложных условиях, в том числе в наименее развитых странах, развивающихся странах, не имеющих выхода к морю, и малых островных развивающихся странах.</w:t>
      </w:r>
    </w:p>
    <w:p w14:paraId="09F38F1F" w14:textId="77777777" w:rsidR="00565128" w:rsidRPr="00D46EF0" w:rsidRDefault="00565128" w:rsidP="00937AE8">
      <w:r>
        <w:t>Выступавшие также подчеркивали, что начальное финансирование способствует разработке экономически обоснованных проектов, позволяя региональным отделениям формировать пакеты инициатив таким образом, чтобы они соответствовали требованиям доноров и условиям финансирования. Этот подход был представлен как практический механизм для перехода от приоритетов высокого уровня к конкретным инвестиционно привлекательным видам деятельности в рамках региональных инициатив.</w:t>
      </w:r>
    </w:p>
    <w:p w14:paraId="5FC63F13" w14:textId="77777777" w:rsidR="00565128" w:rsidRPr="00D46EF0" w:rsidRDefault="00565128" w:rsidP="00937AE8">
      <w:r>
        <w:t>Эта сессия позволила КГРЭ получить четкое представление о процессе реализации решений с точки зрения региональных отделений и провести полезный обмен мнениями в преддверии нового цикла МСЭ-D.</w:t>
      </w:r>
    </w:p>
    <w:p w14:paraId="536E9930" w14:textId="0294500F" w:rsidR="00565128" w:rsidRPr="00E732D0" w:rsidRDefault="00091ED9" w:rsidP="00565128">
      <w:pPr>
        <w:pStyle w:val="Heading1"/>
      </w:pPr>
      <w:r>
        <w:t>19</w:t>
      </w:r>
      <w:r>
        <w:tab/>
      </w:r>
      <w:r w:rsidR="00565128">
        <w:t>Партнерские отношения и объявления</w:t>
      </w:r>
    </w:p>
    <w:p w14:paraId="54F7A5BF" w14:textId="77777777" w:rsidR="00565128" w:rsidRPr="00D46EF0" w:rsidRDefault="00565128" w:rsidP="00937AE8">
      <w:r>
        <w:t>В ходе собрания КГРЭ-26 участники также имели возможность сделать объявления о партнерских отношениях и провести церемонии подписания соглашений, что стало свидетельством продолжающегося сотрудничества между МСЭ-D и его партнерами.</w:t>
      </w:r>
    </w:p>
    <w:p w14:paraId="3B9E6C06" w14:textId="77777777" w:rsidR="00565128" w:rsidRPr="00D46EF0" w:rsidRDefault="00565128" w:rsidP="00937AE8">
      <w:r>
        <w:t>На КГРЭ-26 было подписано соглашение с Министерством инфраструктуры, транспорта, регионального развития, связи, спорта и искусств Австралии (DITRDCSA) о поддержке стран Азиатско-Тихоокеанского региона в принятии национальных стратегий цифровой трансформации и реализации проектов по ускорению инклюзивного цифрового развития.</w:t>
      </w:r>
    </w:p>
    <w:p w14:paraId="47A301A3" w14:textId="7A16045F" w:rsidR="00565128" w:rsidRDefault="00565128" w:rsidP="00937AE8">
      <w:r>
        <w:t>Объявления, сделанные в ходе собрания, касались существующих и будущих партнерств, а также инициатив, направленных на поддержку реализации решений ВКРЭ-25 и программ МСЭ-D. В</w:t>
      </w:r>
      <w:r w:rsidR="008D3C71">
        <w:t> </w:t>
      </w:r>
      <w:r>
        <w:t>частности, речь шла о следующих партнерствах:</w:t>
      </w:r>
    </w:p>
    <w:p w14:paraId="5382B3CA" w14:textId="0761AF2C" w:rsidR="00565128" w:rsidRPr="00D46EF0" w:rsidRDefault="00937AE8" w:rsidP="00937AE8">
      <w:pPr>
        <w:pStyle w:val="enumlev1"/>
      </w:pPr>
      <w:r>
        <w:t>•</w:t>
      </w:r>
      <w:r w:rsidRPr="00937AE8">
        <w:tab/>
      </w:r>
      <w:r w:rsidR="00565128">
        <w:t>с Комиссией по регулированию электросвязи Иордании – для обеспечения функционирования национальной группы реагирования на компьютерные инциденты в области электросвязи;</w:t>
      </w:r>
    </w:p>
    <w:p w14:paraId="58382399" w14:textId="4989D65E" w:rsidR="00565128" w:rsidRPr="00D46EF0" w:rsidRDefault="00937AE8" w:rsidP="00937AE8">
      <w:pPr>
        <w:pStyle w:val="enumlev1"/>
      </w:pPr>
      <w:r>
        <w:t>•</w:t>
      </w:r>
      <w:r w:rsidRPr="00937AE8">
        <w:tab/>
      </w:r>
      <w:r w:rsidR="00565128">
        <w:t>с Национальной комиссией по радиовещанию и электросвязи (NBTC) Таиланда – для организации мероприятий по содействию преодолению цифрового гендерного разрыва в стране;</w:t>
      </w:r>
    </w:p>
    <w:p w14:paraId="7CBA8EE7" w14:textId="47F1B482" w:rsidR="00565128" w:rsidRPr="00D46EF0" w:rsidRDefault="00937AE8" w:rsidP="00937AE8">
      <w:pPr>
        <w:pStyle w:val="enumlev1"/>
      </w:pPr>
      <w:r>
        <w:t>•</w:t>
      </w:r>
      <w:r w:rsidRPr="00937AE8">
        <w:tab/>
      </w:r>
      <w:r w:rsidR="00565128">
        <w:t>с Управлением кибербезопасности Брунея – для укрепления защиты ребенка в онлайновой среде и обеспечения кибербезопасности в Брунее-Даруссаламе;</w:t>
      </w:r>
    </w:p>
    <w:p w14:paraId="1C092A75" w14:textId="1EA6A955" w:rsidR="00565128" w:rsidRPr="00162218" w:rsidRDefault="00937AE8" w:rsidP="00937AE8">
      <w:pPr>
        <w:pStyle w:val="enumlev1"/>
      </w:pPr>
      <w:r>
        <w:t>•</w:t>
      </w:r>
      <w:r w:rsidRPr="00937AE8">
        <w:tab/>
      </w:r>
      <w:r w:rsidR="00565128">
        <w:t>с компанией Qualcomm в рамках инициативы "Центры цифровой трансформации" – для оказания содействия странам в укреплении цифрового потенциала их граждан и расширении их возможностей, особенно в сельских и недостаточно обслуживаемых сообществах.</w:t>
      </w:r>
    </w:p>
    <w:p w14:paraId="26AE8BC5" w14:textId="79256D31" w:rsidR="00565128" w:rsidRPr="00162218" w:rsidRDefault="008D3C71" w:rsidP="00565128">
      <w:pPr>
        <w:pStyle w:val="Heading1"/>
      </w:pPr>
      <w:r>
        <w:lastRenderedPageBreak/>
        <w:t>20</w:t>
      </w:r>
      <w:r>
        <w:tab/>
      </w:r>
      <w:r w:rsidR="00565128">
        <w:t>Церемония подписания соглашения с принимающей страной о проведении ГСР-26</w:t>
      </w:r>
    </w:p>
    <w:p w14:paraId="1134C010" w14:textId="77777777" w:rsidR="00565128" w:rsidRPr="00162218" w:rsidRDefault="00565128" w:rsidP="00937AE8">
      <w:r>
        <w:t>В ходе КГРЭ-26 также состоялась церемония подписания соглашения с принимающей страной о проведении Глобального симпозиума для регуляторных органов 2026 года (ГСР-26).</w:t>
      </w:r>
    </w:p>
    <w:p w14:paraId="2FB8E1D5" w14:textId="77777777" w:rsidR="00565128" w:rsidRPr="00D46EF0" w:rsidRDefault="00565128" w:rsidP="00937AE8">
      <w:r>
        <w:t xml:space="preserve">В ходе собрания правительство Турции объявило о проведении Глобального симпозиума для регуляторных органов 2026 года (ГСР-26) с 12 по 15 мая в Анкаре, Турция. Г-н Омер Абдулла Карагезоглу, глава Управления информационно-коммуникационных технологий (BTK) Турции, пригласил участников КГРЭ принять участие в этом мероприятии. </w:t>
      </w:r>
    </w:p>
    <w:p w14:paraId="62BC6ECF" w14:textId="3B66CD2C" w:rsidR="00565128" w:rsidRPr="00D46EF0" w:rsidRDefault="00565128" w:rsidP="00937AE8">
      <w:r>
        <w:t>Церемония ознаменовала собой важный шаг в подготовке к ГСР-26, подтвердив договоренности с принимающей страной и сотрудничество между МСЭ и Турецкой Республикой. Подписание Соглашения обеспечило официальную основу для организации ГСР-26 и, как было отмечено КГРЭ, стало частью более широкого взаимодействия с партнерами в рамках предстоящих мероприятий МСЭ-D.</w:t>
      </w:r>
    </w:p>
    <w:p w14:paraId="71F3F182" w14:textId="77777777" w:rsidR="00565128" w:rsidRPr="0084734D" w:rsidRDefault="00565128" w:rsidP="00937AE8">
      <w:pPr>
        <w:spacing w:before="720"/>
        <w:jc w:val="center"/>
        <w:rPr>
          <w:szCs w:val="24"/>
        </w:rPr>
      </w:pPr>
      <w:r>
        <w:t>_____________</w:t>
      </w:r>
    </w:p>
    <w:sectPr w:rsidR="00565128" w:rsidRPr="0084734D" w:rsidSect="00FC1EC2">
      <w:headerReference w:type="default" r:id="rId129"/>
      <w:footerReference w:type="first" r:id="rId130"/>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9485" w14:textId="77777777" w:rsidR="00174B87" w:rsidRDefault="00174B87">
      <w:r>
        <w:separator/>
      </w:r>
    </w:p>
    <w:p w14:paraId="129764AC" w14:textId="77777777" w:rsidR="00174B87" w:rsidRDefault="00174B87"/>
  </w:endnote>
  <w:endnote w:type="continuationSeparator" w:id="0">
    <w:p w14:paraId="282F23E7" w14:textId="77777777" w:rsidR="00174B87" w:rsidRDefault="00174B87">
      <w:r>
        <w:continuationSeparator/>
      </w:r>
    </w:p>
    <w:p w14:paraId="33811D86" w14:textId="77777777" w:rsidR="00174B87" w:rsidRDefault="00174B87"/>
  </w:endnote>
  <w:endnote w:type="continuationNotice" w:id="1">
    <w:p w14:paraId="3F425A58" w14:textId="77777777" w:rsidR="00174B87" w:rsidRDefault="00174B87">
      <w:pPr>
        <w:spacing w:before="0"/>
      </w:pPr>
    </w:p>
    <w:p w14:paraId="6F90A6D3" w14:textId="77777777" w:rsidR="00174B87" w:rsidRDefault="00174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Фамилия и данные контактного лица по документу"/>
    </w:tblPr>
    <w:tblGrid>
      <w:gridCol w:w="1526"/>
      <w:gridCol w:w="3260"/>
      <w:gridCol w:w="4853"/>
    </w:tblGrid>
    <w:tr w:rsidR="00F723AC" w:rsidRPr="00365AB0" w14:paraId="1B414EE2" w14:textId="77777777" w:rsidTr="005539C3">
      <w:tc>
        <w:tcPr>
          <w:tcW w:w="1526" w:type="dxa"/>
          <w:tcBorders>
            <w:top w:val="single" w:sz="4" w:space="0" w:color="000000" w:themeColor="text1"/>
          </w:tcBorders>
        </w:tcPr>
        <w:p w14:paraId="300F1366" w14:textId="77777777" w:rsidR="00F723AC" w:rsidRPr="00365AB0" w:rsidRDefault="00F723AC" w:rsidP="00F723AC">
          <w:pPr>
            <w:pStyle w:val="FirstFooter"/>
            <w:rPr>
              <w:sz w:val="18"/>
              <w:szCs w:val="18"/>
            </w:rPr>
          </w:pPr>
          <w:r w:rsidRPr="00365AB0">
            <w:rPr>
              <w:sz w:val="18"/>
              <w:szCs w:val="18"/>
            </w:rPr>
            <w:t>Для контактов:</w:t>
          </w:r>
        </w:p>
      </w:tc>
      <w:tc>
        <w:tcPr>
          <w:tcW w:w="3260" w:type="dxa"/>
          <w:tcBorders>
            <w:top w:val="single" w:sz="4" w:space="0" w:color="000000" w:themeColor="text1"/>
          </w:tcBorders>
        </w:tcPr>
        <w:p w14:paraId="4D680DDD" w14:textId="77777777" w:rsidR="00F723AC" w:rsidRPr="00365AB0" w:rsidRDefault="00F723AC" w:rsidP="00F723AC">
          <w:pPr>
            <w:pStyle w:val="FirstFooter"/>
            <w:ind w:left="3010" w:hanging="3010"/>
            <w:rPr>
              <w:sz w:val="18"/>
              <w:szCs w:val="18"/>
              <w:lang w:val="en-US"/>
            </w:rPr>
          </w:pPr>
          <w:r w:rsidRPr="00365AB0">
            <w:rPr>
              <w:sz w:val="18"/>
              <w:szCs w:val="18"/>
            </w:rPr>
            <w:t>Фамилия/организация/объединение:</w:t>
          </w:r>
        </w:p>
      </w:tc>
      <w:tc>
        <w:tcPr>
          <w:tcW w:w="4853" w:type="dxa"/>
          <w:tcBorders>
            <w:top w:val="single" w:sz="4" w:space="0" w:color="000000" w:themeColor="text1"/>
          </w:tcBorders>
        </w:tcPr>
        <w:p w14:paraId="2BE8C103" w14:textId="2087B58E" w:rsidR="00F723AC" w:rsidRPr="00C77593" w:rsidRDefault="00C77593" w:rsidP="00F723AC">
          <w:pPr>
            <w:pStyle w:val="FirstFooter"/>
            <w:rPr>
              <w:sz w:val="18"/>
              <w:szCs w:val="18"/>
            </w:rPr>
          </w:pPr>
          <w:r>
            <w:rPr>
              <w:color w:val="333333"/>
              <w:sz w:val="17"/>
              <w:szCs w:val="17"/>
              <w:shd w:val="clear" w:color="auto" w:fill="FFFFFF"/>
            </w:rPr>
            <w:t>г-жа Регина-Флёр Ассуму-Бессу (Fleur Regina Assoumou Bessou), Председатель Консультативной группы по развитию электросвязи</w:t>
          </w:r>
        </w:p>
      </w:tc>
      <w:bookmarkStart w:id="55" w:name="OrgName"/>
      <w:bookmarkEnd w:id="55"/>
    </w:tr>
    <w:tr w:rsidR="00F723AC" w:rsidRPr="00365AB0" w14:paraId="5E4AD7CB" w14:textId="77777777" w:rsidTr="005539C3">
      <w:trPr>
        <w:trHeight w:val="165"/>
      </w:trPr>
      <w:tc>
        <w:tcPr>
          <w:tcW w:w="1526" w:type="dxa"/>
        </w:tcPr>
        <w:p w14:paraId="337BEFD2" w14:textId="77777777" w:rsidR="00F723AC" w:rsidRPr="00C77593" w:rsidRDefault="00F723AC" w:rsidP="00F723AC">
          <w:pPr>
            <w:pStyle w:val="FirstFooter"/>
            <w:rPr>
              <w:sz w:val="18"/>
              <w:szCs w:val="18"/>
            </w:rPr>
          </w:pPr>
        </w:p>
      </w:tc>
      <w:tc>
        <w:tcPr>
          <w:tcW w:w="3260" w:type="dxa"/>
        </w:tcPr>
        <w:p w14:paraId="34AC1C36" w14:textId="77777777" w:rsidR="00F723AC" w:rsidRPr="00365AB0" w:rsidRDefault="00F723AC" w:rsidP="00F723AC">
          <w:pPr>
            <w:pStyle w:val="FirstFooter"/>
            <w:ind w:left="3010" w:hanging="3010"/>
            <w:rPr>
              <w:sz w:val="18"/>
              <w:szCs w:val="18"/>
              <w:lang w:val="en-US"/>
            </w:rPr>
          </w:pPr>
          <w:r w:rsidRPr="00365AB0">
            <w:rPr>
              <w:sz w:val="18"/>
              <w:szCs w:val="18"/>
            </w:rPr>
            <w:t>Тел.:</w:t>
          </w:r>
        </w:p>
      </w:tc>
      <w:tc>
        <w:tcPr>
          <w:tcW w:w="4853" w:type="dxa"/>
        </w:tcPr>
        <w:p w14:paraId="49C3240D" w14:textId="22ACE4FA" w:rsidR="00F723AC" w:rsidRPr="00C77593" w:rsidRDefault="00C77593" w:rsidP="00F723AC">
          <w:pPr>
            <w:pStyle w:val="FirstFooter"/>
            <w:rPr>
              <w:sz w:val="18"/>
              <w:szCs w:val="18"/>
            </w:rPr>
          </w:pPr>
          <w:r>
            <w:rPr>
              <w:sz w:val="18"/>
              <w:szCs w:val="18"/>
            </w:rPr>
            <w:t>н</w:t>
          </w:r>
          <w:r w:rsidR="00E0688B">
            <w:rPr>
              <w:sz w:val="18"/>
              <w:szCs w:val="18"/>
            </w:rPr>
            <w:t xml:space="preserve">. </w:t>
          </w:r>
          <w:r>
            <w:rPr>
              <w:sz w:val="18"/>
              <w:szCs w:val="18"/>
            </w:rPr>
            <w:t>д</w:t>
          </w:r>
          <w:r w:rsidR="00E0688B">
            <w:rPr>
              <w:sz w:val="18"/>
              <w:szCs w:val="18"/>
            </w:rPr>
            <w:t>.</w:t>
          </w:r>
        </w:p>
      </w:tc>
      <w:bookmarkStart w:id="56" w:name="PhoneNo"/>
      <w:bookmarkEnd w:id="56"/>
    </w:tr>
    <w:tr w:rsidR="00F723AC" w:rsidRPr="00365AB0" w14:paraId="0E4D2617" w14:textId="77777777" w:rsidTr="005539C3">
      <w:tc>
        <w:tcPr>
          <w:tcW w:w="1526" w:type="dxa"/>
        </w:tcPr>
        <w:p w14:paraId="7845751D" w14:textId="77777777" w:rsidR="00F723AC" w:rsidRPr="00365AB0" w:rsidRDefault="00F723AC" w:rsidP="00F723AC">
          <w:pPr>
            <w:pStyle w:val="FirstFooter"/>
            <w:rPr>
              <w:sz w:val="18"/>
              <w:szCs w:val="18"/>
            </w:rPr>
          </w:pPr>
        </w:p>
      </w:tc>
      <w:tc>
        <w:tcPr>
          <w:tcW w:w="3260" w:type="dxa"/>
        </w:tcPr>
        <w:p w14:paraId="1BAAC8BB" w14:textId="77777777" w:rsidR="00F723AC" w:rsidRPr="00365AB0" w:rsidRDefault="00F723AC" w:rsidP="00F723AC">
          <w:pPr>
            <w:pStyle w:val="FirstFooter"/>
            <w:ind w:left="3010" w:hanging="3010"/>
            <w:rPr>
              <w:sz w:val="18"/>
              <w:szCs w:val="18"/>
            </w:rPr>
          </w:pPr>
          <w:r w:rsidRPr="00365AB0">
            <w:rPr>
              <w:sz w:val="18"/>
              <w:szCs w:val="18"/>
            </w:rPr>
            <w:t>Эл.</w:t>
          </w:r>
          <w:r w:rsidRPr="00365AB0">
            <w:rPr>
              <w:sz w:val="18"/>
              <w:szCs w:val="18"/>
              <w:lang w:val="en-US"/>
            </w:rPr>
            <w:t> </w:t>
          </w:r>
          <w:r w:rsidRPr="00365AB0">
            <w:rPr>
              <w:sz w:val="18"/>
              <w:szCs w:val="18"/>
            </w:rPr>
            <w:t>почта:</w:t>
          </w:r>
        </w:p>
      </w:tc>
      <w:tc>
        <w:tcPr>
          <w:tcW w:w="4853" w:type="dxa"/>
        </w:tcPr>
        <w:p w14:paraId="01E376B1" w14:textId="051517DD" w:rsidR="00F723AC" w:rsidRPr="00365AB0" w:rsidRDefault="00C77593" w:rsidP="00F723AC">
          <w:pPr>
            <w:pStyle w:val="FirstFooter"/>
            <w:rPr>
              <w:sz w:val="18"/>
              <w:szCs w:val="18"/>
            </w:rPr>
          </w:pPr>
          <w:hyperlink r:id="rId1" w:history="1">
            <w:r w:rsidRPr="00E830BD">
              <w:rPr>
                <w:rStyle w:val="Hyperlink"/>
                <w:sz w:val="18"/>
                <w:szCs w:val="18"/>
              </w:rPr>
              <w:t>bessou.regina@artci.ci</w:t>
            </w:r>
          </w:hyperlink>
        </w:p>
      </w:tc>
      <w:bookmarkStart w:id="57" w:name="Email"/>
      <w:bookmarkEnd w:id="57"/>
    </w:tr>
  </w:tbl>
  <w:p w14:paraId="7B8DD400" w14:textId="77777777" w:rsidR="00F723AC" w:rsidRPr="00F723AC" w:rsidRDefault="00F723A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9BC2" w14:textId="77777777" w:rsidR="00174B87" w:rsidRPr="0054377E" w:rsidRDefault="00174B87" w:rsidP="0054377E">
      <w:pPr>
        <w:spacing w:before="0"/>
      </w:pPr>
      <w:r w:rsidRPr="0054377E">
        <w:rPr>
          <w:b/>
        </w:rPr>
        <w:t>_______________</w:t>
      </w:r>
    </w:p>
  </w:footnote>
  <w:footnote w:type="continuationSeparator" w:id="0">
    <w:p w14:paraId="2CC93262" w14:textId="77777777" w:rsidR="00174B87" w:rsidRDefault="00174B87" w:rsidP="0054377E">
      <w:pPr>
        <w:spacing w:before="0"/>
      </w:pPr>
      <w:r>
        <w:continuationSeparator/>
      </w:r>
    </w:p>
    <w:p w14:paraId="3D9E977E" w14:textId="77777777" w:rsidR="00174B87" w:rsidRDefault="00174B87"/>
  </w:footnote>
  <w:footnote w:type="continuationNotice" w:id="1">
    <w:p w14:paraId="4BA09461" w14:textId="77777777" w:rsidR="00174B87" w:rsidRDefault="00174B87">
      <w:pPr>
        <w:spacing w:before="0"/>
      </w:pPr>
    </w:p>
    <w:p w14:paraId="6A69292C" w14:textId="77777777" w:rsidR="00174B87" w:rsidRDefault="00174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66E8C4D8" w:rsidR="00636181" w:rsidRPr="00CE66E4" w:rsidRDefault="00636181" w:rsidP="00CE66E4">
    <w:pPr>
      <w:tabs>
        <w:tab w:val="clear" w:pos="1134"/>
        <w:tab w:val="clear" w:pos="1871"/>
        <w:tab w:val="clear" w:pos="2268"/>
        <w:tab w:val="center" w:pos="4820"/>
        <w:tab w:val="right" w:pos="14003"/>
      </w:tabs>
      <w:spacing w:before="0"/>
      <w:rPr>
        <w:smallCaps/>
        <w:spacing w:val="24"/>
        <w:sz w:val="20"/>
        <w:lang w:val="es-ES_tradnl"/>
      </w:rPr>
    </w:pPr>
    <w:r w:rsidRPr="00CE66E4">
      <w:rPr>
        <w:sz w:val="20"/>
      </w:rPr>
      <w:tab/>
    </w:r>
    <w:r w:rsidRPr="00CE66E4">
      <w:rPr>
        <w:sz w:val="20"/>
        <w:lang w:val="es-ES_tradnl"/>
      </w:rPr>
      <w:t>TDAG-2</w:t>
    </w:r>
    <w:r w:rsidR="000674FE" w:rsidRPr="003823C9">
      <w:rPr>
        <w:sz w:val="20"/>
        <w:lang w:val="es-ES_tradnl"/>
      </w:rPr>
      <w:t>6</w:t>
    </w:r>
    <w:r w:rsidRPr="00CE66E4">
      <w:rPr>
        <w:sz w:val="20"/>
        <w:lang w:val="es-ES_tradnl"/>
      </w:rPr>
      <w:t>/</w:t>
    </w:r>
    <w:r w:rsidR="00C77593" w:rsidRPr="003823C9">
      <w:rPr>
        <w:sz w:val="20"/>
        <w:lang w:val="es-ES_tradnl"/>
      </w:rPr>
      <w:t>49(Rev.1)</w:t>
    </w:r>
    <w:r w:rsidRPr="00CE66E4">
      <w:rPr>
        <w:sz w:val="20"/>
        <w:lang w:val="es-ES_tradnl"/>
      </w:rPr>
      <w:t>-</w:t>
    </w:r>
    <w:r w:rsidR="007606A7" w:rsidRPr="00CE66E4">
      <w:rPr>
        <w:sz w:val="20"/>
        <w:lang w:val="es-ES_tradnl"/>
      </w:rPr>
      <w:t>R</w:t>
    </w:r>
    <w:r w:rsidRPr="00CE66E4">
      <w:rPr>
        <w:sz w:val="20"/>
        <w:lang w:val="es-ES_tradnl"/>
      </w:rPr>
      <w:tab/>
    </w:r>
    <w:r w:rsidR="007606A7" w:rsidRPr="00CE66E4">
      <w:rPr>
        <w:sz w:val="20"/>
      </w:rPr>
      <w:t>Страница</w:t>
    </w:r>
    <w:r w:rsidRPr="00CE66E4">
      <w:rPr>
        <w:sz w:val="20"/>
        <w:lang w:val="es-ES_tradnl"/>
      </w:rPr>
      <w:t xml:space="preserve"> </w:t>
    </w:r>
    <w:r w:rsidRPr="00CE66E4">
      <w:rPr>
        <w:sz w:val="20"/>
      </w:rPr>
      <w:fldChar w:fldCharType="begin"/>
    </w:r>
    <w:r w:rsidRPr="00CE66E4">
      <w:rPr>
        <w:sz w:val="20"/>
        <w:lang w:val="es-ES_tradnl"/>
      </w:rPr>
      <w:instrText xml:space="preserve"> PAGE </w:instrText>
    </w:r>
    <w:r w:rsidRPr="00CE66E4">
      <w:rPr>
        <w:sz w:val="20"/>
      </w:rPr>
      <w:fldChar w:fldCharType="separate"/>
    </w:r>
    <w:r w:rsidR="00893B2C" w:rsidRPr="00CE66E4">
      <w:rPr>
        <w:noProof/>
        <w:sz w:val="20"/>
        <w:lang w:val="es-ES_tradnl"/>
      </w:rPr>
      <w:t>19</w:t>
    </w:r>
    <w:r w:rsidRPr="00CE66E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D7438"/>
    <w:multiLevelType w:val="hybridMultilevel"/>
    <w:tmpl w:val="8C9A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373C"/>
    <w:multiLevelType w:val="multilevel"/>
    <w:tmpl w:val="8C6C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84D1FC6"/>
    <w:multiLevelType w:val="multilevel"/>
    <w:tmpl w:val="D582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993ACD"/>
    <w:multiLevelType w:val="hybridMultilevel"/>
    <w:tmpl w:val="6DD88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5"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263EDF"/>
    <w:multiLevelType w:val="hybridMultilevel"/>
    <w:tmpl w:val="6EB6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5"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BC3558"/>
    <w:multiLevelType w:val="hybridMultilevel"/>
    <w:tmpl w:val="698C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3"/>
  </w:num>
  <w:num w:numId="4" w16cid:durableId="1830174465">
    <w:abstractNumId w:val="3"/>
  </w:num>
  <w:num w:numId="5" w16cid:durableId="1479105461">
    <w:abstractNumId w:val="34"/>
  </w:num>
  <w:num w:numId="6" w16cid:durableId="869954702">
    <w:abstractNumId w:val="41"/>
  </w:num>
  <w:num w:numId="7" w16cid:durableId="444734477">
    <w:abstractNumId w:val="4"/>
  </w:num>
  <w:num w:numId="8" w16cid:durableId="362947223">
    <w:abstractNumId w:val="15"/>
  </w:num>
  <w:num w:numId="9" w16cid:durableId="458111764">
    <w:abstractNumId w:val="6"/>
  </w:num>
  <w:num w:numId="10" w16cid:durableId="1195534353">
    <w:abstractNumId w:val="14"/>
  </w:num>
  <w:num w:numId="11" w16cid:durableId="1826580952">
    <w:abstractNumId w:val="32"/>
  </w:num>
  <w:num w:numId="12" w16cid:durableId="1514690498">
    <w:abstractNumId w:val="40"/>
  </w:num>
  <w:num w:numId="13" w16cid:durableId="1235118698">
    <w:abstractNumId w:val="2"/>
  </w:num>
  <w:num w:numId="14" w16cid:durableId="509291828">
    <w:abstractNumId w:val="5"/>
  </w:num>
  <w:num w:numId="15" w16cid:durableId="383218916">
    <w:abstractNumId w:val="13"/>
  </w:num>
  <w:num w:numId="16" w16cid:durableId="1227569663">
    <w:abstractNumId w:val="8"/>
  </w:num>
  <w:num w:numId="17" w16cid:durableId="810974550">
    <w:abstractNumId w:val="46"/>
  </w:num>
  <w:num w:numId="18" w16cid:durableId="1354573477">
    <w:abstractNumId w:val="37"/>
  </w:num>
  <w:num w:numId="19" w16cid:durableId="435754545">
    <w:abstractNumId w:val="20"/>
  </w:num>
  <w:num w:numId="20" w16cid:durableId="1066875134">
    <w:abstractNumId w:val="31"/>
  </w:num>
  <w:num w:numId="21" w16cid:durableId="1689939216">
    <w:abstractNumId w:val="30"/>
  </w:num>
  <w:num w:numId="22" w16cid:durableId="1257783837">
    <w:abstractNumId w:val="47"/>
  </w:num>
  <w:num w:numId="23" w16cid:durableId="970285242">
    <w:abstractNumId w:val="25"/>
  </w:num>
  <w:num w:numId="24" w16cid:durableId="1876889861">
    <w:abstractNumId w:val="19"/>
  </w:num>
  <w:num w:numId="25" w16cid:durableId="138228398">
    <w:abstractNumId w:val="22"/>
  </w:num>
  <w:num w:numId="26" w16cid:durableId="1871145006">
    <w:abstractNumId w:val="23"/>
  </w:num>
  <w:num w:numId="27" w16cid:durableId="1946108508">
    <w:abstractNumId w:val="26"/>
  </w:num>
  <w:num w:numId="28" w16cid:durableId="1629045729">
    <w:abstractNumId w:val="12"/>
  </w:num>
  <w:num w:numId="29" w16cid:durableId="2010906637">
    <w:abstractNumId w:val="27"/>
  </w:num>
  <w:num w:numId="30" w16cid:durableId="290525213">
    <w:abstractNumId w:val="45"/>
  </w:num>
  <w:num w:numId="31" w16cid:durableId="191966975">
    <w:abstractNumId w:val="29"/>
  </w:num>
  <w:num w:numId="32" w16cid:durableId="2014406757">
    <w:abstractNumId w:val="35"/>
  </w:num>
  <w:num w:numId="33" w16cid:durableId="648558829">
    <w:abstractNumId w:val="21"/>
  </w:num>
  <w:num w:numId="34" w16cid:durableId="2071807613">
    <w:abstractNumId w:val="11"/>
  </w:num>
  <w:num w:numId="35" w16cid:durableId="271744889">
    <w:abstractNumId w:val="38"/>
  </w:num>
  <w:num w:numId="36" w16cid:durableId="1457527817">
    <w:abstractNumId w:val="24"/>
  </w:num>
  <w:num w:numId="37" w16cid:durableId="1066101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6"/>
  </w:num>
  <w:num w:numId="39" w16cid:durableId="359361948">
    <w:abstractNumId w:val="42"/>
  </w:num>
  <w:num w:numId="40" w16cid:durableId="1037706265">
    <w:abstractNumId w:val="7"/>
  </w:num>
  <w:num w:numId="41" w16cid:durableId="447436251">
    <w:abstractNumId w:val="48"/>
  </w:num>
  <w:num w:numId="42" w16cid:durableId="655766109">
    <w:abstractNumId w:val="17"/>
  </w:num>
  <w:num w:numId="43" w16cid:durableId="577523632">
    <w:abstractNumId w:val="16"/>
  </w:num>
  <w:num w:numId="44" w16cid:durableId="1138063662">
    <w:abstractNumId w:val="44"/>
  </w:num>
  <w:num w:numId="45" w16cid:durableId="236061819">
    <w:abstractNumId w:val="9"/>
  </w:num>
  <w:num w:numId="46" w16cid:durableId="430011685">
    <w:abstractNumId w:val="18"/>
  </w:num>
  <w:num w:numId="47" w16cid:durableId="1745637929">
    <w:abstractNumId w:val="28"/>
  </w:num>
  <w:num w:numId="48" w16cid:durableId="259677049">
    <w:abstractNumId w:val="10"/>
  </w:num>
  <w:num w:numId="49" w16cid:durableId="1346134292">
    <w:abstractNumId w:val="39"/>
  </w:num>
  <w:num w:numId="50" w16cid:durableId="56888418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F58"/>
    <w:rsid w:val="00002BBA"/>
    <w:rsid w:val="000041EA"/>
    <w:rsid w:val="00004EB7"/>
    <w:rsid w:val="00005A53"/>
    <w:rsid w:val="00005FBD"/>
    <w:rsid w:val="00011ECB"/>
    <w:rsid w:val="000139F4"/>
    <w:rsid w:val="000150B0"/>
    <w:rsid w:val="00015E52"/>
    <w:rsid w:val="00021004"/>
    <w:rsid w:val="00022A29"/>
    <w:rsid w:val="00025926"/>
    <w:rsid w:val="00025965"/>
    <w:rsid w:val="000355FD"/>
    <w:rsid w:val="0003589F"/>
    <w:rsid w:val="00041E69"/>
    <w:rsid w:val="0005184F"/>
    <w:rsid w:val="00051E39"/>
    <w:rsid w:val="00053725"/>
    <w:rsid w:val="00054B72"/>
    <w:rsid w:val="0005581A"/>
    <w:rsid w:val="00055F87"/>
    <w:rsid w:val="0005619C"/>
    <w:rsid w:val="0005747E"/>
    <w:rsid w:val="00057BB7"/>
    <w:rsid w:val="000604E5"/>
    <w:rsid w:val="000617DF"/>
    <w:rsid w:val="0006550B"/>
    <w:rsid w:val="000659B3"/>
    <w:rsid w:val="000674FE"/>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3FDC"/>
    <w:rsid w:val="000840A7"/>
    <w:rsid w:val="00085C6A"/>
    <w:rsid w:val="00086491"/>
    <w:rsid w:val="000904F9"/>
    <w:rsid w:val="000909ED"/>
    <w:rsid w:val="00091346"/>
    <w:rsid w:val="000917CC"/>
    <w:rsid w:val="00091C80"/>
    <w:rsid w:val="00091ED9"/>
    <w:rsid w:val="0009581F"/>
    <w:rsid w:val="00095901"/>
    <w:rsid w:val="00097074"/>
    <w:rsid w:val="000A3B54"/>
    <w:rsid w:val="000A59AE"/>
    <w:rsid w:val="000B2A1B"/>
    <w:rsid w:val="000B738A"/>
    <w:rsid w:val="000C03F4"/>
    <w:rsid w:val="000C17EA"/>
    <w:rsid w:val="000C2108"/>
    <w:rsid w:val="000C2592"/>
    <w:rsid w:val="000C42BA"/>
    <w:rsid w:val="000C4FD1"/>
    <w:rsid w:val="000D1759"/>
    <w:rsid w:val="000D38EB"/>
    <w:rsid w:val="000D4875"/>
    <w:rsid w:val="000D6891"/>
    <w:rsid w:val="000D6E8D"/>
    <w:rsid w:val="000D6EAB"/>
    <w:rsid w:val="000E0E10"/>
    <w:rsid w:val="000E1F4F"/>
    <w:rsid w:val="000E71F8"/>
    <w:rsid w:val="000F29EC"/>
    <w:rsid w:val="000F38EA"/>
    <w:rsid w:val="000F542E"/>
    <w:rsid w:val="000F641B"/>
    <w:rsid w:val="000F73FF"/>
    <w:rsid w:val="000F7F1C"/>
    <w:rsid w:val="00102175"/>
    <w:rsid w:val="00102343"/>
    <w:rsid w:val="001029B3"/>
    <w:rsid w:val="00105DCD"/>
    <w:rsid w:val="001066B3"/>
    <w:rsid w:val="00110FEB"/>
    <w:rsid w:val="001114AC"/>
    <w:rsid w:val="00112AE5"/>
    <w:rsid w:val="00114584"/>
    <w:rsid w:val="00114CF7"/>
    <w:rsid w:val="00115411"/>
    <w:rsid w:val="00115B33"/>
    <w:rsid w:val="00116B95"/>
    <w:rsid w:val="00117233"/>
    <w:rsid w:val="00123B68"/>
    <w:rsid w:val="00124438"/>
    <w:rsid w:val="00124AF4"/>
    <w:rsid w:val="00124CAA"/>
    <w:rsid w:val="00125E69"/>
    <w:rsid w:val="00126F2E"/>
    <w:rsid w:val="00127FC6"/>
    <w:rsid w:val="001424DC"/>
    <w:rsid w:val="00143513"/>
    <w:rsid w:val="00143A87"/>
    <w:rsid w:val="00144E69"/>
    <w:rsid w:val="00146F6F"/>
    <w:rsid w:val="00147086"/>
    <w:rsid w:val="0014714E"/>
    <w:rsid w:val="00147DA1"/>
    <w:rsid w:val="00152957"/>
    <w:rsid w:val="00166196"/>
    <w:rsid w:val="001664A7"/>
    <w:rsid w:val="00167327"/>
    <w:rsid w:val="00167A9D"/>
    <w:rsid w:val="00170C5A"/>
    <w:rsid w:val="00171758"/>
    <w:rsid w:val="00174B87"/>
    <w:rsid w:val="00174C26"/>
    <w:rsid w:val="0017500F"/>
    <w:rsid w:val="00176991"/>
    <w:rsid w:val="00180444"/>
    <w:rsid w:val="001821EC"/>
    <w:rsid w:val="001832B9"/>
    <w:rsid w:val="001833E1"/>
    <w:rsid w:val="00185737"/>
    <w:rsid w:val="00187BD9"/>
    <w:rsid w:val="0019060A"/>
    <w:rsid w:val="00190B55"/>
    <w:rsid w:val="00191F5C"/>
    <w:rsid w:val="00192FA9"/>
    <w:rsid w:val="00194CFB"/>
    <w:rsid w:val="001A1FFD"/>
    <w:rsid w:val="001A3858"/>
    <w:rsid w:val="001A39AD"/>
    <w:rsid w:val="001A4BD2"/>
    <w:rsid w:val="001B2ED3"/>
    <w:rsid w:val="001B643A"/>
    <w:rsid w:val="001B6675"/>
    <w:rsid w:val="001B7EA3"/>
    <w:rsid w:val="001C3B5F"/>
    <w:rsid w:val="001C61EA"/>
    <w:rsid w:val="001D058F"/>
    <w:rsid w:val="001D2025"/>
    <w:rsid w:val="001D520B"/>
    <w:rsid w:val="001E0384"/>
    <w:rsid w:val="001E24AF"/>
    <w:rsid w:val="001E252D"/>
    <w:rsid w:val="001E2813"/>
    <w:rsid w:val="001E43DC"/>
    <w:rsid w:val="001F2F69"/>
    <w:rsid w:val="001F51AD"/>
    <w:rsid w:val="002009EA"/>
    <w:rsid w:val="00202CA0"/>
    <w:rsid w:val="00207A5D"/>
    <w:rsid w:val="00211142"/>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55DC9"/>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978E6"/>
    <w:rsid w:val="002A0A7A"/>
    <w:rsid w:val="002A0D8C"/>
    <w:rsid w:val="002A27F8"/>
    <w:rsid w:val="002A51DF"/>
    <w:rsid w:val="002A684E"/>
    <w:rsid w:val="002A6C06"/>
    <w:rsid w:val="002B074A"/>
    <w:rsid w:val="002B10D5"/>
    <w:rsid w:val="002B3296"/>
    <w:rsid w:val="002B3C84"/>
    <w:rsid w:val="002B5490"/>
    <w:rsid w:val="002C12ED"/>
    <w:rsid w:val="002C49BA"/>
    <w:rsid w:val="002C4B75"/>
    <w:rsid w:val="002C73F6"/>
    <w:rsid w:val="002C7D5E"/>
    <w:rsid w:val="002D2E84"/>
    <w:rsid w:val="002D58BE"/>
    <w:rsid w:val="002E4D1D"/>
    <w:rsid w:val="002E51E0"/>
    <w:rsid w:val="002E5411"/>
    <w:rsid w:val="002E7A84"/>
    <w:rsid w:val="002F1BD0"/>
    <w:rsid w:val="003013EE"/>
    <w:rsid w:val="00303D3B"/>
    <w:rsid w:val="00303F7C"/>
    <w:rsid w:val="00304031"/>
    <w:rsid w:val="003053FC"/>
    <w:rsid w:val="00311808"/>
    <w:rsid w:val="00311851"/>
    <w:rsid w:val="00311CD5"/>
    <w:rsid w:val="00316725"/>
    <w:rsid w:val="00316A69"/>
    <w:rsid w:val="003231C6"/>
    <w:rsid w:val="00323E49"/>
    <w:rsid w:val="003247A5"/>
    <w:rsid w:val="00325939"/>
    <w:rsid w:val="003273BC"/>
    <w:rsid w:val="00331F05"/>
    <w:rsid w:val="00335759"/>
    <w:rsid w:val="00337750"/>
    <w:rsid w:val="00337785"/>
    <w:rsid w:val="0034384D"/>
    <w:rsid w:val="00345D42"/>
    <w:rsid w:val="00346224"/>
    <w:rsid w:val="0034636C"/>
    <w:rsid w:val="0035089A"/>
    <w:rsid w:val="003511BC"/>
    <w:rsid w:val="00356083"/>
    <w:rsid w:val="00361609"/>
    <w:rsid w:val="00364098"/>
    <w:rsid w:val="003647F1"/>
    <w:rsid w:val="00366978"/>
    <w:rsid w:val="0037003F"/>
    <w:rsid w:val="00372BCF"/>
    <w:rsid w:val="00373365"/>
    <w:rsid w:val="003738B5"/>
    <w:rsid w:val="00377BD3"/>
    <w:rsid w:val="003807EA"/>
    <w:rsid w:val="003823C9"/>
    <w:rsid w:val="003829D8"/>
    <w:rsid w:val="0038304D"/>
    <w:rsid w:val="00384088"/>
    <w:rsid w:val="0038489B"/>
    <w:rsid w:val="00385BE9"/>
    <w:rsid w:val="0039169B"/>
    <w:rsid w:val="00392277"/>
    <w:rsid w:val="00394B90"/>
    <w:rsid w:val="003968CC"/>
    <w:rsid w:val="003A03FF"/>
    <w:rsid w:val="003A04F5"/>
    <w:rsid w:val="003A22FC"/>
    <w:rsid w:val="003A5137"/>
    <w:rsid w:val="003A5CC9"/>
    <w:rsid w:val="003A6BAC"/>
    <w:rsid w:val="003A6BED"/>
    <w:rsid w:val="003A7F8C"/>
    <w:rsid w:val="003B08DA"/>
    <w:rsid w:val="003B11F9"/>
    <w:rsid w:val="003B2B56"/>
    <w:rsid w:val="003B532E"/>
    <w:rsid w:val="003B6306"/>
    <w:rsid w:val="003B6602"/>
    <w:rsid w:val="003B6F14"/>
    <w:rsid w:val="003B6F60"/>
    <w:rsid w:val="003C1870"/>
    <w:rsid w:val="003C1C11"/>
    <w:rsid w:val="003C5DD6"/>
    <w:rsid w:val="003C6136"/>
    <w:rsid w:val="003D0F8B"/>
    <w:rsid w:val="003D39F2"/>
    <w:rsid w:val="003D5A63"/>
    <w:rsid w:val="003D6425"/>
    <w:rsid w:val="003D66A7"/>
    <w:rsid w:val="003D7EE8"/>
    <w:rsid w:val="003E3B14"/>
    <w:rsid w:val="003F0A6C"/>
    <w:rsid w:val="003F0F49"/>
    <w:rsid w:val="003F1363"/>
    <w:rsid w:val="00403C69"/>
    <w:rsid w:val="00405EC2"/>
    <w:rsid w:val="00406278"/>
    <w:rsid w:val="00406297"/>
    <w:rsid w:val="00412C81"/>
    <w:rsid w:val="004131D4"/>
    <w:rsid w:val="0041348E"/>
    <w:rsid w:val="00414895"/>
    <w:rsid w:val="004208C6"/>
    <w:rsid w:val="00420B7C"/>
    <w:rsid w:val="00421605"/>
    <w:rsid w:val="00423E6E"/>
    <w:rsid w:val="004255FE"/>
    <w:rsid w:val="004269E6"/>
    <w:rsid w:val="00433357"/>
    <w:rsid w:val="00435762"/>
    <w:rsid w:val="00435E45"/>
    <w:rsid w:val="004364D9"/>
    <w:rsid w:val="00437819"/>
    <w:rsid w:val="00437A8D"/>
    <w:rsid w:val="00440C4F"/>
    <w:rsid w:val="00441E8B"/>
    <w:rsid w:val="004445FD"/>
    <w:rsid w:val="004450ED"/>
    <w:rsid w:val="00445599"/>
    <w:rsid w:val="00446FBA"/>
    <w:rsid w:val="00447308"/>
    <w:rsid w:val="00447990"/>
    <w:rsid w:val="004500BC"/>
    <w:rsid w:val="00451B1B"/>
    <w:rsid w:val="004552B4"/>
    <w:rsid w:val="0045600B"/>
    <w:rsid w:val="00460CF8"/>
    <w:rsid w:val="00462253"/>
    <w:rsid w:val="004622E8"/>
    <w:rsid w:val="00462CB2"/>
    <w:rsid w:val="004631CC"/>
    <w:rsid w:val="00467DB2"/>
    <w:rsid w:val="00472FC1"/>
    <w:rsid w:val="004755BA"/>
    <w:rsid w:val="004765FF"/>
    <w:rsid w:val="00481E58"/>
    <w:rsid w:val="0048520E"/>
    <w:rsid w:val="00486163"/>
    <w:rsid w:val="00492075"/>
    <w:rsid w:val="0049304E"/>
    <w:rsid w:val="00495290"/>
    <w:rsid w:val="004969AD"/>
    <w:rsid w:val="00496E2A"/>
    <w:rsid w:val="004A0244"/>
    <w:rsid w:val="004A3CDF"/>
    <w:rsid w:val="004A3FF4"/>
    <w:rsid w:val="004A43DF"/>
    <w:rsid w:val="004A7674"/>
    <w:rsid w:val="004A783D"/>
    <w:rsid w:val="004B13CB"/>
    <w:rsid w:val="004B2111"/>
    <w:rsid w:val="004B2466"/>
    <w:rsid w:val="004B3A02"/>
    <w:rsid w:val="004B3C6F"/>
    <w:rsid w:val="004B4FDF"/>
    <w:rsid w:val="004B4FF2"/>
    <w:rsid w:val="004B716F"/>
    <w:rsid w:val="004B7C16"/>
    <w:rsid w:val="004B7E77"/>
    <w:rsid w:val="004C3355"/>
    <w:rsid w:val="004D04E2"/>
    <w:rsid w:val="004D375A"/>
    <w:rsid w:val="004D3C01"/>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1AE1"/>
    <w:rsid w:val="0050712D"/>
    <w:rsid w:val="00510692"/>
    <w:rsid w:val="00510F4D"/>
    <w:rsid w:val="00516722"/>
    <w:rsid w:val="00517624"/>
    <w:rsid w:val="00520565"/>
    <w:rsid w:val="00521223"/>
    <w:rsid w:val="00523934"/>
    <w:rsid w:val="00523D3E"/>
    <w:rsid w:val="00524DF1"/>
    <w:rsid w:val="005252E6"/>
    <w:rsid w:val="00526711"/>
    <w:rsid w:val="0052716E"/>
    <w:rsid w:val="00531317"/>
    <w:rsid w:val="00532A8A"/>
    <w:rsid w:val="00533CBA"/>
    <w:rsid w:val="005351B4"/>
    <w:rsid w:val="00536513"/>
    <w:rsid w:val="00536DB4"/>
    <w:rsid w:val="00541D24"/>
    <w:rsid w:val="00543159"/>
    <w:rsid w:val="0054377E"/>
    <w:rsid w:val="0054450F"/>
    <w:rsid w:val="0055140B"/>
    <w:rsid w:val="00552F9E"/>
    <w:rsid w:val="00554C4F"/>
    <w:rsid w:val="00561D72"/>
    <w:rsid w:val="00564F36"/>
    <w:rsid w:val="00565128"/>
    <w:rsid w:val="00566CAA"/>
    <w:rsid w:val="00566EEB"/>
    <w:rsid w:val="00570FA3"/>
    <w:rsid w:val="00571767"/>
    <w:rsid w:val="00576FB4"/>
    <w:rsid w:val="00581664"/>
    <w:rsid w:val="00585238"/>
    <w:rsid w:val="005855FC"/>
    <w:rsid w:val="00586EB9"/>
    <w:rsid w:val="00592321"/>
    <w:rsid w:val="005933B2"/>
    <w:rsid w:val="00593B87"/>
    <w:rsid w:val="005964AB"/>
    <w:rsid w:val="005A2BEB"/>
    <w:rsid w:val="005A2D7C"/>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32D"/>
    <w:rsid w:val="005E0641"/>
    <w:rsid w:val="005E0D2B"/>
    <w:rsid w:val="005E10C9"/>
    <w:rsid w:val="005E228E"/>
    <w:rsid w:val="005E61DD"/>
    <w:rsid w:val="005E6321"/>
    <w:rsid w:val="005F4E8F"/>
    <w:rsid w:val="005F5413"/>
    <w:rsid w:val="005F7D38"/>
    <w:rsid w:val="00600B9C"/>
    <w:rsid w:val="006023DF"/>
    <w:rsid w:val="0060693B"/>
    <w:rsid w:val="006117C6"/>
    <w:rsid w:val="00611CD2"/>
    <w:rsid w:val="006130CC"/>
    <w:rsid w:val="00615AB9"/>
    <w:rsid w:val="00617602"/>
    <w:rsid w:val="00620ECD"/>
    <w:rsid w:val="00621FDD"/>
    <w:rsid w:val="00622B63"/>
    <w:rsid w:val="00624A81"/>
    <w:rsid w:val="0062697F"/>
    <w:rsid w:val="00627881"/>
    <w:rsid w:val="00636181"/>
    <w:rsid w:val="00636C72"/>
    <w:rsid w:val="00636E1C"/>
    <w:rsid w:val="00637E99"/>
    <w:rsid w:val="006422AD"/>
    <w:rsid w:val="006430DA"/>
    <w:rsid w:val="0064322F"/>
    <w:rsid w:val="006449A5"/>
    <w:rsid w:val="00644F99"/>
    <w:rsid w:val="006463EE"/>
    <w:rsid w:val="0064726F"/>
    <w:rsid w:val="00657DE0"/>
    <w:rsid w:val="006608C4"/>
    <w:rsid w:val="006612C2"/>
    <w:rsid w:val="00661FB8"/>
    <w:rsid w:val="00662E21"/>
    <w:rsid w:val="0066418C"/>
    <w:rsid w:val="00664A63"/>
    <w:rsid w:val="00665B75"/>
    <w:rsid w:val="00667F38"/>
    <w:rsid w:val="0067199F"/>
    <w:rsid w:val="006747D8"/>
    <w:rsid w:val="00674AEF"/>
    <w:rsid w:val="00675DB5"/>
    <w:rsid w:val="00676ED7"/>
    <w:rsid w:val="00677048"/>
    <w:rsid w:val="006774C6"/>
    <w:rsid w:val="00680225"/>
    <w:rsid w:val="00684898"/>
    <w:rsid w:val="00685313"/>
    <w:rsid w:val="00690B44"/>
    <w:rsid w:val="006912F3"/>
    <w:rsid w:val="00696622"/>
    <w:rsid w:val="00696E7A"/>
    <w:rsid w:val="00697CB6"/>
    <w:rsid w:val="006A0D14"/>
    <w:rsid w:val="006A47E5"/>
    <w:rsid w:val="006A5E2E"/>
    <w:rsid w:val="006A6E9B"/>
    <w:rsid w:val="006A6F6B"/>
    <w:rsid w:val="006A747C"/>
    <w:rsid w:val="006B1038"/>
    <w:rsid w:val="006B27AA"/>
    <w:rsid w:val="006B4F38"/>
    <w:rsid w:val="006B502E"/>
    <w:rsid w:val="006B5AA9"/>
    <w:rsid w:val="006B73C2"/>
    <w:rsid w:val="006B7C2A"/>
    <w:rsid w:val="006B7CC5"/>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06A7"/>
    <w:rsid w:val="00761CEF"/>
    <w:rsid w:val="007654FE"/>
    <w:rsid w:val="00765BA5"/>
    <w:rsid w:val="007664D4"/>
    <w:rsid w:val="00770D7E"/>
    <w:rsid w:val="0077218C"/>
    <w:rsid w:val="007742CA"/>
    <w:rsid w:val="0077509B"/>
    <w:rsid w:val="00776DB1"/>
    <w:rsid w:val="0077768B"/>
    <w:rsid w:val="0077794B"/>
    <w:rsid w:val="00792DB8"/>
    <w:rsid w:val="00793BB0"/>
    <w:rsid w:val="00794ABD"/>
    <w:rsid w:val="00795C00"/>
    <w:rsid w:val="0079605E"/>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4F6C"/>
    <w:rsid w:val="007E713F"/>
    <w:rsid w:val="007E7819"/>
    <w:rsid w:val="007E799D"/>
    <w:rsid w:val="007F236E"/>
    <w:rsid w:val="007F2668"/>
    <w:rsid w:val="007F26E3"/>
    <w:rsid w:val="007F535C"/>
    <w:rsid w:val="007F54EB"/>
    <w:rsid w:val="007F735C"/>
    <w:rsid w:val="00800972"/>
    <w:rsid w:val="00804475"/>
    <w:rsid w:val="008059C2"/>
    <w:rsid w:val="008113DE"/>
    <w:rsid w:val="0081159E"/>
    <w:rsid w:val="00811633"/>
    <w:rsid w:val="00814C00"/>
    <w:rsid w:val="00821CEF"/>
    <w:rsid w:val="00822C09"/>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28A"/>
    <w:rsid w:val="00863578"/>
    <w:rsid w:val="00863FC4"/>
    <w:rsid w:val="00867B8E"/>
    <w:rsid w:val="00870989"/>
    <w:rsid w:val="008711AE"/>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A0BFE"/>
    <w:rsid w:val="008A18A2"/>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6CB"/>
    <w:rsid w:val="008D279B"/>
    <w:rsid w:val="008D2B46"/>
    <w:rsid w:val="008D3C71"/>
    <w:rsid w:val="008D678E"/>
    <w:rsid w:val="008E1A73"/>
    <w:rsid w:val="008E33DA"/>
    <w:rsid w:val="008E6B36"/>
    <w:rsid w:val="008E7DF8"/>
    <w:rsid w:val="008F04EE"/>
    <w:rsid w:val="008F238A"/>
    <w:rsid w:val="008F3284"/>
    <w:rsid w:val="008F36FB"/>
    <w:rsid w:val="009006A0"/>
    <w:rsid w:val="00900E22"/>
    <w:rsid w:val="009023DF"/>
    <w:rsid w:val="0090293E"/>
    <w:rsid w:val="0091016B"/>
    <w:rsid w:val="00910408"/>
    <w:rsid w:val="00910B26"/>
    <w:rsid w:val="00912004"/>
    <w:rsid w:val="009147B8"/>
    <w:rsid w:val="009238B9"/>
    <w:rsid w:val="009274B4"/>
    <w:rsid w:val="00934743"/>
    <w:rsid w:val="00934EA2"/>
    <w:rsid w:val="009373C9"/>
    <w:rsid w:val="00937AE8"/>
    <w:rsid w:val="00941B98"/>
    <w:rsid w:val="00942FC1"/>
    <w:rsid w:val="00943545"/>
    <w:rsid w:val="00944A5C"/>
    <w:rsid w:val="00944A99"/>
    <w:rsid w:val="00951816"/>
    <w:rsid w:val="00952A66"/>
    <w:rsid w:val="00953C32"/>
    <w:rsid w:val="00964AA6"/>
    <w:rsid w:val="00964C68"/>
    <w:rsid w:val="00980AD1"/>
    <w:rsid w:val="00980AD6"/>
    <w:rsid w:val="009828A4"/>
    <w:rsid w:val="00985001"/>
    <w:rsid w:val="00986EBB"/>
    <w:rsid w:val="009879AF"/>
    <w:rsid w:val="009907F3"/>
    <w:rsid w:val="00990A55"/>
    <w:rsid w:val="00992F9A"/>
    <w:rsid w:val="009944BE"/>
    <w:rsid w:val="00996913"/>
    <w:rsid w:val="00996ACA"/>
    <w:rsid w:val="00997678"/>
    <w:rsid w:val="009A04EC"/>
    <w:rsid w:val="009A234F"/>
    <w:rsid w:val="009A291A"/>
    <w:rsid w:val="009A6577"/>
    <w:rsid w:val="009B28F2"/>
    <w:rsid w:val="009B5126"/>
    <w:rsid w:val="009B71C3"/>
    <w:rsid w:val="009B75FF"/>
    <w:rsid w:val="009C39A2"/>
    <w:rsid w:val="009C4D44"/>
    <w:rsid w:val="009C56E5"/>
    <w:rsid w:val="009C6F7B"/>
    <w:rsid w:val="009D163B"/>
    <w:rsid w:val="009D3343"/>
    <w:rsid w:val="009D3429"/>
    <w:rsid w:val="009E3F7C"/>
    <w:rsid w:val="009E5FC8"/>
    <w:rsid w:val="009E687A"/>
    <w:rsid w:val="009E72E7"/>
    <w:rsid w:val="009F1203"/>
    <w:rsid w:val="009F1542"/>
    <w:rsid w:val="009F48E7"/>
    <w:rsid w:val="00A00AC6"/>
    <w:rsid w:val="00A03C5C"/>
    <w:rsid w:val="00A04FB0"/>
    <w:rsid w:val="00A066F1"/>
    <w:rsid w:val="00A1280A"/>
    <w:rsid w:val="00A141AF"/>
    <w:rsid w:val="00A15958"/>
    <w:rsid w:val="00A16D29"/>
    <w:rsid w:val="00A20E5E"/>
    <w:rsid w:val="00A2101B"/>
    <w:rsid w:val="00A21E18"/>
    <w:rsid w:val="00A235FD"/>
    <w:rsid w:val="00A259A2"/>
    <w:rsid w:val="00A2618D"/>
    <w:rsid w:val="00A27146"/>
    <w:rsid w:val="00A30305"/>
    <w:rsid w:val="00A31315"/>
    <w:rsid w:val="00A31D2D"/>
    <w:rsid w:val="00A32267"/>
    <w:rsid w:val="00A32291"/>
    <w:rsid w:val="00A32938"/>
    <w:rsid w:val="00A33D45"/>
    <w:rsid w:val="00A34772"/>
    <w:rsid w:val="00A35D6D"/>
    <w:rsid w:val="00A37568"/>
    <w:rsid w:val="00A4049B"/>
    <w:rsid w:val="00A43642"/>
    <w:rsid w:val="00A44D51"/>
    <w:rsid w:val="00A4600A"/>
    <w:rsid w:val="00A524E6"/>
    <w:rsid w:val="00A53605"/>
    <w:rsid w:val="00A538A6"/>
    <w:rsid w:val="00A54C25"/>
    <w:rsid w:val="00A5605E"/>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0505"/>
    <w:rsid w:val="00AB15BE"/>
    <w:rsid w:val="00AB4006"/>
    <w:rsid w:val="00AB4927"/>
    <w:rsid w:val="00AB4EF9"/>
    <w:rsid w:val="00AB59A0"/>
    <w:rsid w:val="00AC007A"/>
    <w:rsid w:val="00AC034F"/>
    <w:rsid w:val="00AC1A8E"/>
    <w:rsid w:val="00AC4C17"/>
    <w:rsid w:val="00AC4DB5"/>
    <w:rsid w:val="00AC7564"/>
    <w:rsid w:val="00AD0AEB"/>
    <w:rsid w:val="00AD4C7B"/>
    <w:rsid w:val="00AE1244"/>
    <w:rsid w:val="00AE7CD5"/>
    <w:rsid w:val="00AF17A2"/>
    <w:rsid w:val="00AF2081"/>
    <w:rsid w:val="00AF2664"/>
    <w:rsid w:val="00AF45E8"/>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2705"/>
    <w:rsid w:val="00B232A2"/>
    <w:rsid w:val="00B23C4E"/>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2650"/>
    <w:rsid w:val="00B5544A"/>
    <w:rsid w:val="00B55E0C"/>
    <w:rsid w:val="00B639E9"/>
    <w:rsid w:val="00B6598C"/>
    <w:rsid w:val="00B66F17"/>
    <w:rsid w:val="00B71863"/>
    <w:rsid w:val="00B7345F"/>
    <w:rsid w:val="00B8078D"/>
    <w:rsid w:val="00B817CD"/>
    <w:rsid w:val="00B81D00"/>
    <w:rsid w:val="00B825BC"/>
    <w:rsid w:val="00B830CC"/>
    <w:rsid w:val="00B850F8"/>
    <w:rsid w:val="00B86916"/>
    <w:rsid w:val="00B86D30"/>
    <w:rsid w:val="00B87DA1"/>
    <w:rsid w:val="00B9105F"/>
    <w:rsid w:val="00B911B2"/>
    <w:rsid w:val="00B917E9"/>
    <w:rsid w:val="00B92195"/>
    <w:rsid w:val="00B92520"/>
    <w:rsid w:val="00B951D0"/>
    <w:rsid w:val="00B95DA2"/>
    <w:rsid w:val="00B97C6E"/>
    <w:rsid w:val="00BA231A"/>
    <w:rsid w:val="00BA2D00"/>
    <w:rsid w:val="00BA2FE8"/>
    <w:rsid w:val="00BA48E4"/>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5C25"/>
    <w:rsid w:val="00C166D0"/>
    <w:rsid w:val="00C16D39"/>
    <w:rsid w:val="00C20466"/>
    <w:rsid w:val="00C214ED"/>
    <w:rsid w:val="00C227EF"/>
    <w:rsid w:val="00C234E6"/>
    <w:rsid w:val="00C24E20"/>
    <w:rsid w:val="00C2744D"/>
    <w:rsid w:val="00C324A8"/>
    <w:rsid w:val="00C349B4"/>
    <w:rsid w:val="00C35C13"/>
    <w:rsid w:val="00C36662"/>
    <w:rsid w:val="00C40DF2"/>
    <w:rsid w:val="00C42204"/>
    <w:rsid w:val="00C45783"/>
    <w:rsid w:val="00C47855"/>
    <w:rsid w:val="00C54517"/>
    <w:rsid w:val="00C55DBA"/>
    <w:rsid w:val="00C56E3C"/>
    <w:rsid w:val="00C60AEF"/>
    <w:rsid w:val="00C6240E"/>
    <w:rsid w:val="00C6439C"/>
    <w:rsid w:val="00C64CD8"/>
    <w:rsid w:val="00C720B0"/>
    <w:rsid w:val="00C73347"/>
    <w:rsid w:val="00C75E0E"/>
    <w:rsid w:val="00C75FF8"/>
    <w:rsid w:val="00C76A6C"/>
    <w:rsid w:val="00C77593"/>
    <w:rsid w:val="00C77B50"/>
    <w:rsid w:val="00C80652"/>
    <w:rsid w:val="00C80A64"/>
    <w:rsid w:val="00C828F3"/>
    <w:rsid w:val="00C87447"/>
    <w:rsid w:val="00C90579"/>
    <w:rsid w:val="00C976EE"/>
    <w:rsid w:val="00C97C68"/>
    <w:rsid w:val="00CA18A2"/>
    <w:rsid w:val="00CA1A47"/>
    <w:rsid w:val="00CA36C5"/>
    <w:rsid w:val="00CA48CF"/>
    <w:rsid w:val="00CB1404"/>
    <w:rsid w:val="00CB1D84"/>
    <w:rsid w:val="00CB3537"/>
    <w:rsid w:val="00CB40E5"/>
    <w:rsid w:val="00CB5636"/>
    <w:rsid w:val="00CB6011"/>
    <w:rsid w:val="00CB615D"/>
    <w:rsid w:val="00CB6664"/>
    <w:rsid w:val="00CB76A2"/>
    <w:rsid w:val="00CC247A"/>
    <w:rsid w:val="00CC41F6"/>
    <w:rsid w:val="00CC5CA5"/>
    <w:rsid w:val="00CC7E96"/>
    <w:rsid w:val="00CD2733"/>
    <w:rsid w:val="00CD2A68"/>
    <w:rsid w:val="00CD2BC1"/>
    <w:rsid w:val="00CD3139"/>
    <w:rsid w:val="00CD4117"/>
    <w:rsid w:val="00CD7BC2"/>
    <w:rsid w:val="00CD7EC4"/>
    <w:rsid w:val="00CE5ACA"/>
    <w:rsid w:val="00CE5E47"/>
    <w:rsid w:val="00CE66E4"/>
    <w:rsid w:val="00CE7A25"/>
    <w:rsid w:val="00CF020F"/>
    <w:rsid w:val="00CF14E7"/>
    <w:rsid w:val="00CF269A"/>
    <w:rsid w:val="00CF2A29"/>
    <w:rsid w:val="00CF2B5B"/>
    <w:rsid w:val="00CF33C0"/>
    <w:rsid w:val="00CF4A84"/>
    <w:rsid w:val="00D00E2A"/>
    <w:rsid w:val="00D0723D"/>
    <w:rsid w:val="00D10D23"/>
    <w:rsid w:val="00D12A27"/>
    <w:rsid w:val="00D14CE0"/>
    <w:rsid w:val="00D217E0"/>
    <w:rsid w:val="00D233CB"/>
    <w:rsid w:val="00D27D0F"/>
    <w:rsid w:val="00D33DC1"/>
    <w:rsid w:val="00D36333"/>
    <w:rsid w:val="00D402AE"/>
    <w:rsid w:val="00D42CDE"/>
    <w:rsid w:val="00D42FEE"/>
    <w:rsid w:val="00D44DE2"/>
    <w:rsid w:val="00D45A9C"/>
    <w:rsid w:val="00D53DE0"/>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5CC"/>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347"/>
    <w:rsid w:val="00DF2D60"/>
    <w:rsid w:val="00DF58C7"/>
    <w:rsid w:val="00DF6F8E"/>
    <w:rsid w:val="00E02014"/>
    <w:rsid w:val="00E03C94"/>
    <w:rsid w:val="00E03CF8"/>
    <w:rsid w:val="00E0688B"/>
    <w:rsid w:val="00E06AEA"/>
    <w:rsid w:val="00E07105"/>
    <w:rsid w:val="00E11115"/>
    <w:rsid w:val="00E12074"/>
    <w:rsid w:val="00E1307C"/>
    <w:rsid w:val="00E17BAD"/>
    <w:rsid w:val="00E21B22"/>
    <w:rsid w:val="00E236C9"/>
    <w:rsid w:val="00E239BD"/>
    <w:rsid w:val="00E241C9"/>
    <w:rsid w:val="00E26226"/>
    <w:rsid w:val="00E31B77"/>
    <w:rsid w:val="00E36E67"/>
    <w:rsid w:val="00E378D8"/>
    <w:rsid w:val="00E4021C"/>
    <w:rsid w:val="00E4059F"/>
    <w:rsid w:val="00E4165C"/>
    <w:rsid w:val="00E422AC"/>
    <w:rsid w:val="00E425D0"/>
    <w:rsid w:val="00E45D05"/>
    <w:rsid w:val="00E528F8"/>
    <w:rsid w:val="00E52E0E"/>
    <w:rsid w:val="00E5442B"/>
    <w:rsid w:val="00E55816"/>
    <w:rsid w:val="00E55AEF"/>
    <w:rsid w:val="00E61442"/>
    <w:rsid w:val="00E64779"/>
    <w:rsid w:val="00E64B4B"/>
    <w:rsid w:val="00E66A93"/>
    <w:rsid w:val="00E70105"/>
    <w:rsid w:val="00E71B64"/>
    <w:rsid w:val="00E81961"/>
    <w:rsid w:val="00E824CF"/>
    <w:rsid w:val="00E82877"/>
    <w:rsid w:val="00E83BBB"/>
    <w:rsid w:val="00E84088"/>
    <w:rsid w:val="00E90BE9"/>
    <w:rsid w:val="00E976C1"/>
    <w:rsid w:val="00EA025D"/>
    <w:rsid w:val="00EA07F0"/>
    <w:rsid w:val="00EA12E5"/>
    <w:rsid w:val="00EA2136"/>
    <w:rsid w:val="00EA29C8"/>
    <w:rsid w:val="00EA36A2"/>
    <w:rsid w:val="00EA3D99"/>
    <w:rsid w:val="00EA66A4"/>
    <w:rsid w:val="00EB00F7"/>
    <w:rsid w:val="00EB0E5E"/>
    <w:rsid w:val="00EB2238"/>
    <w:rsid w:val="00EB4AE6"/>
    <w:rsid w:val="00EB4C45"/>
    <w:rsid w:val="00EC00DF"/>
    <w:rsid w:val="00EC0FC2"/>
    <w:rsid w:val="00EC3585"/>
    <w:rsid w:val="00EC6B65"/>
    <w:rsid w:val="00ED29AB"/>
    <w:rsid w:val="00ED335C"/>
    <w:rsid w:val="00ED44A8"/>
    <w:rsid w:val="00ED4EAD"/>
    <w:rsid w:val="00ED5AAF"/>
    <w:rsid w:val="00EE3198"/>
    <w:rsid w:val="00EE4646"/>
    <w:rsid w:val="00EE67EC"/>
    <w:rsid w:val="00EF33D5"/>
    <w:rsid w:val="00EF481F"/>
    <w:rsid w:val="00F000EA"/>
    <w:rsid w:val="00F02766"/>
    <w:rsid w:val="00F035BF"/>
    <w:rsid w:val="00F03EB7"/>
    <w:rsid w:val="00F04067"/>
    <w:rsid w:val="00F0520E"/>
    <w:rsid w:val="00F05BD4"/>
    <w:rsid w:val="00F07F46"/>
    <w:rsid w:val="00F11A98"/>
    <w:rsid w:val="00F13242"/>
    <w:rsid w:val="00F1463E"/>
    <w:rsid w:val="00F15368"/>
    <w:rsid w:val="00F15E05"/>
    <w:rsid w:val="00F16F35"/>
    <w:rsid w:val="00F20CA2"/>
    <w:rsid w:val="00F21A1D"/>
    <w:rsid w:val="00F21D10"/>
    <w:rsid w:val="00F24D36"/>
    <w:rsid w:val="00F277F9"/>
    <w:rsid w:val="00F339E3"/>
    <w:rsid w:val="00F340C8"/>
    <w:rsid w:val="00F349CB"/>
    <w:rsid w:val="00F354F7"/>
    <w:rsid w:val="00F357E0"/>
    <w:rsid w:val="00F45892"/>
    <w:rsid w:val="00F529BB"/>
    <w:rsid w:val="00F53615"/>
    <w:rsid w:val="00F579D6"/>
    <w:rsid w:val="00F61818"/>
    <w:rsid w:val="00F623D9"/>
    <w:rsid w:val="00F64274"/>
    <w:rsid w:val="00F64DBC"/>
    <w:rsid w:val="00F659A6"/>
    <w:rsid w:val="00F65C19"/>
    <w:rsid w:val="00F6660F"/>
    <w:rsid w:val="00F66B3A"/>
    <w:rsid w:val="00F67276"/>
    <w:rsid w:val="00F723AC"/>
    <w:rsid w:val="00F7338B"/>
    <w:rsid w:val="00F7440E"/>
    <w:rsid w:val="00F76603"/>
    <w:rsid w:val="00F772D4"/>
    <w:rsid w:val="00F808C6"/>
    <w:rsid w:val="00F83F60"/>
    <w:rsid w:val="00F8476E"/>
    <w:rsid w:val="00F848EE"/>
    <w:rsid w:val="00F84DF8"/>
    <w:rsid w:val="00F91898"/>
    <w:rsid w:val="00F9323D"/>
    <w:rsid w:val="00F94FEF"/>
    <w:rsid w:val="00F95B5F"/>
    <w:rsid w:val="00F971FB"/>
    <w:rsid w:val="00FA2328"/>
    <w:rsid w:val="00FA4CD4"/>
    <w:rsid w:val="00FA579C"/>
    <w:rsid w:val="00FA668B"/>
    <w:rsid w:val="00FB20E0"/>
    <w:rsid w:val="00FB34B9"/>
    <w:rsid w:val="00FC0BEF"/>
    <w:rsid w:val="00FC1EC2"/>
    <w:rsid w:val="00FC24DA"/>
    <w:rsid w:val="00FC4678"/>
    <w:rsid w:val="00FC6545"/>
    <w:rsid w:val="00FD0183"/>
    <w:rsid w:val="00FD037B"/>
    <w:rsid w:val="00FD0C89"/>
    <w:rsid w:val="00FD2546"/>
    <w:rsid w:val="00FD65C9"/>
    <w:rsid w:val="00FD772E"/>
    <w:rsid w:val="00FE3346"/>
    <w:rsid w:val="00FE3926"/>
    <w:rsid w:val="00FE48BE"/>
    <w:rsid w:val="00FE4D2F"/>
    <w:rsid w:val="00FE7205"/>
    <w:rsid w:val="00FE78C7"/>
    <w:rsid w:val="00FF21ED"/>
    <w:rsid w:val="00FF2A26"/>
    <w:rsid w:val="00FF2DF4"/>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779"/>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ru-RU" w:eastAsia="en-US"/>
    </w:rPr>
  </w:style>
  <w:style w:type="paragraph" w:styleId="Heading1">
    <w:name w:val="heading 1"/>
    <w:basedOn w:val="Normal"/>
    <w:next w:val="Normal"/>
    <w:qFormat/>
    <w:rsid w:val="00E64779"/>
    <w:pPr>
      <w:keepNext/>
      <w:keepLines/>
      <w:spacing w:before="360"/>
      <w:ind w:left="1134" w:hanging="1134"/>
      <w:outlineLvl w:val="0"/>
    </w:pPr>
    <w:rPr>
      <w:b/>
      <w:sz w:val="26"/>
    </w:rPr>
  </w:style>
  <w:style w:type="paragraph" w:styleId="Heading2">
    <w:name w:val="heading 2"/>
    <w:basedOn w:val="Heading1"/>
    <w:next w:val="Normal"/>
    <w:qFormat/>
    <w:rsid w:val="00E64779"/>
    <w:pPr>
      <w:spacing w:before="240"/>
      <w:outlineLvl w:val="1"/>
    </w:pPr>
    <w:rPr>
      <w:sz w:val="22"/>
    </w:rPr>
  </w:style>
  <w:style w:type="paragraph" w:styleId="Heading3">
    <w:name w:val="heading 3"/>
    <w:basedOn w:val="Heading1"/>
    <w:next w:val="Normal"/>
    <w:qFormat/>
    <w:rsid w:val="00EB4AE6"/>
    <w:pPr>
      <w:tabs>
        <w:tab w:val="clear" w:pos="1134"/>
      </w:tabs>
      <w:spacing w:before="200"/>
      <w:outlineLvl w:val="2"/>
    </w:pPr>
    <w:rPr>
      <w:sz w:val="22"/>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EB4AE6"/>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EB4AE6"/>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EB4AE6"/>
    <w:pPr>
      <w:keepNext/>
      <w:keepLines/>
      <w:spacing w:before="240" w:after="280"/>
      <w:jc w:val="center"/>
    </w:pPr>
    <w:rPr>
      <w:b/>
      <w:sz w:val="26"/>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EB4AE6"/>
    <w:pPr>
      <w:spacing w:before="480"/>
      <w:jc w:val="center"/>
    </w:pPr>
    <w:rPr>
      <w:b/>
      <w:sz w:val="26"/>
    </w:rPr>
  </w:style>
  <w:style w:type="paragraph" w:customStyle="1" w:styleId="ArtNo">
    <w:name w:val="Art_No"/>
    <w:basedOn w:val="Normal"/>
    <w:next w:val="Normal"/>
    <w:rsid w:val="00EB4AE6"/>
    <w:pPr>
      <w:keepNext/>
      <w:keepLines/>
      <w:spacing w:before="480"/>
      <w:jc w:val="center"/>
    </w:pPr>
    <w:rPr>
      <w:caps/>
      <w:sz w:val="26"/>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EB4AE6"/>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EB4AE6"/>
    <w:rPr>
      <w:rFonts w:asciiTheme="minorHAnsi" w:hAnsiTheme="minorHAnsi"/>
      <w:position w:val="6"/>
      <w:sz w:val="16"/>
    </w:rPr>
  </w:style>
  <w:style w:type="paragraph" w:styleId="FootnoteText">
    <w:name w:val="footnote text"/>
    <w:basedOn w:val="Normal"/>
    <w:link w:val="FootnoteTextChar"/>
    <w:qFormat/>
    <w:rsid w:val="00EB4AE6"/>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qFormat/>
    <w:rsid w:val="00EB4AE6"/>
    <w:rPr>
      <w:rFonts w:ascii="Calibri" w:hAnsi="Calibri"/>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EB4AE6"/>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EB4AE6"/>
    <w:pPr>
      <w:keepNext/>
      <w:keepLines/>
      <w:spacing w:before="480"/>
      <w:jc w:val="center"/>
    </w:pPr>
    <w:rPr>
      <w:caps/>
      <w:sz w:val="26"/>
    </w:rPr>
  </w:style>
  <w:style w:type="paragraph" w:customStyle="1" w:styleId="Questiontitle">
    <w:name w:val="Question_title"/>
    <w:basedOn w:val="Normal"/>
    <w:next w:val="Normal"/>
    <w:rsid w:val="00EB4AE6"/>
    <w:pPr>
      <w:keepNext/>
      <w:keepLines/>
      <w:spacing w:before="240"/>
      <w:jc w:val="center"/>
    </w:pPr>
    <w:rPr>
      <w:b/>
      <w:sz w:val="26"/>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CB76A2"/>
    <w:pPr>
      <w:spacing w:before="240"/>
    </w:pPr>
    <w:rPr>
      <w:b w:val="0"/>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055F87"/>
    <w:pPr>
      <w:keepNext/>
      <w:keepLines/>
      <w:spacing w:before="80" w:after="8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EB4AE6"/>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EB4AE6"/>
  </w:style>
  <w:style w:type="paragraph" w:customStyle="1" w:styleId="AppArttitle">
    <w:name w:val="App_Art_title"/>
    <w:basedOn w:val="Arttitle"/>
    <w:qFormat/>
    <w:rsid w:val="00A066F1"/>
  </w:style>
  <w:style w:type="paragraph" w:customStyle="1" w:styleId="Opiniontitle">
    <w:name w:val="Opinion_title"/>
    <w:basedOn w:val="Rectitle"/>
    <w:next w:val="Normalaftertitle"/>
    <w:qFormat/>
    <w:rsid w:val="00EB4AE6"/>
  </w:style>
  <w:style w:type="paragraph" w:customStyle="1" w:styleId="OpinionNo">
    <w:name w:val="Opinion_No"/>
    <w:basedOn w:val="RecNo"/>
    <w:next w:val="Opiniontitle"/>
    <w:qFormat/>
    <w:rsid w:val="00EB4AE6"/>
  </w:style>
  <w:style w:type="paragraph" w:customStyle="1" w:styleId="Volumetitle">
    <w:name w:val="Volume_title"/>
    <w:basedOn w:val="Normal"/>
    <w:qFormat/>
    <w:rsid w:val="00EB4AE6"/>
    <w:pPr>
      <w:tabs>
        <w:tab w:val="clear" w:pos="1134"/>
        <w:tab w:val="clear" w:pos="2268"/>
      </w:tabs>
      <w:overflowPunct/>
      <w:autoSpaceDE/>
      <w:autoSpaceDN/>
      <w:adjustRightInd/>
      <w:spacing w:before="0"/>
      <w:textAlignment w:val="auto"/>
    </w:pPr>
    <w:rPr>
      <w:b/>
      <w:sz w:val="26"/>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aliases w:val="표준표"/>
    <w:basedOn w:val="TableNormal"/>
    <w:uiPriority w:val="59"/>
    <w:qFormat/>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HeadingbChar">
    <w:name w:val="Heading_b Char"/>
    <w:basedOn w:val="DefaultParagraphFont"/>
    <w:link w:val="Headingb"/>
    <w:locked/>
    <w:rsid w:val="005E032D"/>
    <w:rPr>
      <w:rFonts w:asciiTheme="minorHAnsi" w:hAnsiTheme="minorHAnsi" w:cs="Times New Roman Bold"/>
      <w:b/>
      <w:sz w:val="24"/>
      <w:lang w:val="fr-CH" w:eastAsia="en-US"/>
    </w:rPr>
  </w:style>
  <w:style w:type="character" w:styleId="Strong">
    <w:name w:val="Strong"/>
    <w:basedOn w:val="DefaultParagraphFont"/>
    <w:uiPriority w:val="22"/>
    <w:qFormat/>
    <w:rsid w:val="00C15C25"/>
    <w:rPr>
      <w:b/>
      <w:bCs/>
    </w:rPr>
  </w:style>
  <w:style w:type="character" w:customStyle="1" w:styleId="apple-converted-space">
    <w:name w:val="apple-converted-space"/>
    <w:basedOn w:val="DefaultParagraphFont"/>
    <w:rsid w:val="00AB0505"/>
  </w:style>
  <w:style w:type="paragraph" w:styleId="ListParagraph">
    <w:name w:val="List Paragraph"/>
    <w:aliases w:val="List Paragraph1,Recommendation,List Paragraph11,O5,Para_sk,Resume Title,- Bullets,Equipment,Numbered Indented Text,Figure_name,Citation List,List Paragraph Char Char,Bullets,list1,b1,Number_1,Normal Sentence,Colorful List - Accent 11,new"/>
    <w:basedOn w:val="Normal"/>
    <w:link w:val="ListParagraphChar"/>
    <w:uiPriority w:val="34"/>
    <w:qFormat/>
    <w:rsid w:val="00565128"/>
    <w:pPr>
      <w:ind w:left="720"/>
      <w:contextualSpacing/>
    </w:pPr>
    <w:rPr>
      <w:rFonts w:asciiTheme="minorHAnsi" w:hAnsiTheme="minorHAnsi"/>
      <w:sz w:val="24"/>
      <w:lang w:val="en-GB"/>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Citation List Char,List Paragraph Char Char Char,b1 Char"/>
    <w:link w:val="ListParagraph"/>
    <w:uiPriority w:val="34"/>
    <w:qFormat/>
    <w:rsid w:val="00565128"/>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6-TDAG33-C-0013/" TargetMode="External"/><Relationship Id="rId21" Type="http://schemas.openxmlformats.org/officeDocument/2006/relationships/hyperlink" Target="https://www.itu.int/md/D26-TDAG33-C-0033/" TargetMode="External"/><Relationship Id="rId42" Type="http://schemas.openxmlformats.org/officeDocument/2006/relationships/hyperlink" Target="https://www.itu.int/md/D26-TDAG33-C-0040/" TargetMode="External"/><Relationship Id="rId47" Type="http://schemas.openxmlformats.org/officeDocument/2006/relationships/hyperlink" Target="https://www.itu.int/md/D26-TDAG33-C-0042/" TargetMode="External"/><Relationship Id="rId63" Type="http://schemas.openxmlformats.org/officeDocument/2006/relationships/hyperlink" Target="https://www.itu.int/md/D26-TDAG33-C-0044/" TargetMode="External"/><Relationship Id="rId68" Type="http://schemas.openxmlformats.org/officeDocument/2006/relationships/hyperlink" Target="https://www.itu.int/md/S25-CL-C-0069/" TargetMode="External"/><Relationship Id="rId84" Type="http://schemas.openxmlformats.org/officeDocument/2006/relationships/hyperlink" Target="https://www.itu.int/md/D26-TDAG33-C-0024/" TargetMode="External"/><Relationship Id="rId89" Type="http://schemas.openxmlformats.org/officeDocument/2006/relationships/hyperlink" Target="https://www.itu.int/md/D26-TDAG33-260407-TD-0003/" TargetMode="External"/><Relationship Id="rId112" Type="http://schemas.openxmlformats.org/officeDocument/2006/relationships/hyperlink" Target="https://www.itu.int/md/D26-TDAG33-C-0032/" TargetMode="External"/><Relationship Id="rId16" Type="http://schemas.openxmlformats.org/officeDocument/2006/relationships/hyperlink" Target="https://www.itu.int/md/D26-TDAG33-C-0001/" TargetMode="External"/><Relationship Id="rId107" Type="http://schemas.openxmlformats.org/officeDocument/2006/relationships/hyperlink" Target="https://www.itu.int/md/D26-TDAG33-C-0025/" TargetMode="External"/><Relationship Id="rId11" Type="http://schemas.openxmlformats.org/officeDocument/2006/relationships/image" Target="media/image1.jpeg"/><Relationship Id="rId32" Type="http://schemas.openxmlformats.org/officeDocument/2006/relationships/hyperlink" Target="https://www.itu.int/md/D26-TDAG33-C-0018/" TargetMode="External"/><Relationship Id="rId37" Type="http://schemas.openxmlformats.org/officeDocument/2006/relationships/hyperlink" Target="https://www.itu.int/md/D26-TDAG33-C-0034/" TargetMode="External"/><Relationship Id="rId53" Type="http://schemas.openxmlformats.org/officeDocument/2006/relationships/hyperlink" Target="https://www.itu.int/md/D26-TDAG33-C-0002/" TargetMode="External"/><Relationship Id="rId58" Type="http://schemas.openxmlformats.org/officeDocument/2006/relationships/hyperlink" Target="https://www.itu.int/md/D26-TDAG33-C-0008/" TargetMode="External"/><Relationship Id="rId74" Type="http://schemas.openxmlformats.org/officeDocument/2006/relationships/hyperlink" Target="https://www.itu.int/md/D26-TDAG33-260407-TD-0006/" TargetMode="External"/><Relationship Id="rId79" Type="http://schemas.openxmlformats.org/officeDocument/2006/relationships/hyperlink" Target="https://www.itu.int/md/D26-TDAG33-260407-TD-0007/" TargetMode="External"/><Relationship Id="rId102" Type="http://schemas.openxmlformats.org/officeDocument/2006/relationships/hyperlink" Target="https://www.itu.int/md/D26-TDAG33-260407-TD-0004/" TargetMode="External"/><Relationship Id="rId123" Type="http://schemas.openxmlformats.org/officeDocument/2006/relationships/hyperlink" Target="https://www.itu.int/md/D26-TDAG33-C-0015/" TargetMode="External"/><Relationship Id="rId128" Type="http://schemas.openxmlformats.org/officeDocument/2006/relationships/hyperlink" Target="https://youtu.be/rolczUW5bnU?si=OfWa6UliA6Ch2tbs" TargetMode="External"/><Relationship Id="rId5" Type="http://schemas.openxmlformats.org/officeDocument/2006/relationships/numbering" Target="numbering.xml"/><Relationship Id="rId90" Type="http://schemas.openxmlformats.org/officeDocument/2006/relationships/hyperlink" Target="https://www.itu.int/md/D26-TDAG33-C-0035/" TargetMode="External"/><Relationship Id="rId95" Type="http://schemas.openxmlformats.org/officeDocument/2006/relationships/hyperlink" Target="https://www.itu.int/md/D26-TDAG33-C-0026/" TargetMode="External"/><Relationship Id="rId22" Type="http://schemas.openxmlformats.org/officeDocument/2006/relationships/hyperlink" Target="https://www.itu.int/md/D26-TDAG33-C-0004/" TargetMode="External"/><Relationship Id="rId27" Type="http://schemas.openxmlformats.org/officeDocument/2006/relationships/hyperlink" Target="https://www.itu.int/md/D26-TDAG33-260407-TD-0005/" TargetMode="External"/><Relationship Id="rId43" Type="http://schemas.openxmlformats.org/officeDocument/2006/relationships/hyperlink" Target="https://www.itu.int/md/D26-TDAG33-C-0040/" TargetMode="External"/><Relationship Id="rId48" Type="http://schemas.openxmlformats.org/officeDocument/2006/relationships/hyperlink" Target="https://www.itu.int/md/D26-TDAG33-C-0047/" TargetMode="External"/><Relationship Id="rId64" Type="http://schemas.openxmlformats.org/officeDocument/2006/relationships/hyperlink" Target="https://www.itu.int/md/D26-TDAG33-C-0044/" TargetMode="External"/><Relationship Id="rId69" Type="http://schemas.openxmlformats.org/officeDocument/2006/relationships/hyperlink" Target="https://www.itu.int/md/S25-CL-C-0105/" TargetMode="External"/><Relationship Id="rId113" Type="http://schemas.openxmlformats.org/officeDocument/2006/relationships/hyperlink" Target="https://www.itu.int/md/D26-TDAG33-C-0032/" TargetMode="External"/><Relationship Id="rId118" Type="http://schemas.openxmlformats.org/officeDocument/2006/relationships/hyperlink" Target="https://www.itu.int/md/D26-TDAG33-C-0038/" TargetMode="External"/><Relationship Id="rId80" Type="http://schemas.openxmlformats.org/officeDocument/2006/relationships/hyperlink" Target="https://www.itu.int/md/D26-TDAG33-C-0023/" TargetMode="External"/><Relationship Id="rId85" Type="http://schemas.openxmlformats.org/officeDocument/2006/relationships/hyperlink" Target="https://www.itu.int/md/D26-TDAG33-C-0024/" TargetMode="External"/><Relationship Id="rId12" Type="http://schemas.openxmlformats.org/officeDocument/2006/relationships/hyperlink" Target="https://www.itu.int/en/ITU-D/bdt-director/Pages/Speeches.aspx?ItemID=600" TargetMode="External"/><Relationship Id="rId17" Type="http://schemas.openxmlformats.org/officeDocument/2006/relationships/hyperlink" Target="https://www.itu.int/md/D26-TDAG33-260407-TD-0001/" TargetMode="External"/><Relationship Id="rId33" Type="http://schemas.openxmlformats.org/officeDocument/2006/relationships/hyperlink" Target="https://www.itu.int/md/D26-TDAG33-C-0018/" TargetMode="External"/><Relationship Id="rId38" Type="http://schemas.openxmlformats.org/officeDocument/2006/relationships/hyperlink" Target="https://www.itu.int/md/D26-TDAG33-C-0046/" TargetMode="External"/><Relationship Id="rId59" Type="http://schemas.openxmlformats.org/officeDocument/2006/relationships/hyperlink" Target="https://www.itu.int/md/D26-TDAG33-C-0005/" TargetMode="External"/><Relationship Id="rId103" Type="http://schemas.openxmlformats.org/officeDocument/2006/relationships/hyperlink" Target="https://www.itu.int/md/D26-TDAG33-260407-TD-0004/" TargetMode="External"/><Relationship Id="rId108" Type="http://schemas.openxmlformats.org/officeDocument/2006/relationships/hyperlink" Target="https://www.itu.int/md/D26-TDAG33-C-0027/" TargetMode="External"/><Relationship Id="rId124" Type="http://schemas.openxmlformats.org/officeDocument/2006/relationships/hyperlink" Target="https://www.itu.int/md/D26-TDAG33-C-0007/" TargetMode="External"/><Relationship Id="rId129" Type="http://schemas.openxmlformats.org/officeDocument/2006/relationships/header" Target="header1.xml"/><Relationship Id="rId54" Type="http://schemas.openxmlformats.org/officeDocument/2006/relationships/hyperlink" Target="https://www.itu.int/md/D26-TDAG33-C-0017/" TargetMode="External"/><Relationship Id="rId70" Type="http://schemas.openxmlformats.org/officeDocument/2006/relationships/hyperlink" Target="https://www.itu.int/md/S25-CL-C-0069/" TargetMode="External"/><Relationship Id="rId75" Type="http://schemas.openxmlformats.org/officeDocument/2006/relationships/hyperlink" Target="https://www.itu.int/md/D26-TDAG33-C-0020/" TargetMode="External"/><Relationship Id="rId91" Type="http://schemas.openxmlformats.org/officeDocument/2006/relationships/hyperlink" Target="https://www.itu.int/md/D26-TDAG33-C-0035/" TargetMode="External"/><Relationship Id="rId96" Type="http://schemas.openxmlformats.org/officeDocument/2006/relationships/hyperlink" Target="https://www.itu.int/md/D26-TDAG33-C-002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md/D26-TDAG33-C-0004/" TargetMode="External"/><Relationship Id="rId28" Type="http://schemas.openxmlformats.org/officeDocument/2006/relationships/hyperlink" Target="https://www.itu.int/md/D26-TDAG33-C-0037/" TargetMode="External"/><Relationship Id="rId49" Type="http://schemas.openxmlformats.org/officeDocument/2006/relationships/hyperlink" Target="https://www.itu.int/md/D26-TDAG33-C-0047/" TargetMode="External"/><Relationship Id="rId114" Type="http://schemas.openxmlformats.org/officeDocument/2006/relationships/hyperlink" Target="https://www.itu.int/md/D26-TDAG33-C-0011/" TargetMode="External"/><Relationship Id="rId119" Type="http://schemas.openxmlformats.org/officeDocument/2006/relationships/hyperlink" Target="https://www.itu.int/md/D26-TDAG33-C-0038/" TargetMode="External"/><Relationship Id="rId44" Type="http://schemas.openxmlformats.org/officeDocument/2006/relationships/hyperlink" Target="https://www.itu.int/md/D26-TDAG33-C-0041/" TargetMode="External"/><Relationship Id="rId60" Type="http://schemas.openxmlformats.org/officeDocument/2006/relationships/hyperlink" Target="https://www.itu.int/md/D26-TDAG33-C-0006/" TargetMode="External"/><Relationship Id="rId65" Type="http://schemas.openxmlformats.org/officeDocument/2006/relationships/hyperlink" Target="https://www.itu.int/md/D26-TDAG33-C-0016/" TargetMode="External"/><Relationship Id="rId81" Type="http://schemas.openxmlformats.org/officeDocument/2006/relationships/hyperlink" Target="https://www.itu.int/md/D26-TDAG33-C-0023/" TargetMode="External"/><Relationship Id="rId86" Type="http://schemas.openxmlformats.org/officeDocument/2006/relationships/hyperlink" Target="https://www.itu.int/md/D26-TDAG33-260407-TD-0003/" TargetMode="External"/><Relationship Id="rId130" Type="http://schemas.openxmlformats.org/officeDocument/2006/relationships/footer" Target="footer1.xml"/><Relationship Id="rId13" Type="http://schemas.openxmlformats.org/officeDocument/2006/relationships/hyperlink" Target="https://www.itu.int/md/meetingdoc.asp?lang=en&amp;parent=D26-TDAG33-INF-0011" TargetMode="External"/><Relationship Id="rId18" Type="http://schemas.openxmlformats.org/officeDocument/2006/relationships/hyperlink" Target="https://www.itu.int/md/D26-TDAG33-C-0003/" TargetMode="External"/><Relationship Id="rId39" Type="http://schemas.openxmlformats.org/officeDocument/2006/relationships/hyperlink" Target="https://www.itu.int/md/D26-TDAG33-C-0046/" TargetMode="External"/><Relationship Id="rId109" Type="http://schemas.openxmlformats.org/officeDocument/2006/relationships/hyperlink" Target="https://www.itu.int/md/D26-TDAG33-C-0027/" TargetMode="External"/><Relationship Id="rId34" Type="http://schemas.openxmlformats.org/officeDocument/2006/relationships/hyperlink" Target="https://www.itu.int/md/D26-TDAG33-C-0022/" TargetMode="External"/><Relationship Id="rId50" Type="http://schemas.openxmlformats.org/officeDocument/2006/relationships/hyperlink" Target="https://www.itu.int/md/D26-TDAG33-C-0002/" TargetMode="External"/><Relationship Id="rId55" Type="http://schemas.openxmlformats.org/officeDocument/2006/relationships/hyperlink" Target="https://www.itu.int/md/D26-TDAG33-C-0017/" TargetMode="External"/><Relationship Id="rId76" Type="http://schemas.openxmlformats.org/officeDocument/2006/relationships/hyperlink" Target="https://www.itu.int/md/D26-TDAG33-C-0020/" TargetMode="External"/><Relationship Id="rId97" Type="http://schemas.openxmlformats.org/officeDocument/2006/relationships/hyperlink" Target="https://www.itu.int/md/D26-TDAG33-C-0028/" TargetMode="External"/><Relationship Id="rId104" Type="http://schemas.openxmlformats.org/officeDocument/2006/relationships/hyperlink" Target="https://www.itu.int/md/D26-TDAG33-C-0030/" TargetMode="External"/><Relationship Id="rId120" Type="http://schemas.openxmlformats.org/officeDocument/2006/relationships/hyperlink" Target="https://www.itu.int/md/D26-TDAG33-C-0014/" TargetMode="External"/><Relationship Id="rId125" Type="http://schemas.openxmlformats.org/officeDocument/2006/relationships/hyperlink" Target="https://www.itu.int/md/D26-TDAG33-260407-TD-0010/" TargetMode="External"/><Relationship Id="rId7" Type="http://schemas.openxmlformats.org/officeDocument/2006/relationships/settings" Target="settings.xml"/><Relationship Id="rId71" Type="http://schemas.openxmlformats.org/officeDocument/2006/relationships/hyperlink" Target="https://www.itu.int/md/D26-TDAG33-INF-0009/" TargetMode="External"/><Relationship Id="rId92" Type="http://schemas.openxmlformats.org/officeDocument/2006/relationships/hyperlink" Target="https://www.itu.int/md/D26-TDAG33-C-0036/" TargetMode="External"/><Relationship Id="rId2" Type="http://schemas.openxmlformats.org/officeDocument/2006/relationships/customXml" Target="../customXml/item2.xml"/><Relationship Id="rId29" Type="http://schemas.openxmlformats.org/officeDocument/2006/relationships/hyperlink" Target="https://www.itu.int/md/D26-TDAG33-C-0037/" TargetMode="External"/><Relationship Id="rId24" Type="http://schemas.openxmlformats.org/officeDocument/2006/relationships/hyperlink" Target="https://www.itu.int/md/D26-TDAG33-C-0019/" TargetMode="External"/><Relationship Id="rId40" Type="http://schemas.openxmlformats.org/officeDocument/2006/relationships/hyperlink" Target="https://www.itu.int/md/D26-TDAG33-C-0039/" TargetMode="External"/><Relationship Id="rId45" Type="http://schemas.openxmlformats.org/officeDocument/2006/relationships/hyperlink" Target="https://www.itu.int/md/D26-TDAG33-C-0041/" TargetMode="External"/><Relationship Id="rId66" Type="http://schemas.openxmlformats.org/officeDocument/2006/relationships/hyperlink" Target="https://www.itu.int/md/D26-TDAG33-C-0016/" TargetMode="External"/><Relationship Id="rId87" Type="http://schemas.openxmlformats.org/officeDocument/2006/relationships/hyperlink" Target="https://www.itu.int/md/D26-TDAG33-260407-TD-0003/" TargetMode="External"/><Relationship Id="rId110" Type="http://schemas.openxmlformats.org/officeDocument/2006/relationships/hyperlink" Target="https://www.itu.int/md/D26-TDAG33-C-0031/" TargetMode="External"/><Relationship Id="rId115" Type="http://schemas.openxmlformats.org/officeDocument/2006/relationships/hyperlink" Target="https://www.itu.int/md/D26-TDAG33-C-0011/" TargetMode="External"/><Relationship Id="rId131" Type="http://schemas.openxmlformats.org/officeDocument/2006/relationships/fontTable" Target="fontTable.xml"/><Relationship Id="rId61" Type="http://schemas.openxmlformats.org/officeDocument/2006/relationships/hyperlink" Target="https://www.itu.int/md/D26-TDAG33-C-0010/" TargetMode="External"/><Relationship Id="rId82" Type="http://schemas.openxmlformats.org/officeDocument/2006/relationships/hyperlink" Target="https://www.itu.int/md/D26-TDAG33-260407-TD-0003/" TargetMode="External"/><Relationship Id="rId19" Type="http://schemas.openxmlformats.org/officeDocument/2006/relationships/hyperlink" Target="https://www.itu.int/md/D26-TDAG33-C-0003/" TargetMode="External"/><Relationship Id="rId14" Type="http://schemas.openxmlformats.org/officeDocument/2006/relationships/hyperlink" Target="https://www.itu.int/en/ITU-D/bdt-director/Pages/Speeches.aspx?ItemID=600" TargetMode="External"/><Relationship Id="rId30" Type="http://schemas.openxmlformats.org/officeDocument/2006/relationships/hyperlink" Target="https://www.itu.int/md/D26-TDAG33-C-0045/" TargetMode="External"/><Relationship Id="rId35" Type="http://schemas.openxmlformats.org/officeDocument/2006/relationships/hyperlink" Target="https://www.itu.int/md/D26-TDAG33-C-0022/" TargetMode="External"/><Relationship Id="rId56" Type="http://schemas.openxmlformats.org/officeDocument/2006/relationships/hyperlink" Target="https://www.itu.int/md/D26-TDAG33-C-0043/" TargetMode="External"/><Relationship Id="rId77" Type="http://schemas.openxmlformats.org/officeDocument/2006/relationships/hyperlink" Target="https://www.itu.int/md/D26-TDAG33-C-0012/" TargetMode="External"/><Relationship Id="rId100" Type="http://schemas.openxmlformats.org/officeDocument/2006/relationships/hyperlink" Target="https://www.itu.int/md/D26-TDAG33-260407-TD-0004/" TargetMode="External"/><Relationship Id="rId105" Type="http://schemas.openxmlformats.org/officeDocument/2006/relationships/hyperlink" Target="https://www.itu.int/md/D26-TDAG33-C-0030/" TargetMode="External"/><Relationship Id="rId126" Type="http://schemas.openxmlformats.org/officeDocument/2006/relationships/hyperlink" Target="https://www.itu.int/md/D26-TDAG33-260407-TD-0010/" TargetMode="External"/><Relationship Id="rId8" Type="http://schemas.openxmlformats.org/officeDocument/2006/relationships/webSettings" Target="webSettings.xml"/><Relationship Id="rId51" Type="http://schemas.openxmlformats.org/officeDocument/2006/relationships/hyperlink" Target="https://www.itu.int/md/D26-TDAG33-C-0002/" TargetMode="External"/><Relationship Id="rId72" Type="http://schemas.openxmlformats.org/officeDocument/2006/relationships/hyperlink" Target="https://www.itu.int/md/D26-TDAG33-INF-0009/" TargetMode="External"/><Relationship Id="rId93" Type="http://schemas.openxmlformats.org/officeDocument/2006/relationships/hyperlink" Target="https://www.itu.int/md/D26-TDAG33-C-0036/" TargetMode="External"/><Relationship Id="rId98" Type="http://schemas.openxmlformats.org/officeDocument/2006/relationships/hyperlink" Target="https://www.itu.int/md/D26-TDAG33-C-0029/" TargetMode="External"/><Relationship Id="rId121" Type="http://schemas.openxmlformats.org/officeDocument/2006/relationships/hyperlink" Target="https://www.itu.int/md/D26-TDAG33-C-0014/" TargetMode="External"/><Relationship Id="rId3" Type="http://schemas.openxmlformats.org/officeDocument/2006/relationships/customXml" Target="../customXml/item3.xml"/><Relationship Id="rId25" Type="http://schemas.openxmlformats.org/officeDocument/2006/relationships/hyperlink" Target="https://www.itu.int/md/D26-TDAG33-C-0019/" TargetMode="External"/><Relationship Id="rId46" Type="http://schemas.openxmlformats.org/officeDocument/2006/relationships/hyperlink" Target="https://www.itu.int/md/D26-TDAG33-C-0042/" TargetMode="External"/><Relationship Id="rId67" Type="http://schemas.openxmlformats.org/officeDocument/2006/relationships/hyperlink" Target="https://www.itu.int/md/S25-CL-C-0105/" TargetMode="External"/><Relationship Id="rId116" Type="http://schemas.openxmlformats.org/officeDocument/2006/relationships/hyperlink" Target="https://www.itu.int/md/D26-TDAG33-C-0013/" TargetMode="External"/><Relationship Id="rId20" Type="http://schemas.openxmlformats.org/officeDocument/2006/relationships/hyperlink" Target="https://www.itu.int/md/D26-TDAG33-C-0033/" TargetMode="External"/><Relationship Id="rId41" Type="http://schemas.openxmlformats.org/officeDocument/2006/relationships/hyperlink" Target="https://www.itu.int/md/D26-TDAG33-C-0039/" TargetMode="External"/><Relationship Id="rId62" Type="http://schemas.openxmlformats.org/officeDocument/2006/relationships/hyperlink" Target="https://www.itu.int/md/D26-TDAG33-C-0021/" TargetMode="External"/><Relationship Id="rId83" Type="http://schemas.openxmlformats.org/officeDocument/2006/relationships/hyperlink" Target="https://www.itu.int/md/D26-TDAG33-260407-TD-0003/" TargetMode="External"/><Relationship Id="rId88" Type="http://schemas.openxmlformats.org/officeDocument/2006/relationships/hyperlink" Target="https://www.itu.int/md/D26-TDAG33-260407-TD-0003/" TargetMode="External"/><Relationship Id="rId111" Type="http://schemas.openxmlformats.org/officeDocument/2006/relationships/hyperlink" Target="https://www.itu.int/md/D26-TDAG33-C-0031/" TargetMode="External"/><Relationship Id="rId132" Type="http://schemas.openxmlformats.org/officeDocument/2006/relationships/theme" Target="theme/theme1.xml"/><Relationship Id="rId15" Type="http://schemas.openxmlformats.org/officeDocument/2006/relationships/hyperlink" Target="https://www.itu.int/md/meetingdoc.asp?lang=en&amp;parent=D26-TDAG33-INF-0011" TargetMode="External"/><Relationship Id="rId36" Type="http://schemas.openxmlformats.org/officeDocument/2006/relationships/hyperlink" Target="https://www.itu.int/md/D26-TDAG33-C-0034/" TargetMode="External"/><Relationship Id="rId57" Type="http://schemas.openxmlformats.org/officeDocument/2006/relationships/hyperlink" Target="https://www.itu.int/md/D26-TDAG33-C-0043/" TargetMode="External"/><Relationship Id="rId106" Type="http://schemas.openxmlformats.org/officeDocument/2006/relationships/hyperlink" Target="https://www.itu.int/md/D26-TDAG33-C-0025/" TargetMode="External"/><Relationship Id="rId127" Type="http://schemas.openxmlformats.org/officeDocument/2006/relationships/hyperlink" Target="https://youtu.be/rolczUW5bnU?si=OfWa6UliA6Ch2tbs" TargetMode="External"/><Relationship Id="rId10" Type="http://schemas.openxmlformats.org/officeDocument/2006/relationships/endnotes" Target="endnotes.xml"/><Relationship Id="rId31" Type="http://schemas.openxmlformats.org/officeDocument/2006/relationships/hyperlink" Target="https://www.itu.int/md/D26-TDAG33-C-0045/" TargetMode="External"/><Relationship Id="rId52" Type="http://schemas.openxmlformats.org/officeDocument/2006/relationships/hyperlink" Target="https://www.itu.int/md/D26-TDAG33-C-0002/" TargetMode="External"/><Relationship Id="rId73" Type="http://schemas.openxmlformats.org/officeDocument/2006/relationships/hyperlink" Target="https://www.itu.int/md/D26-TDAG33-260407-TD-0006/" TargetMode="External"/><Relationship Id="rId78" Type="http://schemas.openxmlformats.org/officeDocument/2006/relationships/hyperlink" Target="https://www.itu.int/md/D26-TDAG33-260407-TD-0007/" TargetMode="External"/><Relationship Id="rId94" Type="http://schemas.openxmlformats.org/officeDocument/2006/relationships/hyperlink" Target="https://www.itu.int/md/D26-TDAG33-C-0026/" TargetMode="External"/><Relationship Id="rId99" Type="http://schemas.openxmlformats.org/officeDocument/2006/relationships/hyperlink" Target="https://www.itu.int/md/D26-TDAG33-C-0029/" TargetMode="External"/><Relationship Id="rId101" Type="http://schemas.openxmlformats.org/officeDocument/2006/relationships/hyperlink" Target="https://www.itu.int/md/D26-TDAG33-260407-TD-0004/" TargetMode="External"/><Relationship Id="rId122" Type="http://schemas.openxmlformats.org/officeDocument/2006/relationships/hyperlink" Target="https://www.itu.int/md/D26-TDAG33-C-0015/"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md/D26-TDAG33-260407-TD-00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essou.regina@artc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501DE73B-BE86-46B1-A4A2-0955836D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39</Pages>
  <Words>18705</Words>
  <Characters>114481</Characters>
  <Application>Microsoft Office Word</Application>
  <DocSecurity>0</DocSecurity>
  <Lines>1788</Lines>
  <Paragraphs>679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
  <LinksUpToDate>false</LinksUpToDate>
  <CharactersWithSpaces>132507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FE</cp:lastModifiedBy>
  <cp:revision>10</cp:revision>
  <cp:lastPrinted>2019-01-16T07:57:00Z</cp:lastPrinted>
  <dcterms:created xsi:type="dcterms:W3CDTF">2026-05-13T14:26:00Z</dcterms:created>
  <dcterms:modified xsi:type="dcterms:W3CDTF">2026-05-15T12:55:00Z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