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1" w:rightFromText="181" w:horzAnchor="margin" w:tblpY="-492"/>
        <w:tblW w:w="10031" w:type="dxa"/>
        <w:tblLayout w:type="fixed"/>
        <w:tblLook w:val="0000" w:firstRow="0" w:lastRow="0" w:firstColumn="0" w:lastColumn="0" w:noHBand="0" w:noVBand="0"/>
      </w:tblPr>
      <w:tblGrid>
        <w:gridCol w:w="6663"/>
        <w:gridCol w:w="3368"/>
      </w:tblGrid>
      <w:tr w:rsidR="00294BF6" w:rsidRPr="00441513" w14:paraId="5736F9B6" w14:textId="77777777" w:rsidTr="005C3173">
        <w:trPr>
          <w:cantSplit/>
          <w:trHeight w:val="1134"/>
        </w:trPr>
        <w:tc>
          <w:tcPr>
            <w:tcW w:w="6663" w:type="dxa"/>
          </w:tcPr>
          <w:p w14:paraId="34B2B704" w14:textId="27B75579" w:rsidR="00294BF6" w:rsidRPr="00441513" w:rsidRDefault="00025801" w:rsidP="00294BF6">
            <w:pPr>
              <w:ind w:left="34"/>
              <w:rPr>
                <w:b/>
                <w:bCs/>
                <w:sz w:val="32"/>
                <w:szCs w:val="32"/>
                <w:lang w:val="es-ES"/>
              </w:rPr>
            </w:pPr>
            <w:r w:rsidRPr="00441513">
              <w:rPr>
                <w:b/>
                <w:bCs/>
                <w:sz w:val="32"/>
                <w:szCs w:val="32"/>
                <w:lang w:val="es-ES"/>
              </w:rPr>
              <w:t>Grupo Asesor de Desarrollo de las</w:t>
            </w:r>
            <w:r w:rsidRPr="00441513">
              <w:rPr>
                <w:b/>
                <w:bCs/>
                <w:sz w:val="32"/>
                <w:szCs w:val="32"/>
                <w:lang w:val="es-ES"/>
              </w:rPr>
              <w:br/>
              <w:t>Telecomunicaciones</w:t>
            </w:r>
            <w:r w:rsidR="00294BF6" w:rsidRPr="00441513">
              <w:rPr>
                <w:b/>
                <w:bCs/>
                <w:sz w:val="32"/>
                <w:szCs w:val="32"/>
                <w:lang w:val="es-ES"/>
              </w:rPr>
              <w:t xml:space="preserve"> (</w:t>
            </w:r>
            <w:r w:rsidRPr="00441513">
              <w:rPr>
                <w:b/>
                <w:bCs/>
                <w:sz w:val="32"/>
                <w:szCs w:val="32"/>
                <w:lang w:val="es-ES"/>
              </w:rPr>
              <w:t>GADT</w:t>
            </w:r>
            <w:r w:rsidR="00294BF6" w:rsidRPr="00441513">
              <w:rPr>
                <w:b/>
                <w:bCs/>
                <w:sz w:val="32"/>
                <w:szCs w:val="32"/>
                <w:lang w:val="es-ES"/>
              </w:rPr>
              <w:t>)</w:t>
            </w:r>
          </w:p>
          <w:p w14:paraId="2DCF59CB" w14:textId="56D887B7" w:rsidR="00294BF6" w:rsidRPr="00441513" w:rsidRDefault="006A7603" w:rsidP="00426222">
            <w:pPr>
              <w:tabs>
                <w:tab w:val="clear" w:pos="1134"/>
              </w:tabs>
              <w:spacing w:after="48" w:line="240" w:lineRule="atLeast"/>
              <w:ind w:left="34"/>
              <w:rPr>
                <w:b/>
                <w:bCs/>
                <w:sz w:val="26"/>
                <w:szCs w:val="26"/>
                <w:lang w:val="es-ES"/>
              </w:rPr>
            </w:pPr>
            <w:r w:rsidRPr="00441513">
              <w:rPr>
                <w:b/>
                <w:bCs/>
                <w:sz w:val="26"/>
                <w:szCs w:val="26"/>
                <w:lang w:val="es-ES"/>
              </w:rPr>
              <w:t>33</w:t>
            </w:r>
            <w:r w:rsidR="00B06557" w:rsidRPr="00441513">
              <w:rPr>
                <w:b/>
                <w:bCs/>
                <w:sz w:val="26"/>
                <w:szCs w:val="26"/>
                <w:lang w:val="es-ES"/>
              </w:rPr>
              <w:t>.</w:t>
            </w:r>
            <w:r w:rsidRPr="00441513">
              <w:rPr>
                <w:b/>
                <w:bCs/>
                <w:sz w:val="26"/>
                <w:szCs w:val="26"/>
                <w:lang w:val="es-ES"/>
              </w:rPr>
              <w:t>ª reunión</w:t>
            </w:r>
            <w:r w:rsidR="00294BF6" w:rsidRPr="00441513">
              <w:rPr>
                <w:b/>
                <w:bCs/>
                <w:sz w:val="26"/>
                <w:szCs w:val="26"/>
                <w:lang w:val="es-ES"/>
              </w:rPr>
              <w:t>, G</w:t>
            </w:r>
            <w:r w:rsidRPr="00441513">
              <w:rPr>
                <w:b/>
                <w:bCs/>
                <w:sz w:val="26"/>
                <w:szCs w:val="26"/>
                <w:lang w:val="es-ES"/>
              </w:rPr>
              <w:t>inebra</w:t>
            </w:r>
            <w:r w:rsidR="00426222" w:rsidRPr="00441513">
              <w:rPr>
                <w:b/>
                <w:bCs/>
                <w:sz w:val="26"/>
                <w:szCs w:val="26"/>
                <w:lang w:val="es-ES"/>
              </w:rPr>
              <w:t xml:space="preserve"> </w:t>
            </w:r>
            <w:r w:rsidR="00B06557" w:rsidRPr="00441513">
              <w:rPr>
                <w:b/>
                <w:bCs/>
                <w:sz w:val="26"/>
                <w:szCs w:val="26"/>
                <w:lang w:val="es-ES"/>
              </w:rPr>
              <w:t>(</w:t>
            </w:r>
            <w:r w:rsidRPr="00441513">
              <w:rPr>
                <w:b/>
                <w:bCs/>
                <w:sz w:val="26"/>
                <w:szCs w:val="26"/>
                <w:lang w:val="es-ES"/>
              </w:rPr>
              <w:t>Suiza</w:t>
            </w:r>
            <w:r w:rsidR="00B06557" w:rsidRPr="00441513">
              <w:rPr>
                <w:b/>
                <w:bCs/>
                <w:sz w:val="26"/>
                <w:szCs w:val="26"/>
                <w:lang w:val="es-ES"/>
              </w:rPr>
              <w:t>)</w:t>
            </w:r>
            <w:r w:rsidR="00294BF6" w:rsidRPr="00441513">
              <w:rPr>
                <w:b/>
                <w:bCs/>
                <w:sz w:val="26"/>
                <w:szCs w:val="26"/>
                <w:lang w:val="es-ES"/>
              </w:rPr>
              <w:t xml:space="preserve">, </w:t>
            </w:r>
            <w:r w:rsidR="00EF4D25" w:rsidRPr="00441513">
              <w:rPr>
                <w:b/>
                <w:bCs/>
                <w:sz w:val="26"/>
                <w:szCs w:val="26"/>
                <w:lang w:val="es-ES"/>
              </w:rPr>
              <w:t>7</w:t>
            </w:r>
            <w:r w:rsidR="00294BF6" w:rsidRPr="00441513">
              <w:rPr>
                <w:b/>
                <w:bCs/>
                <w:sz w:val="26"/>
                <w:szCs w:val="26"/>
                <w:lang w:val="es-ES"/>
              </w:rPr>
              <w:t>-</w:t>
            </w:r>
            <w:r w:rsidR="00EF4D25" w:rsidRPr="00441513">
              <w:rPr>
                <w:b/>
                <w:bCs/>
                <w:sz w:val="26"/>
                <w:szCs w:val="26"/>
                <w:lang w:val="es-ES"/>
              </w:rPr>
              <w:t>10</w:t>
            </w:r>
            <w:r w:rsidR="00294BF6" w:rsidRPr="00441513">
              <w:rPr>
                <w:b/>
                <w:bCs/>
                <w:sz w:val="26"/>
                <w:szCs w:val="26"/>
                <w:lang w:val="es-ES"/>
              </w:rPr>
              <w:t xml:space="preserve"> </w:t>
            </w:r>
            <w:r w:rsidRPr="00441513">
              <w:rPr>
                <w:b/>
                <w:bCs/>
                <w:sz w:val="26"/>
                <w:szCs w:val="26"/>
                <w:lang w:val="es-ES"/>
              </w:rPr>
              <w:t>de abril de 2026</w:t>
            </w:r>
          </w:p>
        </w:tc>
        <w:tc>
          <w:tcPr>
            <w:tcW w:w="3368" w:type="dxa"/>
          </w:tcPr>
          <w:p w14:paraId="06B48AA1" w14:textId="516DD633" w:rsidR="00294BF6" w:rsidRPr="00441513" w:rsidRDefault="00294BF6" w:rsidP="00294BF6">
            <w:pPr>
              <w:spacing w:line="240" w:lineRule="atLeast"/>
              <w:jc w:val="right"/>
              <w:rPr>
                <w:rFonts w:cstheme="minorHAnsi"/>
                <w:lang w:val="es-ES"/>
              </w:rPr>
            </w:pPr>
            <w:bookmarkStart w:id="0" w:name="ditulogo"/>
            <w:bookmarkEnd w:id="0"/>
            <w:r w:rsidRPr="00441513">
              <w:rPr>
                <w:noProof/>
                <w:lang w:val="es-ES" w:eastAsia="fr-FR"/>
              </w:rPr>
              <w:drawing>
                <wp:inline distT="0" distB="0" distL="0" distR="0" wp14:anchorId="7DBF473A" wp14:editId="2E1C8112">
                  <wp:extent cx="712470" cy="785495"/>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2470" cy="785495"/>
                          </a:xfrm>
                          <a:prstGeom prst="rect">
                            <a:avLst/>
                          </a:prstGeom>
                        </pic:spPr>
                      </pic:pic>
                    </a:graphicData>
                  </a:graphic>
                </wp:inline>
              </w:drawing>
            </w:r>
          </w:p>
        </w:tc>
      </w:tr>
      <w:tr w:rsidR="00D83BF5" w:rsidRPr="00441513" w14:paraId="6DE5ABA3" w14:textId="77777777" w:rsidTr="005C3173">
        <w:trPr>
          <w:cantSplit/>
        </w:trPr>
        <w:tc>
          <w:tcPr>
            <w:tcW w:w="6663" w:type="dxa"/>
            <w:tcBorders>
              <w:top w:val="single" w:sz="12" w:space="0" w:color="auto"/>
            </w:tcBorders>
          </w:tcPr>
          <w:p w14:paraId="73168FEF" w14:textId="77777777" w:rsidR="00D83BF5" w:rsidRPr="00441513" w:rsidRDefault="00D83BF5" w:rsidP="00B06557">
            <w:pPr>
              <w:spacing w:before="0"/>
              <w:rPr>
                <w:lang w:val="es-ES"/>
              </w:rPr>
            </w:pPr>
            <w:bookmarkStart w:id="1" w:name="dhead"/>
          </w:p>
        </w:tc>
        <w:tc>
          <w:tcPr>
            <w:tcW w:w="3368" w:type="dxa"/>
            <w:tcBorders>
              <w:top w:val="single" w:sz="12" w:space="0" w:color="auto"/>
            </w:tcBorders>
          </w:tcPr>
          <w:p w14:paraId="439CB557" w14:textId="716EF333" w:rsidR="00D83BF5" w:rsidRPr="00441513" w:rsidRDefault="00D83BF5" w:rsidP="00B06557">
            <w:pPr>
              <w:spacing w:before="0"/>
              <w:rPr>
                <w:lang w:val="es-ES"/>
              </w:rPr>
            </w:pPr>
          </w:p>
        </w:tc>
      </w:tr>
      <w:tr w:rsidR="00D87035" w:rsidRPr="00441513" w14:paraId="02BC550A" w14:textId="77777777" w:rsidTr="005C3173">
        <w:trPr>
          <w:cantSplit/>
          <w:trHeight w:val="23"/>
        </w:trPr>
        <w:tc>
          <w:tcPr>
            <w:tcW w:w="6663" w:type="dxa"/>
          </w:tcPr>
          <w:p w14:paraId="1EF66EAC" w14:textId="77777777" w:rsidR="00D87035" w:rsidRPr="00441513" w:rsidRDefault="00D87035" w:rsidP="00403C69">
            <w:pPr>
              <w:pStyle w:val="Committee"/>
              <w:framePr w:hSpace="0" w:wrap="auto" w:hAnchor="text" w:yAlign="inline"/>
              <w:rPr>
                <w:lang w:val="es-ES"/>
              </w:rPr>
            </w:pPr>
            <w:bookmarkStart w:id="2" w:name="dnum" w:colFirst="1" w:colLast="1"/>
            <w:bookmarkStart w:id="3" w:name="dmeeting" w:colFirst="0" w:colLast="0"/>
            <w:bookmarkEnd w:id="1"/>
          </w:p>
        </w:tc>
        <w:tc>
          <w:tcPr>
            <w:tcW w:w="3368" w:type="dxa"/>
          </w:tcPr>
          <w:p w14:paraId="6F008A08" w14:textId="5B2C8F79" w:rsidR="00D87035" w:rsidRPr="00441513" w:rsidRDefault="00D87035" w:rsidP="00403C69">
            <w:pPr>
              <w:tabs>
                <w:tab w:val="left" w:pos="851"/>
              </w:tabs>
              <w:spacing w:before="0" w:line="240" w:lineRule="atLeast"/>
              <w:rPr>
                <w:rFonts w:cstheme="minorHAnsi"/>
                <w:szCs w:val="24"/>
                <w:lang w:val="es-ES"/>
              </w:rPr>
            </w:pPr>
            <w:r w:rsidRPr="00441513">
              <w:rPr>
                <w:b/>
                <w:bCs/>
                <w:lang w:val="es-ES"/>
              </w:rPr>
              <w:t>Document</w:t>
            </w:r>
            <w:bookmarkStart w:id="4" w:name="DocRef1"/>
            <w:bookmarkEnd w:id="4"/>
            <w:r w:rsidR="006A7603" w:rsidRPr="00441513">
              <w:rPr>
                <w:b/>
                <w:bCs/>
                <w:lang w:val="es-ES"/>
              </w:rPr>
              <w:t>o</w:t>
            </w:r>
            <w:r w:rsidR="001A2AB4" w:rsidRPr="00441513">
              <w:rPr>
                <w:b/>
                <w:bCs/>
                <w:lang w:val="es-ES"/>
              </w:rPr>
              <w:t xml:space="preserve"> </w:t>
            </w:r>
            <w:r w:rsidRPr="00441513">
              <w:rPr>
                <w:b/>
                <w:bCs/>
                <w:lang w:val="es-ES"/>
              </w:rPr>
              <w:t>TDAG-</w:t>
            </w:r>
            <w:r w:rsidR="00523934" w:rsidRPr="00441513">
              <w:rPr>
                <w:b/>
                <w:bCs/>
                <w:lang w:val="es-ES"/>
              </w:rPr>
              <w:t>2</w:t>
            </w:r>
            <w:r w:rsidR="00EF4D25" w:rsidRPr="00441513">
              <w:rPr>
                <w:b/>
                <w:bCs/>
                <w:lang w:val="es-ES"/>
              </w:rPr>
              <w:t>6</w:t>
            </w:r>
            <w:r w:rsidRPr="00441513">
              <w:rPr>
                <w:b/>
                <w:bCs/>
                <w:lang w:val="es-ES"/>
              </w:rPr>
              <w:t>/</w:t>
            </w:r>
            <w:bookmarkStart w:id="5" w:name="DocNo1"/>
            <w:bookmarkEnd w:id="5"/>
            <w:r w:rsidR="00546D05" w:rsidRPr="00441513">
              <w:rPr>
                <w:b/>
                <w:bCs/>
                <w:lang w:val="es-ES"/>
              </w:rPr>
              <w:t>22</w:t>
            </w:r>
            <w:r w:rsidRPr="00441513">
              <w:rPr>
                <w:b/>
                <w:bCs/>
                <w:lang w:val="es-ES"/>
              </w:rPr>
              <w:t>-</w:t>
            </w:r>
            <w:r w:rsidR="001A2AB4" w:rsidRPr="00441513">
              <w:rPr>
                <w:b/>
                <w:bCs/>
                <w:lang w:val="es-ES"/>
              </w:rPr>
              <w:t>S</w:t>
            </w:r>
          </w:p>
        </w:tc>
      </w:tr>
      <w:tr w:rsidR="00D87035" w:rsidRPr="00441513" w14:paraId="55AD5FBA" w14:textId="77777777" w:rsidTr="005C3173">
        <w:trPr>
          <w:cantSplit/>
          <w:trHeight w:val="23"/>
        </w:trPr>
        <w:tc>
          <w:tcPr>
            <w:tcW w:w="6663" w:type="dxa"/>
          </w:tcPr>
          <w:p w14:paraId="0E170520" w14:textId="77777777" w:rsidR="00D87035" w:rsidRPr="00441513" w:rsidRDefault="00D87035" w:rsidP="00B06557">
            <w:pPr>
              <w:spacing w:before="0"/>
              <w:rPr>
                <w:lang w:val="es-ES"/>
              </w:rPr>
            </w:pPr>
            <w:bookmarkStart w:id="6" w:name="ddate" w:colFirst="1" w:colLast="1"/>
            <w:bookmarkStart w:id="7" w:name="dblank" w:colFirst="0" w:colLast="0"/>
            <w:bookmarkEnd w:id="2"/>
            <w:bookmarkEnd w:id="3"/>
          </w:p>
        </w:tc>
        <w:tc>
          <w:tcPr>
            <w:tcW w:w="3368" w:type="dxa"/>
          </w:tcPr>
          <w:p w14:paraId="242C61B7" w14:textId="5FFA52FB" w:rsidR="00D87035" w:rsidRPr="00441513" w:rsidRDefault="00546D05" w:rsidP="00B06557">
            <w:pPr>
              <w:tabs>
                <w:tab w:val="left" w:pos="851"/>
              </w:tabs>
              <w:spacing w:before="0" w:line="240" w:lineRule="atLeast"/>
              <w:rPr>
                <w:rFonts w:cstheme="minorHAnsi"/>
                <w:szCs w:val="24"/>
                <w:lang w:val="es-ES"/>
              </w:rPr>
            </w:pPr>
            <w:r w:rsidRPr="00441513">
              <w:rPr>
                <w:b/>
                <w:bCs/>
                <w:lang w:val="es-ES"/>
              </w:rPr>
              <w:t>3</w:t>
            </w:r>
            <w:r w:rsidR="001A2AB4" w:rsidRPr="00441513">
              <w:rPr>
                <w:b/>
                <w:bCs/>
                <w:lang w:val="es-ES"/>
              </w:rPr>
              <w:t xml:space="preserve"> de</w:t>
            </w:r>
            <w:r w:rsidR="0081159E" w:rsidRPr="00441513">
              <w:rPr>
                <w:b/>
                <w:bCs/>
                <w:lang w:val="es-ES"/>
              </w:rPr>
              <w:t xml:space="preserve"> </w:t>
            </w:r>
            <w:r w:rsidRPr="00441513">
              <w:rPr>
                <w:b/>
                <w:bCs/>
                <w:lang w:val="es-ES"/>
              </w:rPr>
              <w:t>marzo</w:t>
            </w:r>
            <w:r w:rsidR="0081159E" w:rsidRPr="00441513">
              <w:rPr>
                <w:b/>
                <w:bCs/>
                <w:lang w:val="es-ES"/>
              </w:rPr>
              <w:t xml:space="preserve"> </w:t>
            </w:r>
            <w:r w:rsidR="001A2AB4" w:rsidRPr="00441513">
              <w:rPr>
                <w:b/>
                <w:bCs/>
                <w:lang w:val="es-ES"/>
              </w:rPr>
              <w:t xml:space="preserve">de </w:t>
            </w:r>
            <w:r w:rsidR="002955DA" w:rsidRPr="00441513">
              <w:rPr>
                <w:b/>
                <w:bCs/>
                <w:lang w:val="es-ES"/>
              </w:rPr>
              <w:t>202</w:t>
            </w:r>
            <w:r w:rsidR="00EF4D25" w:rsidRPr="00441513">
              <w:rPr>
                <w:b/>
                <w:bCs/>
                <w:lang w:val="es-ES"/>
              </w:rPr>
              <w:t>6</w:t>
            </w:r>
          </w:p>
        </w:tc>
      </w:tr>
      <w:bookmarkEnd w:id="6"/>
      <w:bookmarkEnd w:id="7"/>
      <w:tr w:rsidR="00D87035" w:rsidRPr="00441513" w14:paraId="07260C0B" w14:textId="77777777" w:rsidTr="005C3173">
        <w:trPr>
          <w:cantSplit/>
          <w:trHeight w:val="23"/>
        </w:trPr>
        <w:tc>
          <w:tcPr>
            <w:tcW w:w="6663" w:type="dxa"/>
          </w:tcPr>
          <w:p w14:paraId="773E4FE3" w14:textId="77777777" w:rsidR="00D87035" w:rsidRPr="00441513" w:rsidRDefault="00D87035" w:rsidP="00B06557">
            <w:pPr>
              <w:spacing w:before="0"/>
              <w:rPr>
                <w:lang w:val="es-ES"/>
              </w:rPr>
            </w:pPr>
          </w:p>
        </w:tc>
        <w:tc>
          <w:tcPr>
            <w:tcW w:w="3368" w:type="dxa"/>
          </w:tcPr>
          <w:p w14:paraId="2C8BB831" w14:textId="23C0B400" w:rsidR="00D87035" w:rsidRPr="00441513" w:rsidRDefault="00D87035" w:rsidP="00B06557">
            <w:pPr>
              <w:tabs>
                <w:tab w:val="left" w:pos="851"/>
              </w:tabs>
              <w:spacing w:before="0" w:line="240" w:lineRule="atLeast"/>
              <w:rPr>
                <w:rFonts w:cstheme="minorHAnsi"/>
                <w:b/>
                <w:szCs w:val="24"/>
                <w:lang w:val="es-ES"/>
              </w:rPr>
            </w:pPr>
            <w:r w:rsidRPr="00441513">
              <w:rPr>
                <w:b/>
                <w:bCs/>
                <w:lang w:val="es-ES"/>
              </w:rPr>
              <w:t xml:space="preserve">Original: </w:t>
            </w:r>
            <w:r w:rsidR="001A2AB4" w:rsidRPr="00441513">
              <w:rPr>
                <w:b/>
                <w:bCs/>
                <w:lang w:val="es-ES"/>
              </w:rPr>
              <w:t>inglés</w:t>
            </w:r>
          </w:p>
        </w:tc>
      </w:tr>
      <w:tr w:rsidR="00D83BF5" w:rsidRPr="00441513" w14:paraId="35F96F24" w14:textId="77777777" w:rsidTr="00D87035">
        <w:trPr>
          <w:cantSplit/>
          <w:trHeight w:val="23"/>
        </w:trPr>
        <w:tc>
          <w:tcPr>
            <w:tcW w:w="10031" w:type="dxa"/>
            <w:gridSpan w:val="2"/>
          </w:tcPr>
          <w:p w14:paraId="59A8A61C" w14:textId="1F991AA1" w:rsidR="00D83BF5" w:rsidRPr="00441513" w:rsidRDefault="00546D05" w:rsidP="00403C69">
            <w:pPr>
              <w:pStyle w:val="Source"/>
              <w:spacing w:before="240" w:after="240"/>
              <w:rPr>
                <w:lang w:val="es-ES"/>
              </w:rPr>
            </w:pPr>
            <w:bookmarkStart w:id="8" w:name="dbluepink" w:colFirst="0" w:colLast="0"/>
            <w:bookmarkStart w:id="9" w:name="dorlang" w:colFirst="1" w:colLast="1"/>
            <w:r w:rsidRPr="00441513">
              <w:rPr>
                <w:lang w:val="es-ES"/>
              </w:rPr>
              <w:t>Director de la Oficina de Desarrollo de las Telecomunicaciones</w:t>
            </w:r>
          </w:p>
        </w:tc>
      </w:tr>
      <w:tr w:rsidR="00D83BF5" w:rsidRPr="00441513" w14:paraId="7EDE1565" w14:textId="77777777" w:rsidTr="00D87035">
        <w:trPr>
          <w:cantSplit/>
          <w:trHeight w:val="23"/>
        </w:trPr>
        <w:tc>
          <w:tcPr>
            <w:tcW w:w="10031" w:type="dxa"/>
            <w:gridSpan w:val="2"/>
            <w:vAlign w:val="center"/>
          </w:tcPr>
          <w:p w14:paraId="3D29924B" w14:textId="390F3DCE" w:rsidR="00D83BF5" w:rsidRPr="00441513" w:rsidRDefault="00546D05" w:rsidP="00B06557">
            <w:pPr>
              <w:pStyle w:val="Title1"/>
              <w:spacing w:before="120" w:after="120"/>
              <w:rPr>
                <w:lang w:val="es-ES"/>
              </w:rPr>
            </w:pPr>
            <w:r w:rsidRPr="00441513">
              <w:rPr>
                <w:rFonts w:eastAsia="Calibri" w:cstheme="minorBidi"/>
                <w:szCs w:val="28"/>
                <w:lang w:val="es-ES"/>
              </w:rPr>
              <w:t>Informe sobre los resultados de la CMDT-25 pertinentes para los países menos adelantados (PMA), los países en desarrollo sin litoral (PDSL)</w:t>
            </w:r>
            <w:r w:rsidR="00307A39" w:rsidRPr="00441513">
              <w:rPr>
                <w:rFonts w:eastAsia="Calibri" w:cstheme="minorBidi"/>
                <w:szCs w:val="28"/>
                <w:lang w:val="es-ES"/>
              </w:rPr>
              <w:br/>
            </w:r>
            <w:r w:rsidRPr="00441513">
              <w:rPr>
                <w:rFonts w:eastAsia="Calibri" w:cstheme="minorBidi"/>
                <w:szCs w:val="28"/>
                <w:lang w:val="es-ES"/>
              </w:rPr>
              <w:t>y</w:t>
            </w:r>
            <w:r w:rsidR="00307A39" w:rsidRPr="00441513">
              <w:rPr>
                <w:rFonts w:eastAsia="Calibri" w:cstheme="minorBidi"/>
                <w:szCs w:val="28"/>
                <w:lang w:val="es-ES"/>
              </w:rPr>
              <w:t xml:space="preserve"> </w:t>
            </w:r>
            <w:r w:rsidRPr="00441513">
              <w:rPr>
                <w:rFonts w:eastAsia="Calibri" w:cstheme="minorBidi"/>
                <w:szCs w:val="28"/>
                <w:lang w:val="es-ES"/>
              </w:rPr>
              <w:t>los pequeños Estados insulares en desarrollo (PEID)</w:t>
            </w:r>
          </w:p>
        </w:tc>
      </w:tr>
      <w:tr w:rsidR="00D83BF5" w:rsidRPr="00441513" w14:paraId="5B2B3E5A" w14:textId="77777777" w:rsidTr="00D87035">
        <w:trPr>
          <w:cantSplit/>
          <w:trHeight w:val="23"/>
        </w:trPr>
        <w:tc>
          <w:tcPr>
            <w:tcW w:w="10031" w:type="dxa"/>
            <w:gridSpan w:val="2"/>
            <w:tcBorders>
              <w:bottom w:val="single" w:sz="4" w:space="0" w:color="auto"/>
            </w:tcBorders>
          </w:tcPr>
          <w:p w14:paraId="28E7AED7" w14:textId="77777777" w:rsidR="00D83BF5" w:rsidRPr="00441513" w:rsidRDefault="00D83BF5" w:rsidP="00B06557">
            <w:pPr>
              <w:pStyle w:val="Title1"/>
              <w:spacing w:before="120" w:after="120"/>
              <w:jc w:val="left"/>
              <w:rPr>
                <w:lang w:val="es-ES"/>
              </w:rPr>
            </w:pPr>
          </w:p>
        </w:tc>
      </w:tr>
      <w:tr w:rsidR="001E252D" w:rsidRPr="00441513" w14:paraId="6C9BA039" w14:textId="77777777" w:rsidTr="00D87035">
        <w:trPr>
          <w:cantSplit/>
          <w:trHeight w:val="23"/>
        </w:trPr>
        <w:tc>
          <w:tcPr>
            <w:tcW w:w="10031" w:type="dxa"/>
            <w:gridSpan w:val="2"/>
            <w:tcBorders>
              <w:top w:val="single" w:sz="4" w:space="0" w:color="auto"/>
              <w:left w:val="single" w:sz="4" w:space="0" w:color="auto"/>
              <w:bottom w:val="single" w:sz="4" w:space="0" w:color="auto"/>
              <w:right w:val="single" w:sz="4" w:space="0" w:color="auto"/>
            </w:tcBorders>
          </w:tcPr>
          <w:p w14:paraId="2503F124" w14:textId="0C929A88" w:rsidR="001E252D" w:rsidRPr="00441513" w:rsidRDefault="001A2AB4" w:rsidP="00B41165">
            <w:pPr>
              <w:rPr>
                <w:b/>
                <w:bCs/>
                <w:lang w:val="es-ES"/>
              </w:rPr>
            </w:pPr>
            <w:r w:rsidRPr="00441513">
              <w:rPr>
                <w:b/>
                <w:bCs/>
                <w:lang w:val="es-ES"/>
              </w:rPr>
              <w:t>Resumen</w:t>
            </w:r>
            <w:r w:rsidR="001E252D" w:rsidRPr="00441513">
              <w:rPr>
                <w:b/>
                <w:bCs/>
                <w:lang w:val="es-ES"/>
              </w:rPr>
              <w:t>:</w:t>
            </w:r>
          </w:p>
          <w:p w14:paraId="4F70BA09" w14:textId="1A992533" w:rsidR="001E252D" w:rsidRPr="00441513" w:rsidRDefault="00B51670" w:rsidP="00403C69">
            <w:pPr>
              <w:rPr>
                <w:lang w:val="es-ES"/>
              </w:rPr>
            </w:pPr>
            <w:r w:rsidRPr="00441513">
              <w:rPr>
                <w:lang w:val="es-ES"/>
              </w:rPr>
              <w:t>En el presente documento se proporciona información sobre los resultados de la CMDT-25 pertinentes para los países menos adelantados (PMA), los países en desarrollo sin litoral (PDSL) y los pequeños Estados insulares en desarrollo (PEID). En él se pone de manifiesto la renovada prioridad que se atribuye a esos grupos de países en el marco de Resoluciones nuevas o modificadas y de Iniciativas Regionales aprobadas, así como a su estrategia de aplicación.</w:t>
            </w:r>
          </w:p>
          <w:p w14:paraId="329DD418" w14:textId="1D7460A6" w:rsidR="001E252D" w:rsidRPr="00441513" w:rsidRDefault="00CC5CD7" w:rsidP="00403C69">
            <w:pPr>
              <w:rPr>
                <w:b/>
                <w:bCs/>
                <w:szCs w:val="24"/>
                <w:lang w:val="es-ES"/>
              </w:rPr>
            </w:pPr>
            <w:r w:rsidRPr="00441513">
              <w:rPr>
                <w:b/>
                <w:bCs/>
                <w:lang w:val="es-ES"/>
              </w:rPr>
              <w:t>Acción solicitada:</w:t>
            </w:r>
          </w:p>
          <w:p w14:paraId="2D855C8F" w14:textId="483D87CC" w:rsidR="005C33FB" w:rsidRPr="00441513" w:rsidRDefault="00B51670" w:rsidP="00403C69">
            <w:pPr>
              <w:rPr>
                <w:lang w:val="es-ES"/>
              </w:rPr>
            </w:pPr>
            <w:r w:rsidRPr="00441513">
              <w:rPr>
                <w:lang w:val="es-ES"/>
              </w:rPr>
              <w:t>Se invita al GADT a tomar nota de este documento y a proporcionar las orientaciones que considere adecuadas.</w:t>
            </w:r>
          </w:p>
          <w:p w14:paraId="5120B5FD" w14:textId="79AE5880" w:rsidR="001E252D" w:rsidRPr="00441513" w:rsidRDefault="001E252D" w:rsidP="00B41165">
            <w:pPr>
              <w:rPr>
                <w:b/>
                <w:bCs/>
                <w:lang w:val="es-ES"/>
              </w:rPr>
            </w:pPr>
            <w:r w:rsidRPr="00441513">
              <w:rPr>
                <w:b/>
                <w:bCs/>
                <w:lang w:val="es-ES"/>
              </w:rPr>
              <w:t>Referenc</w:t>
            </w:r>
            <w:r w:rsidR="005C33FB" w:rsidRPr="00441513">
              <w:rPr>
                <w:b/>
                <w:bCs/>
                <w:lang w:val="es-ES"/>
              </w:rPr>
              <w:t>ia</w:t>
            </w:r>
            <w:r w:rsidRPr="00441513">
              <w:rPr>
                <w:b/>
                <w:bCs/>
                <w:lang w:val="es-ES"/>
              </w:rPr>
              <w:t>s</w:t>
            </w:r>
            <w:r w:rsidR="008A3933" w:rsidRPr="00441513">
              <w:rPr>
                <w:b/>
                <w:bCs/>
                <w:lang w:val="es-ES"/>
              </w:rPr>
              <w:t>:</w:t>
            </w:r>
          </w:p>
          <w:p w14:paraId="6EF29DC6" w14:textId="102A14D7" w:rsidR="001E252D" w:rsidRPr="00441513" w:rsidRDefault="00B51670" w:rsidP="00403C69">
            <w:pPr>
              <w:spacing w:after="120"/>
              <w:rPr>
                <w:lang w:val="es-ES"/>
              </w:rPr>
            </w:pPr>
            <w:r w:rsidRPr="00441513">
              <w:rPr>
                <w:rFonts w:eastAsia="Calibri" w:cstheme="minorBidi"/>
                <w:lang w:val="es-ES"/>
              </w:rPr>
              <w:t xml:space="preserve">Resolución 16 de la CMDT (Rev. Bakú, 2025), </w:t>
            </w:r>
            <w:hyperlink r:id="rId12">
              <w:r w:rsidRPr="00441513">
                <w:rPr>
                  <w:rStyle w:val="Hyperlink"/>
                  <w:rFonts w:eastAsia="Calibri" w:cstheme="minorBidi"/>
                  <w:lang w:val="es-ES"/>
                </w:rPr>
                <w:t>Resolu</w:t>
              </w:r>
              <w:r w:rsidRPr="00441513">
                <w:rPr>
                  <w:rStyle w:val="Hyperlink"/>
                  <w:rFonts w:eastAsia="Calibri" w:cstheme="minorBidi"/>
                  <w:lang w:val="es-ES"/>
                </w:rPr>
                <w:t>c</w:t>
              </w:r>
              <w:r w:rsidRPr="00441513">
                <w:rPr>
                  <w:rStyle w:val="Hyperlink"/>
                  <w:rFonts w:eastAsia="Calibri" w:cstheme="minorBidi"/>
                  <w:lang w:val="es-ES"/>
                </w:rPr>
                <w:t xml:space="preserve">ión 30 de </w:t>
              </w:r>
              <w:r w:rsidRPr="00441513">
                <w:rPr>
                  <w:rStyle w:val="Hyperlink"/>
                  <w:rFonts w:eastAsia="Calibri"/>
                  <w:lang w:val="es-ES"/>
                </w:rPr>
                <w:t>la</w:t>
              </w:r>
              <w:r w:rsidRPr="00441513">
                <w:rPr>
                  <w:rStyle w:val="Hyperlink"/>
                  <w:rFonts w:eastAsia="Calibri" w:cstheme="minorBidi"/>
                  <w:lang w:val="es-ES"/>
                </w:rPr>
                <w:t xml:space="preserve"> PP (Rev. Bucarest, 2022)</w:t>
              </w:r>
            </w:hyperlink>
            <w:r w:rsidRPr="00441513">
              <w:rPr>
                <w:lang w:val="es-ES"/>
              </w:rPr>
              <w:t xml:space="preserve">, </w:t>
            </w:r>
            <w:hyperlink r:id="rId13">
              <w:r w:rsidRPr="00441513">
                <w:rPr>
                  <w:rStyle w:val="Hyperlink"/>
                  <w:rFonts w:eastAsia="Calibri" w:cstheme="minorBidi"/>
                  <w:lang w:val="es-ES"/>
                </w:rPr>
                <w:t>WT</w:t>
              </w:r>
              <w:r w:rsidRPr="00441513">
                <w:rPr>
                  <w:rStyle w:val="Hyperlink"/>
                  <w:rFonts w:eastAsia="Calibri" w:cstheme="minorBidi"/>
                  <w:lang w:val="es-ES"/>
                </w:rPr>
                <w:t>D</w:t>
              </w:r>
              <w:r w:rsidRPr="00441513">
                <w:rPr>
                  <w:rStyle w:val="Hyperlink"/>
                  <w:rFonts w:eastAsia="Calibri" w:cstheme="minorBidi"/>
                  <w:lang w:val="es-ES"/>
                </w:rPr>
                <w:t>C-25/16</w:t>
              </w:r>
            </w:hyperlink>
            <w:r w:rsidRPr="00441513">
              <w:rPr>
                <w:rFonts w:eastAsia="Calibri" w:cstheme="minorBidi"/>
                <w:lang w:val="es-ES"/>
              </w:rPr>
              <w:t xml:space="preserve">, </w:t>
            </w:r>
            <w:hyperlink r:id="rId14">
              <w:r w:rsidRPr="00441513">
                <w:rPr>
                  <w:rStyle w:val="Hyperlink"/>
                  <w:rFonts w:eastAsia="Calibri" w:cstheme="minorBidi"/>
                  <w:lang w:val="es-ES"/>
                </w:rPr>
                <w:t>WTD</w:t>
              </w:r>
              <w:r w:rsidRPr="00441513">
                <w:rPr>
                  <w:rStyle w:val="Hyperlink"/>
                  <w:rFonts w:eastAsia="Calibri" w:cstheme="minorBidi"/>
                  <w:lang w:val="es-ES"/>
                </w:rPr>
                <w:t>C</w:t>
              </w:r>
              <w:r w:rsidRPr="00441513">
                <w:rPr>
                  <w:rStyle w:val="Hyperlink"/>
                  <w:rFonts w:eastAsia="Calibri" w:cstheme="minorBidi"/>
                  <w:lang w:val="es-ES"/>
                </w:rPr>
                <w:t>-25/2</w:t>
              </w:r>
            </w:hyperlink>
            <w:r w:rsidRPr="00441513">
              <w:rPr>
                <w:rFonts w:eastAsia="Calibri" w:cstheme="minorBidi"/>
                <w:lang w:val="es-ES"/>
              </w:rPr>
              <w:t xml:space="preserve">, Informe final de la CMDT-25. </w:t>
            </w:r>
            <w:hyperlink r:id="rId15" w:history="1">
              <w:r w:rsidRPr="00441513">
                <w:rPr>
                  <w:rStyle w:val="Hyperlink"/>
                  <w:rFonts w:eastAsia="Calibri" w:cstheme="minorBidi"/>
                  <w:lang w:val="es-ES"/>
                </w:rPr>
                <w:t>Informe sobre l</w:t>
              </w:r>
              <w:r w:rsidRPr="00441513">
                <w:rPr>
                  <w:rStyle w:val="Hyperlink"/>
                  <w:rFonts w:eastAsia="Calibri" w:cstheme="minorBidi"/>
                  <w:lang w:val="es-ES"/>
                </w:rPr>
                <w:t>a</w:t>
              </w:r>
              <w:r w:rsidRPr="00441513">
                <w:rPr>
                  <w:rStyle w:val="Hyperlink"/>
                  <w:rFonts w:eastAsia="Calibri" w:cstheme="minorBidi"/>
                  <w:lang w:val="es-ES"/>
                </w:rPr>
                <w:t>s actividades de la BDT en apoyo a los PMA, los PDSL y los PEID-CMDT-25</w:t>
              </w:r>
            </w:hyperlink>
          </w:p>
        </w:tc>
      </w:tr>
      <w:bookmarkEnd w:id="8"/>
      <w:bookmarkEnd w:id="9"/>
    </w:tbl>
    <w:p w14:paraId="30707726" w14:textId="5A6143DD" w:rsidR="00075C63" w:rsidRPr="00441513" w:rsidRDefault="00075C63" w:rsidP="00B06557">
      <w:pPr>
        <w:rPr>
          <w:lang w:val="es-ES"/>
        </w:rPr>
      </w:pPr>
      <w:r w:rsidRPr="00441513">
        <w:rPr>
          <w:lang w:val="es-ES"/>
        </w:rPr>
        <w:br w:type="page"/>
      </w:r>
    </w:p>
    <w:p w14:paraId="06E3E947" w14:textId="0897F2F9" w:rsidR="00B06557" w:rsidRPr="00441513" w:rsidRDefault="007F479E" w:rsidP="007F479E">
      <w:pPr>
        <w:pStyle w:val="Heading1"/>
        <w:rPr>
          <w:lang w:val="es-ES"/>
        </w:rPr>
      </w:pPr>
      <w:r w:rsidRPr="00441513">
        <w:rPr>
          <w:lang w:val="es-ES"/>
        </w:rPr>
        <w:lastRenderedPageBreak/>
        <w:t>1</w:t>
      </w:r>
      <w:r w:rsidRPr="00441513">
        <w:rPr>
          <w:lang w:val="es-ES"/>
        </w:rPr>
        <w:tab/>
        <w:t>Introducción</w:t>
      </w:r>
    </w:p>
    <w:p w14:paraId="078184FA" w14:textId="3AF95C8F" w:rsidR="007F479E" w:rsidRPr="00441513" w:rsidRDefault="007F479E" w:rsidP="007A4097">
      <w:pPr>
        <w:pStyle w:val="Normalaftertitle"/>
        <w:rPr>
          <w:lang w:val="es-ES"/>
        </w:rPr>
      </w:pPr>
      <w:r w:rsidRPr="00441513">
        <w:rPr>
          <w:lang w:val="es-ES"/>
        </w:rPr>
        <w:t xml:space="preserve">La Conferencia Mundial de Desarrollo de las Telecomunicaciones (CMDT-25) de 2025 de la Unión Internacional de Telecomunicaciones (UIT), celebrada del 17 al 28 de noviembre de 2025 en Bakú (Azerbaiyán), representó un momento crucial para fomentar la conectividad y los avances en el plano digital a escala mundial. Convocada bajo el lema </w:t>
      </w:r>
      <w:r w:rsidR="005E7201" w:rsidRPr="00441513">
        <w:rPr>
          <w:lang w:val="es-ES"/>
        </w:rPr>
        <w:t>"</w:t>
      </w:r>
      <w:r w:rsidRPr="00441513">
        <w:rPr>
          <w:lang w:val="es-ES"/>
        </w:rPr>
        <w:t>Conectividad universal, efectiva y asequible para un futuro digital inclusivo y sostenible</w:t>
      </w:r>
      <w:r w:rsidR="005E7201" w:rsidRPr="00441513">
        <w:rPr>
          <w:lang w:val="es-ES"/>
        </w:rPr>
        <w:t>"</w:t>
      </w:r>
      <w:r w:rsidRPr="00441513">
        <w:rPr>
          <w:lang w:val="es-ES"/>
        </w:rPr>
        <w:t>, uno de los principales objetivos de la CMDT-25 fue establecer las prioridades de la UIT-D para los cuatro años siguientes (2026-2029).</w:t>
      </w:r>
    </w:p>
    <w:p w14:paraId="0ED71994" w14:textId="77777777" w:rsidR="007F479E" w:rsidRPr="00441513" w:rsidRDefault="007F479E" w:rsidP="007F479E">
      <w:pPr>
        <w:rPr>
          <w:lang w:val="es-ES"/>
        </w:rPr>
      </w:pPr>
      <w:r w:rsidRPr="00441513">
        <w:rPr>
          <w:lang w:val="es-ES"/>
        </w:rPr>
        <w:t>La conferencia aprobó la Declaración de Bakú y el Plan de Acción de Bakú, plan pormenorizado que orienta las iniciativas de desarrollo digital de la UIT-D. Los resultados de la CMDT-25 hacen hincapié en los países más vulnerables, en particular los países menos adelantados (PMA), los países en desarrollo sin litoral (PDSL) y los pequeños Estados insulares en desarrollo (PEID).</w:t>
      </w:r>
    </w:p>
    <w:p w14:paraId="4850E34B" w14:textId="65E0584B" w:rsidR="007F479E" w:rsidRPr="00441513" w:rsidRDefault="007F479E" w:rsidP="007F479E">
      <w:pPr>
        <w:rPr>
          <w:lang w:val="es-ES"/>
        </w:rPr>
      </w:pPr>
      <w:r w:rsidRPr="00441513">
        <w:rPr>
          <w:lang w:val="es-ES"/>
        </w:rPr>
        <w:t xml:space="preserve">La Declaración de Bakú pone de manifiesto el compromiso político de alto nivel de aplicar medidas adaptadas a las necesidades específicas de ese grupo de países. Dicho compromiso se refleja en la siguiente disposición: </w:t>
      </w:r>
      <w:r w:rsidR="005E7201" w:rsidRPr="00441513">
        <w:rPr>
          <w:lang w:val="es-ES"/>
        </w:rPr>
        <w:t>"</w:t>
      </w:r>
      <w:r w:rsidRPr="00441513">
        <w:rPr>
          <w:lang w:val="es-ES"/>
        </w:rPr>
        <w:t>Procuraremos responder a los retos particulares que afrontan los países en desarrollo, en particular los PMA, los PDSL y los PEID, así como los países con necesidades específicas, mediante la capacitación, la prestación de asistencia técnica adaptada, el intercambio de prácticas idóneas, la movilización de recursos, los proyectos de gran repercusión, las iniciativas de establecimiento de contactos adecuados y el intercambio de conocimientos técnicos pertinentes, con el fin de aprovechar las TIC nuevas o incipientes, incluida la IA, en relación con las telecomunicaciones y las TIC</w:t>
      </w:r>
      <w:r w:rsidR="005E7201" w:rsidRPr="00441513">
        <w:rPr>
          <w:lang w:val="es-ES"/>
        </w:rPr>
        <w:t>"</w:t>
      </w:r>
      <w:r w:rsidRPr="00441513">
        <w:rPr>
          <w:lang w:val="es-ES"/>
        </w:rPr>
        <w:t>. La CMDT-25 también adoptó Resoluciones nuevas y modificadas pertinentes respecto de esos países.</w:t>
      </w:r>
    </w:p>
    <w:p w14:paraId="68E87675" w14:textId="7C0FE104" w:rsidR="007F479E" w:rsidRPr="00441513" w:rsidRDefault="007F479E" w:rsidP="007F479E">
      <w:pPr>
        <w:rPr>
          <w:lang w:val="es-ES"/>
        </w:rPr>
      </w:pPr>
      <w:r w:rsidRPr="00441513">
        <w:rPr>
          <w:lang w:val="es-ES"/>
        </w:rPr>
        <w:t xml:space="preserve">En el presente documento se presenta una visión general de las principales esferas de interés derivadas del mandato renovado establecido por la conferencia, y puede leerse junto con el </w:t>
      </w:r>
      <w:hyperlink r:id="rId16" w:history="1">
        <w:r w:rsidRPr="00441513">
          <w:rPr>
            <w:rStyle w:val="Hyperlink"/>
            <w:lang w:val="es-ES"/>
          </w:rPr>
          <w:t>Informe sobre las actividades de la BDT en apoyo a los PMA, los PDSL y los PEID-CMDT-25</w:t>
        </w:r>
      </w:hyperlink>
      <w:r w:rsidRPr="00441513">
        <w:rPr>
          <w:lang w:val="es-ES"/>
        </w:rPr>
        <w:t>, que ofrece una visión general de la labor realizada por la BDT desde la CMDT-22. El documento incluye información sobre la contribución de la BDT de la UIT a las conferencias mundiales en las que se adoptó un programa de acción para cada uno de estos países, así como una visión general de los proyectos pertinentes del UIT-D y las actividades del Plan Operacional (PO) que han contribuido a fomentar la transformación digital y la conectividad universal significativa en los PMA, los PDSL y los PEID.</w:t>
      </w:r>
    </w:p>
    <w:p w14:paraId="681B581B" w14:textId="3646FD19" w:rsidR="007F479E" w:rsidRPr="00441513" w:rsidRDefault="007F479E" w:rsidP="007F479E">
      <w:pPr>
        <w:pStyle w:val="Heading1"/>
        <w:rPr>
          <w:lang w:val="es-ES"/>
        </w:rPr>
      </w:pPr>
      <w:r w:rsidRPr="00441513">
        <w:rPr>
          <w:lang w:val="es-ES"/>
        </w:rPr>
        <w:t>2</w:t>
      </w:r>
      <w:r w:rsidRPr="00441513">
        <w:rPr>
          <w:lang w:val="es-ES"/>
        </w:rPr>
        <w:tab/>
        <w:t>Antecedentes</w:t>
      </w:r>
    </w:p>
    <w:p w14:paraId="06D132A3" w14:textId="51F4D000" w:rsidR="007F479E" w:rsidRPr="00441513" w:rsidRDefault="007F479E" w:rsidP="007A4097">
      <w:pPr>
        <w:pStyle w:val="Normalaftertitle"/>
        <w:rPr>
          <w:lang w:val="es-ES"/>
        </w:rPr>
      </w:pPr>
      <w:r w:rsidRPr="00441513">
        <w:rPr>
          <w:lang w:val="es-ES"/>
        </w:rPr>
        <w:t>La transición de la condición de país menos adelantado (PMA) constituye un hito destacado en la trayectoria de desarrollo de un país. Las Naciones Unidas establecieron la categoría de PMA en</w:t>
      </w:r>
      <w:r w:rsidR="005E7201" w:rsidRPr="00441513">
        <w:rPr>
          <w:lang w:val="es-ES"/>
        </w:rPr>
        <w:t> </w:t>
      </w:r>
      <w:r w:rsidRPr="00441513">
        <w:rPr>
          <w:lang w:val="es-ES"/>
        </w:rPr>
        <w:t xml:space="preserve">1971 para reconocer los países que afrontan graves vulnerabilidades estructurales para el desarrollo sostenible. La salida de esta categoría conlleva no solo progreso económico, sino también mejoras en cuanto a desarrollo social, capital humano y resiliencia. Desde 1971, los criterios necesarios para ello han evolucionado desde un enfoque restringido a umbrales de ingresos hasta una evaluación basada en varios factores de vulnerabilidades estructurales y capacidad de desarrollo. Inicialmente, las decisiones en materia de cumplimiento de criterios y exclusión de la citada categoría se basaban principalmente en el Ingreso nacional bruto (INB) per cápita. Ulteriormente, el Comité de las Naciones Unidas sobre Políticas de Desarrollo mejoró ese enfoque para incorporar indicadores de desarrollo sostenible más amplios. La introducción del Índice de capital humano y del Índice de vulnerabilidad económica y medioambiental (EVI) marcó </w:t>
      </w:r>
      <w:r w:rsidRPr="00441513">
        <w:rPr>
          <w:lang w:val="es-ES"/>
        </w:rPr>
        <w:lastRenderedPageBreak/>
        <w:t xml:space="preserve">una transición a la evaluación de avances en materia de salud, educación, resiliencia frente a crisis externas y limitaciones económicas estructurales. </w:t>
      </w:r>
    </w:p>
    <w:p w14:paraId="2290570E" w14:textId="77777777" w:rsidR="007F479E" w:rsidRPr="00441513" w:rsidRDefault="007F479E" w:rsidP="007F479E">
      <w:pPr>
        <w:rPr>
          <w:lang w:val="es-ES"/>
        </w:rPr>
      </w:pPr>
      <w:r w:rsidRPr="00441513">
        <w:rPr>
          <w:lang w:val="es-ES"/>
        </w:rPr>
        <w:t>Las mejoras posteriores han puesto de relieve la sostenibilidad del desarrollo a largo plazo, la capacidad productiva y la resiliencia frente a los riesgos medioambientales y económicos. Los avances registrados se determinan mediante un proceso de revisión trienal en virtud del cual los países deben cumplir unos niveles mínimos al menos con respecto a dos de los tres criterios, a saber, Ingreso nacional bruto per cápita, Índice de capital humano e Índice de Vulnerabilidad Económica y Medioambiental, mediante evaluaciones consecutivas.</w:t>
      </w:r>
    </w:p>
    <w:p w14:paraId="166884A3" w14:textId="77777777" w:rsidR="007F479E" w:rsidRPr="00441513" w:rsidRDefault="007F479E" w:rsidP="007F479E">
      <w:pPr>
        <w:rPr>
          <w:lang w:val="es-ES"/>
        </w:rPr>
      </w:pPr>
      <w:r w:rsidRPr="00441513">
        <w:rPr>
          <w:lang w:val="es-ES"/>
        </w:rPr>
        <w:t>Esa evolución refleja una transición de la clasificación basada en ingresos hacia un marco más amplio que tiene en cuenta los fundamentos estructurales e institucionales necesarios para alcanzar resultados de desarrollo a largo plazo.</w:t>
      </w:r>
    </w:p>
    <w:p w14:paraId="42B51ECE" w14:textId="77777777" w:rsidR="007F479E" w:rsidRPr="00441513" w:rsidRDefault="007F479E" w:rsidP="007F479E">
      <w:pPr>
        <w:rPr>
          <w:lang w:val="es-ES"/>
        </w:rPr>
      </w:pPr>
      <w:r w:rsidRPr="00441513">
        <w:rPr>
          <w:lang w:val="es-ES"/>
        </w:rPr>
        <w:t>En consonancia con esa evolución, la UIT cree firmemente que la conectividad universal significativa y la transformación digital son factores clave para el desarrollo socioeconómico de todo país y revisten particular importancia para los PMA, los PDSL y los PEID. Desde la Conferencia Mundial de Desarrollo de las Telecomunicaciones de 2022 (CMDT-22) de la Unión Internacional de Telecomunicaciones, la UIT ha fortalecido y sistematizado su apoyo a los países menos adelantados (PMA), los países en desarrollo sin litoral (PDSL) y los pequeños Estados insulares en desarrollo (PEID). Un hito institucional destacado fue la reorganización en 2024 de la Oficina de Desarrollo de las Telecomunicaciones (BDT), que estableció una división concreta para prestar asistencia coordinada y específica a los países con necesidades especiales para el desarrollo digital en su conjunto.</w:t>
      </w:r>
    </w:p>
    <w:p w14:paraId="396BAA84" w14:textId="77777777" w:rsidR="007F479E" w:rsidRPr="00441513" w:rsidRDefault="007F479E" w:rsidP="007F479E">
      <w:pPr>
        <w:rPr>
          <w:lang w:val="es-ES"/>
        </w:rPr>
      </w:pPr>
      <w:r w:rsidRPr="00441513">
        <w:rPr>
          <w:lang w:val="es-ES"/>
        </w:rPr>
        <w:t>La colaboración de la UIT, centrada en la ampliación de la infraestructura de telecomunicaciones y la conectividad básica, ha evolucionado hacia un enfoque integral del ecosistema digital. De 2023 a 2025, las intervenciones hicieron hincapié cada vez más en la administración pública digital, la resiliencia en materia de ciberseguridad, la cartografía de la banda ancha, la gestión del espectro, el desarrollo de competencias digitales, las políticas inclusivas en materia de TIC, las telecomunicaciones de emergencia y los ecosistemas de innovación. Ese cambio reconoce que una conectividad universal y significativa requiere no solo infraestructuras, sino también preparación normativa, capacidad institucional, asequibilidad, seguridad y desarrollo del capital humano.</w:t>
      </w:r>
    </w:p>
    <w:p w14:paraId="5C687495" w14:textId="3302366F" w:rsidR="007F479E" w:rsidRPr="00441513" w:rsidRDefault="007F479E" w:rsidP="007F479E">
      <w:pPr>
        <w:rPr>
          <w:lang w:val="es-ES"/>
        </w:rPr>
      </w:pPr>
      <w:r w:rsidRPr="00441513">
        <w:rPr>
          <w:lang w:val="es-ES"/>
        </w:rPr>
        <w:t>La labor de la UIT también ha estado en consonancia en el plano estratégico con los marcos de desarrollo mundiales. Mediante su participación activa en la Quinta Conferencia de las Naciones Unidas sobre los Países Menos Adelantados (Programa de Acción de Doha), la Cuarta Conferencia Internacional sobre los Pequeños Estados Insulares en Desarrollo (Agenda de Antigua y Barbuda) y la Tercera Conferencia de las Naciones Unidas sobre los Países en Desarrollo sin Litoral (Programa de Acción de Awaza 2024-2034), la UIT ha considerado la transformación digital y la conectividad universal significativa factores fundamentales para la transformación estructural, la resiliencia y el desarrollo sostenible.</w:t>
      </w:r>
    </w:p>
    <w:p w14:paraId="76EEFD17" w14:textId="0B89A376" w:rsidR="007F479E" w:rsidRPr="00441513" w:rsidRDefault="007F479E" w:rsidP="007F479E">
      <w:pPr>
        <w:rPr>
          <w:lang w:val="es-ES"/>
        </w:rPr>
      </w:pPr>
      <w:r w:rsidRPr="00441513">
        <w:rPr>
          <w:lang w:val="es-ES"/>
        </w:rPr>
        <w:t xml:space="preserve">Desde el punto de vista operacional, la BDT aumentó sustancialmente su apoyo a partir de 2023 en el marco de proyectos a escala nacional, iniciativas regionales y plataformas de desarrollo de capacidades, en particular la Academia de la UIT, los Centros de Transformación Digital y programas específicos sobre ciberseguridad. La movilización de recursos se fortaleció a través de la Coalición </w:t>
      </w:r>
      <w:r w:rsidRPr="00441513">
        <w:rPr>
          <w:i/>
          <w:iCs/>
          <w:lang w:val="es-ES"/>
        </w:rPr>
        <w:t>Partner to Connect</w:t>
      </w:r>
      <w:r w:rsidRPr="00441513">
        <w:rPr>
          <w:lang w:val="es-ES"/>
        </w:rPr>
        <w:t>, que dio lugar a destacados compromisos financieros destinados a los PMA, los PDSL y los PEID.</w:t>
      </w:r>
    </w:p>
    <w:p w14:paraId="3A50A9FA" w14:textId="4D417F41" w:rsidR="007F479E" w:rsidRPr="00441513" w:rsidRDefault="007F479E" w:rsidP="007A4097">
      <w:pPr>
        <w:keepNext/>
        <w:keepLines/>
        <w:rPr>
          <w:rFonts w:ascii="Calibri" w:eastAsia="Calibri" w:hAnsi="Calibri" w:cs="Calibri"/>
          <w:lang w:val="es-ES"/>
        </w:rPr>
      </w:pPr>
      <w:r w:rsidRPr="00441513">
        <w:rPr>
          <w:rFonts w:ascii="Calibri" w:eastAsia="Calibri" w:hAnsi="Calibri" w:cs="Calibri"/>
          <w:lang w:val="es-ES"/>
        </w:rPr>
        <w:lastRenderedPageBreak/>
        <w:t>Los datos relativos a los últimos per</w:t>
      </w:r>
      <w:r w:rsidR="003A5C2C" w:rsidRPr="00441513">
        <w:rPr>
          <w:rFonts w:ascii="Calibri" w:eastAsia="Calibri" w:hAnsi="Calibri" w:cs="Calibri"/>
          <w:lang w:val="es-ES"/>
        </w:rPr>
        <w:t>i</w:t>
      </w:r>
      <w:r w:rsidRPr="00441513">
        <w:rPr>
          <w:rFonts w:ascii="Calibri" w:eastAsia="Calibri" w:hAnsi="Calibri" w:cs="Calibri"/>
          <w:lang w:val="es-ES"/>
        </w:rPr>
        <w:t>odos de evaluación de los PMA ponen de manifiesto una clara correlación entre el aumento de la utilización de Internet y la mejora de los indicadores de ingresos, educación y resiliencia, lo que subraya el papel de las TIC como acelerador del desarrollo. Con arreglo a esa experiencia, el enfoque con visión de futuro de la UIT hace hincapié en tres pilares, a saber, la aceleración digital previa a la evaluación, el apoyo estructurado a la transición posterior a la evaluación y la supervisión de los facilitadores digitales para mantener los avances registrados.</w:t>
      </w:r>
    </w:p>
    <w:p w14:paraId="4C7F9ED2" w14:textId="32F12BD9" w:rsidR="007F479E" w:rsidRPr="00441513" w:rsidRDefault="007F479E" w:rsidP="007F479E">
      <w:pPr>
        <w:pStyle w:val="Heading1"/>
        <w:rPr>
          <w:lang w:val="es-ES"/>
        </w:rPr>
      </w:pPr>
      <w:r w:rsidRPr="00441513">
        <w:rPr>
          <w:lang w:val="es-ES"/>
        </w:rPr>
        <w:t>3</w:t>
      </w:r>
      <w:r w:rsidRPr="00441513">
        <w:rPr>
          <w:lang w:val="es-ES"/>
        </w:rPr>
        <w:tab/>
        <w:t>Resoluciones nuevas o modificadas pertinentes para</w:t>
      </w:r>
      <w:r w:rsidRPr="00441513">
        <w:rPr>
          <w:lang w:val="es-ES"/>
        </w:rPr>
        <w:br/>
        <w:t>los PMA, PDSL y PEID</w:t>
      </w:r>
    </w:p>
    <w:p w14:paraId="629B4BE0" w14:textId="263C48CA" w:rsidR="007F479E" w:rsidRPr="00441513" w:rsidRDefault="007F479E" w:rsidP="007F479E">
      <w:pPr>
        <w:rPr>
          <w:lang w:val="es-ES"/>
        </w:rPr>
      </w:pPr>
      <w:r w:rsidRPr="00441513">
        <w:rPr>
          <w:lang w:val="es-ES"/>
        </w:rPr>
        <w:t xml:space="preserve">En varias Resoluciones de la CMDT-25, nuevas o modificadas, se pide a la BDT y se invita a los Estados Miembros a dar prioridad a esos países vulnerables, en particular en la adopción de acciones y medidas especiales para abordar sus retos exclusivos para lograr una conectividad universal, significativa y asequible. Si bien la mayoría de la Resoluciones se ajustan al amplio mandato de desarrollo de la BDT, el Plan de Acción de Bakú presta </w:t>
      </w:r>
      <w:r w:rsidR="003A5C2C" w:rsidRPr="00441513">
        <w:rPr>
          <w:lang w:val="es-ES"/>
        </w:rPr>
        <w:t>"</w:t>
      </w:r>
      <w:r w:rsidRPr="00441513">
        <w:rPr>
          <w:lang w:val="es-ES"/>
        </w:rPr>
        <w:t>especial atención</w:t>
      </w:r>
      <w:r w:rsidR="003A5C2C" w:rsidRPr="00441513">
        <w:rPr>
          <w:lang w:val="es-ES"/>
        </w:rPr>
        <w:t>"</w:t>
      </w:r>
      <w:r w:rsidRPr="00441513">
        <w:rPr>
          <w:lang w:val="es-ES"/>
        </w:rPr>
        <w:t xml:space="preserve"> a las zonas más vulnerables del mundo, en particular los PMA, los PDSL y los PEID.</w:t>
      </w:r>
    </w:p>
    <w:p w14:paraId="692BF26E" w14:textId="692BCE9A" w:rsidR="007F479E" w:rsidRPr="00441513" w:rsidRDefault="007F479E" w:rsidP="007F479E">
      <w:pPr>
        <w:rPr>
          <w:lang w:val="es-ES"/>
        </w:rPr>
      </w:pPr>
      <w:r w:rsidRPr="00441513">
        <w:rPr>
          <w:lang w:val="es-ES"/>
        </w:rPr>
        <w:t>En el marco de la Resolución 16 (Rev. Bakú, 2025) se reiteró el compromiso del UIT-D de aplicar acciones y medidas específicas en apoyo de los PMA, PDSL y PEID, así como los países con economías en transición, con objeto de facilitar su transformación digital y abordar las brechas estructurales de conectividad. La Resolución revisada hace hincapié en el fortalecimiento de las capacidades nacionales, la mejora de la movilización de recursos y el establecimiento de asociaciones, así como el aumento de la coordinación entre los programas y las iniciativas de la UIT para garantizar una prestación de asistencia más eficaz y específica a esos grupos de países.</w:t>
      </w:r>
    </w:p>
    <w:p w14:paraId="50A1E580" w14:textId="1848464F" w:rsidR="007F479E" w:rsidRPr="00441513" w:rsidRDefault="007F479E" w:rsidP="007F479E">
      <w:pPr>
        <w:rPr>
          <w:lang w:val="es-ES"/>
        </w:rPr>
      </w:pPr>
      <w:r w:rsidRPr="00441513">
        <w:rPr>
          <w:lang w:val="es-ES"/>
        </w:rPr>
        <w:t xml:space="preserve">Por otro lado, la CMDT-25 aprobó dos nuevas resoluciones, la Resolución </w:t>
      </w:r>
      <w:r w:rsidRPr="00441513">
        <w:rPr>
          <w:b/>
          <w:bCs/>
          <w:lang w:val="es-ES"/>
        </w:rPr>
        <w:t>94 (Bakú, 2025)</w:t>
      </w:r>
      <w:r w:rsidRPr="00441513">
        <w:rPr>
          <w:lang w:val="es-ES"/>
        </w:rPr>
        <w:t xml:space="preserve">, </w:t>
      </w:r>
      <w:r w:rsidR="0042371F" w:rsidRPr="00441513">
        <w:rPr>
          <w:lang w:val="es-ES"/>
        </w:rPr>
        <w:t>"</w:t>
      </w:r>
      <w:r w:rsidRPr="00441513">
        <w:rPr>
          <w:lang w:val="es-ES"/>
        </w:rPr>
        <w:t>Apoyo a la transformación digital de los países insulares del Pacífico en el marco de la Declaración de Lagatoi</w:t>
      </w:r>
      <w:r w:rsidR="0042371F" w:rsidRPr="00441513">
        <w:rPr>
          <w:lang w:val="es-ES"/>
        </w:rPr>
        <w:t>"</w:t>
      </w:r>
      <w:r w:rsidRPr="00441513">
        <w:rPr>
          <w:lang w:val="es-ES"/>
        </w:rPr>
        <w:t xml:space="preserve">, y la Resolución </w:t>
      </w:r>
      <w:r w:rsidRPr="00441513">
        <w:rPr>
          <w:b/>
          <w:bCs/>
          <w:lang w:val="es-ES"/>
        </w:rPr>
        <w:t>93 (Bakú, 2025)</w:t>
      </w:r>
      <w:r w:rsidRPr="00441513">
        <w:rPr>
          <w:lang w:val="es-ES"/>
        </w:rPr>
        <w:t xml:space="preserve">, </w:t>
      </w:r>
      <w:r w:rsidR="0042371F" w:rsidRPr="00441513">
        <w:rPr>
          <w:lang w:val="es-ES"/>
        </w:rPr>
        <w:t>"</w:t>
      </w:r>
      <w:r w:rsidRPr="00441513">
        <w:rPr>
          <w:lang w:val="es-ES"/>
        </w:rPr>
        <w:t>Asistencia y apoyo a Sudán para reconstruir la infraestructura de telecomunicaciones y tecnologías de la información y la comunicación dañada y reducir la brecha digital</w:t>
      </w:r>
      <w:r w:rsidR="0042371F" w:rsidRPr="00441513">
        <w:rPr>
          <w:lang w:val="es-ES"/>
        </w:rPr>
        <w:t>"</w:t>
      </w:r>
      <w:r w:rsidRPr="00441513">
        <w:rPr>
          <w:lang w:val="es-ES"/>
        </w:rPr>
        <w:t>.</w:t>
      </w:r>
    </w:p>
    <w:p w14:paraId="7C25421E" w14:textId="21DB76E7" w:rsidR="007F479E" w:rsidRPr="00441513" w:rsidRDefault="007F479E" w:rsidP="007F479E">
      <w:pPr>
        <w:rPr>
          <w:lang w:val="es-ES"/>
        </w:rPr>
      </w:pPr>
      <w:r w:rsidRPr="00441513">
        <w:rPr>
          <w:lang w:val="es-ES"/>
        </w:rPr>
        <w:t>El renovado interés por los PMA, PDSL y PEID se centra en ir más allá de la conectividad básica en aras de la sofisticación tecnológica, la formulación de políticas basadas en datos empíricos y la resiliencia específica. En particular:</w:t>
      </w:r>
    </w:p>
    <w:p w14:paraId="7B6D3024" w14:textId="2C8EE206" w:rsidR="007F479E" w:rsidRPr="00441513" w:rsidRDefault="007F479E" w:rsidP="007F479E">
      <w:pPr>
        <w:pStyle w:val="Headingb"/>
        <w:rPr>
          <w:lang w:val="es-ES"/>
        </w:rPr>
      </w:pPr>
      <w:r w:rsidRPr="00441513">
        <w:rPr>
          <w:lang w:val="es-ES"/>
        </w:rPr>
        <w:t>a)</w:t>
      </w:r>
      <w:r w:rsidRPr="00441513">
        <w:rPr>
          <w:lang w:val="es-ES"/>
        </w:rPr>
        <w:tab/>
        <w:t>Supervisión basada en datos empíricos y desglose de datos</w:t>
      </w:r>
      <w:r w:rsidRPr="00441513">
        <w:rPr>
          <w:rStyle w:val="FootnoteReference"/>
          <w:b w:val="0"/>
          <w:bCs/>
          <w:lang w:val="es-ES"/>
        </w:rPr>
        <w:footnoteReference w:id="2"/>
      </w:r>
    </w:p>
    <w:p w14:paraId="0081CDBC" w14:textId="6F8CF73B" w:rsidR="007F479E" w:rsidRPr="00441513" w:rsidRDefault="007F479E" w:rsidP="007A4097">
      <w:pPr>
        <w:pStyle w:val="Normalaftertitle"/>
        <w:rPr>
          <w:lang w:val="es-ES"/>
        </w:rPr>
      </w:pPr>
      <w:r w:rsidRPr="00441513">
        <w:rPr>
          <w:lang w:val="es-ES"/>
        </w:rPr>
        <w:t>El mandato de desglosar todos los datos de aplicación, incluidos los de los PMA, PDSL y PEID, constituyó una decisión fundamental de la CMDT-25. Este enfoque tiene por objeto poner de manifiesto disparidades desconocidas con respecto a valores promedio a escala mundial, lo que facilita intervenciones más precisas. Por otro lado, ello prevé la prestación de asistencia a esos países para elaborar encuestas que tengan en cuenta criterios geográficos locales relacionados con la discapacidad.</w:t>
      </w:r>
    </w:p>
    <w:p w14:paraId="0DF597E2" w14:textId="1499020F" w:rsidR="007F479E" w:rsidRPr="00441513" w:rsidRDefault="007F479E" w:rsidP="007A4097">
      <w:pPr>
        <w:pStyle w:val="Headingb"/>
        <w:keepNext/>
        <w:keepLines/>
        <w:rPr>
          <w:lang w:val="es-ES"/>
        </w:rPr>
      </w:pPr>
      <w:r w:rsidRPr="00441513">
        <w:rPr>
          <w:lang w:val="es-ES"/>
        </w:rPr>
        <w:lastRenderedPageBreak/>
        <w:t>b)</w:t>
      </w:r>
      <w:r w:rsidRPr="00441513">
        <w:rPr>
          <w:lang w:val="es-ES"/>
        </w:rPr>
        <w:tab/>
      </w:r>
      <w:r w:rsidRPr="00441513">
        <w:rPr>
          <w:lang w:val="es-ES"/>
        </w:rPr>
        <w:t>Adopción de tecnologías incipientes (IA y soluciones espaciales)</w:t>
      </w:r>
      <w:r w:rsidRPr="00441513">
        <w:rPr>
          <w:rStyle w:val="FootnoteReference"/>
          <w:b w:val="0"/>
          <w:bCs/>
          <w:lang w:val="es-ES"/>
        </w:rPr>
        <w:footnoteReference w:id="3"/>
      </w:r>
    </w:p>
    <w:p w14:paraId="4CF0A50F" w14:textId="369A3CC7" w:rsidR="0042371F" w:rsidRPr="00441513" w:rsidRDefault="0042371F" w:rsidP="007A4097">
      <w:pPr>
        <w:pStyle w:val="Normalaftertitle"/>
        <w:rPr>
          <w:lang w:val="es-ES"/>
        </w:rPr>
      </w:pPr>
      <w:r w:rsidRPr="00441513">
        <w:rPr>
          <w:lang w:val="es-ES"/>
        </w:rPr>
        <w:t>Nuevo hincapié en garantizar que los países vulnerables no se queden atrás en cuanto a avances tecnológicos, en particular en materia de:</w:t>
      </w:r>
    </w:p>
    <w:p w14:paraId="5A36F53C" w14:textId="744D00CA" w:rsidR="0042371F" w:rsidRPr="00441513" w:rsidRDefault="0042371F" w:rsidP="0042371F">
      <w:pPr>
        <w:pStyle w:val="enumlev1"/>
        <w:rPr>
          <w:lang w:val="es-ES"/>
        </w:rPr>
      </w:pPr>
      <w:r w:rsidRPr="00441513">
        <w:rPr>
          <w:lang w:val="es-ES"/>
        </w:rPr>
        <w:t>–</w:t>
      </w:r>
      <w:r w:rsidRPr="00441513">
        <w:rPr>
          <w:lang w:val="es-ES"/>
        </w:rPr>
        <w:tab/>
        <w:t>Inteligencia artificial: desarrollo de una infraestructura fundamental de TIC que facilite la adopción de la IA como objetivo específico para esos grupos de países.</w:t>
      </w:r>
    </w:p>
    <w:p w14:paraId="561A7E5A" w14:textId="19E26923" w:rsidR="0042371F" w:rsidRPr="00441513" w:rsidRDefault="0042371F" w:rsidP="0042371F">
      <w:pPr>
        <w:pStyle w:val="enumlev1"/>
        <w:rPr>
          <w:lang w:val="es-ES"/>
        </w:rPr>
      </w:pPr>
      <w:r w:rsidRPr="00441513">
        <w:rPr>
          <w:lang w:val="es-ES"/>
        </w:rPr>
        <w:t>–</w:t>
      </w:r>
      <w:r w:rsidRPr="00441513">
        <w:rPr>
          <w:lang w:val="es-ES"/>
        </w:rPr>
        <w:tab/>
        <w:t>Comunicaciones espaciales: petición explícita a la BDT en las resoluciones para que promueva la comprensión e implantación de soluciones de comunicación espaciales para ampliar la cobertura en zonas lejanas en las que la infraestructura terrenal no sea viable.</w:t>
      </w:r>
    </w:p>
    <w:p w14:paraId="1DE82A99" w14:textId="624BF9CF" w:rsidR="004C0D4B" w:rsidRPr="00441513" w:rsidRDefault="004C0D4B" w:rsidP="004C0D4B">
      <w:pPr>
        <w:pStyle w:val="Headingb"/>
        <w:rPr>
          <w:lang w:val="es-ES"/>
        </w:rPr>
      </w:pPr>
      <w:r w:rsidRPr="00441513">
        <w:rPr>
          <w:lang w:val="es-ES"/>
        </w:rPr>
        <w:t>c)</w:t>
      </w:r>
      <w:r w:rsidRPr="00441513">
        <w:rPr>
          <w:lang w:val="es-ES"/>
        </w:rPr>
        <w:tab/>
        <w:t>Resiliencia de las infraestructuras y apoyo especializado en caso de catástrofes</w:t>
      </w:r>
      <w:r w:rsidRPr="00441513">
        <w:rPr>
          <w:rStyle w:val="FootnoteReference"/>
          <w:lang w:val="es-ES"/>
        </w:rPr>
        <w:footnoteReference w:id="4"/>
      </w:r>
    </w:p>
    <w:p w14:paraId="7A1BEA8C" w14:textId="77777777" w:rsidR="0005464B" w:rsidRPr="00441513" w:rsidRDefault="0005464B" w:rsidP="007A4097">
      <w:pPr>
        <w:pStyle w:val="Normalaftertitle"/>
        <w:rPr>
          <w:lang w:val="es-ES"/>
        </w:rPr>
      </w:pPr>
      <w:r w:rsidRPr="00441513">
        <w:rPr>
          <w:lang w:val="es-ES"/>
        </w:rPr>
        <w:t>Las nuevas esferas de interés abordan las vulnerabilidades y los retos exclusivos a los que se enfrentan los PMA, PDSL y PEID, en particular los de la región del Pacífico, a raíz de su aislamiento geográfico, economías de escala limitadas, restricciones de infraestructura y amplias diferencias horarias.</w:t>
      </w:r>
    </w:p>
    <w:p w14:paraId="17BB7862" w14:textId="1264AB6D" w:rsidR="0005464B" w:rsidRPr="00441513" w:rsidRDefault="0005464B" w:rsidP="0005464B">
      <w:pPr>
        <w:rPr>
          <w:lang w:val="es-ES"/>
        </w:rPr>
      </w:pPr>
      <w:r w:rsidRPr="00441513">
        <w:rPr>
          <w:lang w:val="es-ES"/>
        </w:rPr>
        <w:t>Los nuevos mandatos abordan específicamente la devastación que sufren los países insulares del Pacífico debido al aumento del nivel del mar y al aislamiento geográfico:</w:t>
      </w:r>
    </w:p>
    <w:p w14:paraId="3B112F7E" w14:textId="189F59B6" w:rsidR="0005464B" w:rsidRPr="00441513" w:rsidRDefault="0005464B" w:rsidP="0005464B">
      <w:pPr>
        <w:pStyle w:val="enumlev1"/>
        <w:rPr>
          <w:rFonts w:eastAsia="Calibri"/>
          <w:lang w:val="es-ES"/>
        </w:rPr>
      </w:pPr>
      <w:r w:rsidRPr="00441513">
        <w:rPr>
          <w:lang w:val="es-ES"/>
        </w:rPr>
        <w:t>–</w:t>
      </w:r>
      <w:r w:rsidRPr="00441513">
        <w:rPr>
          <w:lang w:val="es-ES"/>
        </w:rPr>
        <w:tab/>
      </w:r>
      <w:r w:rsidRPr="00441513">
        <w:rPr>
          <w:rFonts w:eastAsia="Calibri"/>
          <w:lang w:val="es-ES"/>
        </w:rPr>
        <w:t xml:space="preserve">Énfasis en el despliegue oportuno de equipos de telecomunicaciones de emergencia, incluida la asistencia a otros países propensos a desastres o geográficamente vulnerables para acceder </w:t>
      </w:r>
      <w:r w:rsidRPr="00441513" w:rsidDel="7FEFA526">
        <w:rPr>
          <w:rFonts w:eastAsia="Calibri"/>
          <w:lang w:val="es-ES"/>
        </w:rPr>
        <w:t xml:space="preserve">a </w:t>
      </w:r>
      <w:r w:rsidRPr="00441513">
        <w:rPr>
          <w:rFonts w:eastAsia="Calibri"/>
          <w:lang w:val="es-ES"/>
        </w:rPr>
        <w:t>equipos de emergencia móviles.</w:t>
      </w:r>
    </w:p>
    <w:p w14:paraId="344162F9" w14:textId="7F071E90" w:rsidR="0005464B" w:rsidRPr="00441513" w:rsidRDefault="0005464B" w:rsidP="0005464B">
      <w:pPr>
        <w:pStyle w:val="Headingb"/>
        <w:rPr>
          <w:lang w:val="es-ES"/>
        </w:rPr>
      </w:pPr>
      <w:r w:rsidRPr="00441513">
        <w:rPr>
          <w:lang w:val="es-ES"/>
        </w:rPr>
        <w:t>d)</w:t>
      </w:r>
      <w:r w:rsidRPr="00441513">
        <w:rPr>
          <w:lang w:val="es-ES"/>
        </w:rPr>
        <w:tab/>
        <w:t>Reducción de los costos de conectividad para los países sin litoral</w:t>
      </w:r>
      <w:r w:rsidRPr="00441513">
        <w:rPr>
          <w:rStyle w:val="FootnoteReference"/>
          <w:b w:val="0"/>
          <w:bCs/>
          <w:lang w:val="es-ES"/>
        </w:rPr>
        <w:footnoteReference w:id="5"/>
      </w:r>
    </w:p>
    <w:p w14:paraId="4F2C7A24" w14:textId="1147A496" w:rsidR="0005464B" w:rsidRPr="00441513" w:rsidRDefault="0005464B" w:rsidP="007A4097">
      <w:pPr>
        <w:pStyle w:val="Normalaftertitle"/>
        <w:rPr>
          <w:lang w:val="es-ES"/>
        </w:rPr>
      </w:pPr>
      <w:r w:rsidRPr="00441513">
        <w:rPr>
          <w:lang w:val="es-ES"/>
        </w:rPr>
        <w:t>En el caso de los países en desarrollo sin litoral, se ha prestado especial atención al establecimiento de puntos de conmutación de Internet (IXP) regionales en países con puntos de amarre de cables submarinos. Ello tiene por objeto reducir el elevado coste de la anchura de banda internacional al que suelen enfrentarse los países sin litoral debido a su falta de acceso directo al mar.</w:t>
      </w:r>
    </w:p>
    <w:p w14:paraId="0481D02C" w14:textId="4FAAC24A" w:rsidR="0005464B" w:rsidRPr="00441513" w:rsidRDefault="0005464B" w:rsidP="0005464B">
      <w:pPr>
        <w:pStyle w:val="Headingb"/>
        <w:rPr>
          <w:lang w:val="es-ES"/>
        </w:rPr>
      </w:pPr>
      <w:r w:rsidRPr="00441513">
        <w:rPr>
          <w:lang w:val="es-ES"/>
        </w:rPr>
        <w:t>e)</w:t>
      </w:r>
      <w:r w:rsidRPr="00441513">
        <w:rPr>
          <w:lang w:val="es-ES"/>
        </w:rPr>
        <w:tab/>
        <w:t>Movilización de recursos específicos a través de P2C</w:t>
      </w:r>
      <w:r w:rsidRPr="00441513">
        <w:rPr>
          <w:rStyle w:val="FootnoteReference"/>
          <w:b w:val="0"/>
          <w:bCs/>
          <w:lang w:val="es-ES"/>
        </w:rPr>
        <w:footnoteReference w:id="6"/>
      </w:r>
    </w:p>
    <w:p w14:paraId="64EC7A74" w14:textId="7B566592" w:rsidR="0005464B" w:rsidRPr="00441513" w:rsidRDefault="008143C2" w:rsidP="007A4097">
      <w:pPr>
        <w:pStyle w:val="Normalaftertitle"/>
        <w:rPr>
          <w:lang w:val="es-ES"/>
        </w:rPr>
      </w:pPr>
      <w:r w:rsidRPr="00441513">
        <w:rPr>
          <w:lang w:val="es-ES"/>
        </w:rPr>
        <w:t>En la CMDT-25 se destaca la Coalición Digital Partner2Connect (P2C) como mecanismo para movilizar recursos para los PMA, PDSL y PEID. El éxito del Plan de Acción de Bakú se medirá mediante indicadores específicos que permitan supervisar el grado de financiación de los proyectos y el número de proyectos apoyados destinados a esas categorías vulnerables.</w:t>
      </w:r>
    </w:p>
    <w:p w14:paraId="3C838CEC" w14:textId="733C83B9" w:rsidR="008143C2" w:rsidRPr="00441513" w:rsidRDefault="00F82C65" w:rsidP="00F82C65">
      <w:pPr>
        <w:pStyle w:val="Heading1"/>
        <w:rPr>
          <w:lang w:val="es-ES"/>
        </w:rPr>
      </w:pPr>
      <w:r w:rsidRPr="00441513">
        <w:rPr>
          <w:lang w:val="es-ES"/>
        </w:rPr>
        <w:lastRenderedPageBreak/>
        <w:t>4</w:t>
      </w:r>
      <w:r w:rsidRPr="00441513">
        <w:rPr>
          <w:lang w:val="es-ES"/>
        </w:rPr>
        <w:tab/>
        <w:t>Iniciativas regionales con referencias específicas a los PMA, los PDSL y los PEID</w:t>
      </w:r>
    </w:p>
    <w:p w14:paraId="088A2795" w14:textId="77777777" w:rsidR="00F82C65" w:rsidRPr="00441513" w:rsidRDefault="00F82C65" w:rsidP="007A4097">
      <w:pPr>
        <w:pStyle w:val="Normalaftertitle"/>
        <w:rPr>
          <w:lang w:val="es-ES"/>
        </w:rPr>
      </w:pPr>
      <w:r w:rsidRPr="00441513">
        <w:rPr>
          <w:lang w:val="es-ES"/>
        </w:rPr>
        <w:t>El Plan de Acción de Bakú, establecido en la CMDT-25, prioriza las regiones más vulnerables del mundo, en particular los PMA, los PDSL y los PEID, mediante iniciativas regionales específicas. Esas iniciativas proporcionan un marco estructurado para coordinar la labor entre Estados Miembros a escala regional, y movilizar el apoyo de los Miembros del Sector UIT-D, así como para que la BDT preste asistencia técnica, movilice recursos y fomente asociaciones para abordar retos geográficos, económicos y medioambientales específicos de cada región.</w:t>
      </w:r>
    </w:p>
    <w:p w14:paraId="73965115" w14:textId="78D47754" w:rsidR="00F82C65" w:rsidRPr="00441513" w:rsidRDefault="00F82C65" w:rsidP="00F82C65">
      <w:pPr>
        <w:rPr>
          <w:lang w:val="es-ES"/>
        </w:rPr>
      </w:pPr>
      <w:r w:rsidRPr="00441513">
        <w:rPr>
          <w:lang w:val="es-ES"/>
        </w:rPr>
        <w:t>En el cuadro 1 se enumeran las iniciativas regionales del Plan de Acción de Bakú, con referencias a los PMA, los PDSL y los PEID.</w:t>
      </w:r>
    </w:p>
    <w:p w14:paraId="09F2BFAA" w14:textId="4BC92F7F" w:rsidR="00F82C65" w:rsidRPr="00441513" w:rsidRDefault="00F82C65" w:rsidP="00F82C65">
      <w:pPr>
        <w:pStyle w:val="Tabletitle"/>
        <w:spacing w:before="120"/>
        <w:rPr>
          <w:lang w:val="es-ES"/>
        </w:rPr>
      </w:pPr>
      <w:r w:rsidRPr="00441513">
        <w:rPr>
          <w:lang w:val="es-ES"/>
        </w:rPr>
        <w:t>Cuadro 1: Iniciativas regionales de la CMDT-25 con referencias específicas a los PMA, PDSL y PEID</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Look w:val="06A0" w:firstRow="1" w:lastRow="0" w:firstColumn="1" w:lastColumn="0" w:noHBand="1" w:noVBand="1"/>
      </w:tblPr>
      <w:tblGrid>
        <w:gridCol w:w="1645"/>
        <w:gridCol w:w="1119"/>
        <w:gridCol w:w="3468"/>
        <w:gridCol w:w="3397"/>
      </w:tblGrid>
      <w:tr w:rsidR="00F82C65" w:rsidRPr="00441513" w14:paraId="13F536C2" w14:textId="77777777" w:rsidTr="00F82C65">
        <w:trPr>
          <w:tblHeader/>
        </w:trPr>
        <w:tc>
          <w:tcPr>
            <w:tcW w:w="1645" w:type="dxa"/>
            <w:shd w:val="clear" w:color="auto" w:fill="D9D9D9" w:themeFill="background1" w:themeFillShade="D9"/>
            <w:vAlign w:val="center"/>
          </w:tcPr>
          <w:p w14:paraId="55396373" w14:textId="77777777" w:rsidR="00F82C65" w:rsidRPr="00441513" w:rsidRDefault="00F82C65" w:rsidP="00F82C65">
            <w:pPr>
              <w:pStyle w:val="Tablehead"/>
              <w:spacing w:before="60" w:after="60"/>
              <w:rPr>
                <w:lang w:val="es-ES"/>
              </w:rPr>
            </w:pPr>
            <w:r w:rsidRPr="00441513">
              <w:rPr>
                <w:color w:val="000000" w:themeColor="text1"/>
                <w:lang w:val="es-ES"/>
              </w:rPr>
              <w:t xml:space="preserve">Región </w:t>
            </w:r>
            <w:r w:rsidRPr="00441513">
              <w:rPr>
                <w:lang w:val="es-ES"/>
              </w:rPr>
              <w:t>de la UIT</w:t>
            </w:r>
          </w:p>
        </w:tc>
        <w:tc>
          <w:tcPr>
            <w:tcW w:w="1119" w:type="dxa"/>
            <w:shd w:val="clear" w:color="auto" w:fill="D9D9D9" w:themeFill="background1" w:themeFillShade="D9"/>
            <w:vAlign w:val="center"/>
          </w:tcPr>
          <w:p w14:paraId="15A9181F" w14:textId="77777777" w:rsidR="00F82C65" w:rsidRPr="00441513" w:rsidRDefault="00F82C65" w:rsidP="00F82C65">
            <w:pPr>
              <w:pStyle w:val="Tablehead"/>
              <w:spacing w:before="60" w:after="60"/>
              <w:rPr>
                <w:lang w:val="es-ES"/>
              </w:rPr>
            </w:pPr>
            <w:r w:rsidRPr="00441513">
              <w:rPr>
                <w:lang w:val="es-ES"/>
              </w:rPr>
              <w:t>Iniciativas Regionales pertinentes</w:t>
            </w:r>
          </w:p>
        </w:tc>
        <w:tc>
          <w:tcPr>
            <w:tcW w:w="3468" w:type="dxa"/>
            <w:shd w:val="clear" w:color="auto" w:fill="D9D9D9" w:themeFill="background1" w:themeFillShade="D9"/>
            <w:vAlign w:val="center"/>
          </w:tcPr>
          <w:p w14:paraId="130F1742" w14:textId="77777777" w:rsidR="00F82C65" w:rsidRPr="00441513" w:rsidRDefault="00F82C65" w:rsidP="00F82C65">
            <w:pPr>
              <w:pStyle w:val="Tablehead"/>
              <w:spacing w:before="60" w:after="60"/>
              <w:rPr>
                <w:lang w:val="es-ES"/>
              </w:rPr>
            </w:pPr>
            <w:r w:rsidRPr="00441513">
              <w:rPr>
                <w:lang w:val="es-ES"/>
              </w:rPr>
              <w:t>Objetivo y alcance</w:t>
            </w:r>
          </w:p>
        </w:tc>
        <w:tc>
          <w:tcPr>
            <w:tcW w:w="3397" w:type="dxa"/>
            <w:shd w:val="clear" w:color="auto" w:fill="D9D9D9" w:themeFill="background1" w:themeFillShade="D9"/>
            <w:vAlign w:val="center"/>
          </w:tcPr>
          <w:p w14:paraId="44FC0915" w14:textId="77777777" w:rsidR="00F82C65" w:rsidRPr="00441513" w:rsidRDefault="00F82C65" w:rsidP="00F82C65">
            <w:pPr>
              <w:pStyle w:val="Tablehead"/>
              <w:spacing w:before="60" w:after="60"/>
              <w:rPr>
                <w:lang w:val="es-ES"/>
              </w:rPr>
            </w:pPr>
            <w:r w:rsidRPr="00441513">
              <w:rPr>
                <w:lang w:val="es-ES"/>
              </w:rPr>
              <w:t>Esferas de interés y mandatos operacionales para los PMA, PDSL y PEID</w:t>
            </w:r>
          </w:p>
        </w:tc>
      </w:tr>
      <w:tr w:rsidR="00F82C65" w:rsidRPr="00441513" w14:paraId="78FB3652" w14:textId="77777777" w:rsidTr="00F82C65">
        <w:tc>
          <w:tcPr>
            <w:tcW w:w="1645" w:type="dxa"/>
            <w:vAlign w:val="center"/>
          </w:tcPr>
          <w:p w14:paraId="414278EF" w14:textId="77777777" w:rsidR="00F82C65" w:rsidRPr="00441513" w:rsidRDefault="00F82C65" w:rsidP="00F82C65">
            <w:pPr>
              <w:pStyle w:val="Tabletext"/>
              <w:spacing w:before="60" w:after="60"/>
              <w:rPr>
                <w:lang w:val="es-ES"/>
              </w:rPr>
            </w:pPr>
            <w:r w:rsidRPr="00441513">
              <w:rPr>
                <w:lang w:val="es-ES"/>
              </w:rPr>
              <w:t>África</w:t>
            </w:r>
          </w:p>
        </w:tc>
        <w:tc>
          <w:tcPr>
            <w:tcW w:w="1119" w:type="dxa"/>
            <w:vAlign w:val="center"/>
          </w:tcPr>
          <w:p w14:paraId="2E26351A" w14:textId="77777777" w:rsidR="00F82C65" w:rsidRPr="00441513" w:rsidRDefault="00F82C65" w:rsidP="00F82C65">
            <w:pPr>
              <w:pStyle w:val="Tabletext"/>
              <w:spacing w:before="60" w:after="60"/>
              <w:rPr>
                <w:rFonts w:cstheme="minorHAnsi"/>
                <w:b/>
                <w:lang w:val="es-ES"/>
              </w:rPr>
            </w:pPr>
            <w:r w:rsidRPr="00441513">
              <w:rPr>
                <w:rFonts w:cstheme="minorHAnsi"/>
                <w:b/>
                <w:lang w:val="es-ES"/>
              </w:rPr>
              <w:t xml:space="preserve">AFR1 </w:t>
            </w:r>
            <w:r w:rsidRPr="00441513">
              <w:rPr>
                <w:rFonts w:cstheme="minorHAnsi"/>
                <w:lang w:val="es-ES"/>
              </w:rPr>
              <w:t xml:space="preserve">y </w:t>
            </w:r>
            <w:r w:rsidRPr="00441513">
              <w:rPr>
                <w:rFonts w:cstheme="minorHAnsi"/>
                <w:b/>
                <w:lang w:val="es-ES"/>
              </w:rPr>
              <w:t>AFR5</w:t>
            </w:r>
          </w:p>
        </w:tc>
        <w:tc>
          <w:tcPr>
            <w:tcW w:w="3468" w:type="dxa"/>
          </w:tcPr>
          <w:p w14:paraId="0ACFFCD7" w14:textId="77777777" w:rsidR="00F82C65" w:rsidRPr="00441513" w:rsidRDefault="00F82C65" w:rsidP="00F82C65">
            <w:pPr>
              <w:pStyle w:val="Tabletext"/>
              <w:spacing w:before="60" w:after="60"/>
              <w:rPr>
                <w:rFonts w:cstheme="minorHAnsi"/>
                <w:b/>
                <w:bCs/>
                <w:lang w:val="es-ES"/>
              </w:rPr>
            </w:pPr>
            <w:r w:rsidRPr="00441513">
              <w:rPr>
                <w:rFonts w:cstheme="minorHAnsi"/>
                <w:b/>
                <w:lang w:val="es-ES"/>
              </w:rPr>
              <w:t xml:space="preserve">AFR1: </w:t>
            </w:r>
            <w:r w:rsidRPr="00441513">
              <w:rPr>
                <w:rFonts w:cstheme="minorHAnsi"/>
                <w:lang w:val="es-ES"/>
              </w:rPr>
              <w:t xml:space="preserve">El objetivo es mejorar la infraestructura de banda ancha, en particular en zonas rurales o desatendidas, mediante soluciones de conectividad resilientes y sistemas de alerta temprana multirriesgo, haciendo hincapié en aspectos de inclusividad de género y de los jóvenes. </w:t>
            </w:r>
          </w:p>
          <w:p w14:paraId="68238823" w14:textId="77777777" w:rsidR="00F82C65" w:rsidRPr="00441513" w:rsidRDefault="00F82C65" w:rsidP="00F82C65">
            <w:pPr>
              <w:pStyle w:val="Tabletext"/>
              <w:spacing w:before="60" w:after="60"/>
              <w:rPr>
                <w:rFonts w:cstheme="minorHAnsi"/>
                <w:lang w:val="es-ES"/>
              </w:rPr>
            </w:pPr>
            <w:r w:rsidRPr="00441513">
              <w:rPr>
                <w:rFonts w:cstheme="minorHAnsi"/>
                <w:b/>
                <w:lang w:val="es-ES"/>
              </w:rPr>
              <w:t xml:space="preserve">AFR5: </w:t>
            </w:r>
            <w:r w:rsidRPr="00441513">
              <w:rPr>
                <w:rFonts w:cstheme="minorHAnsi"/>
                <w:lang w:val="es-ES"/>
              </w:rPr>
              <w:t>Hace hincapié en el establecimiento de mecanismos de financiación sostenibles y en la atracción de inversiones a largo plazo para llevar a cabo la transformación digital de África.</w:t>
            </w:r>
          </w:p>
        </w:tc>
        <w:tc>
          <w:tcPr>
            <w:tcW w:w="3397" w:type="dxa"/>
          </w:tcPr>
          <w:p w14:paraId="362AA438" w14:textId="77777777" w:rsidR="00F82C65" w:rsidRPr="00441513" w:rsidRDefault="00F82C65" w:rsidP="00F82C65">
            <w:pPr>
              <w:pStyle w:val="Tabletext"/>
              <w:spacing w:before="60" w:after="60"/>
              <w:rPr>
                <w:rFonts w:cstheme="minorHAnsi"/>
                <w:b/>
                <w:bCs/>
                <w:lang w:val="es-ES"/>
              </w:rPr>
            </w:pPr>
            <w:r w:rsidRPr="00441513">
              <w:rPr>
                <w:rFonts w:cstheme="minorHAnsi"/>
                <w:b/>
                <w:lang w:val="es-ES"/>
              </w:rPr>
              <w:t xml:space="preserve">AFR1: </w:t>
            </w:r>
            <w:r w:rsidRPr="00441513">
              <w:rPr>
                <w:rFonts w:cstheme="minorHAnsi"/>
                <w:lang w:val="es-ES"/>
              </w:rPr>
              <w:t xml:space="preserve">Facilita explícitamente el acceso a </w:t>
            </w:r>
            <w:r w:rsidRPr="00441513">
              <w:rPr>
                <w:rFonts w:cstheme="minorHAnsi"/>
                <w:b/>
                <w:lang w:val="es-ES"/>
              </w:rPr>
              <w:t xml:space="preserve">cables submarinos en países sin litoral </w:t>
            </w:r>
            <w:r w:rsidRPr="00441513">
              <w:rPr>
                <w:rFonts w:cstheme="minorHAnsi"/>
                <w:lang w:val="es-ES"/>
              </w:rPr>
              <w:t xml:space="preserve">mediante la cooperación regional y la coordinación normativa. También se centra en ayudar a </w:t>
            </w:r>
            <w:r w:rsidRPr="00441513">
              <w:rPr>
                <w:rFonts w:cstheme="minorHAnsi"/>
                <w:b/>
                <w:lang w:val="es-ES"/>
              </w:rPr>
              <w:t>los PMA</w:t>
            </w:r>
            <w:r w:rsidRPr="00441513">
              <w:rPr>
                <w:rFonts w:cstheme="minorHAnsi"/>
                <w:lang w:val="es-ES"/>
              </w:rPr>
              <w:t xml:space="preserve"> a subsanar amplias brechas digitales e infraestructuras inadecuadas mediante la utilización eficaz de los fondos de servicio universal. </w:t>
            </w:r>
          </w:p>
          <w:p w14:paraId="1CEADBB3" w14:textId="77777777" w:rsidR="00F82C65" w:rsidRPr="00441513" w:rsidRDefault="00F82C65" w:rsidP="00F82C65">
            <w:pPr>
              <w:pStyle w:val="Tabletext"/>
              <w:spacing w:before="60" w:after="60"/>
              <w:rPr>
                <w:lang w:val="es-ES"/>
              </w:rPr>
            </w:pPr>
            <w:r w:rsidRPr="00441513">
              <w:rPr>
                <w:b/>
                <w:lang w:val="es-ES"/>
              </w:rPr>
              <w:t xml:space="preserve">AFR5: </w:t>
            </w:r>
            <w:r w:rsidRPr="00441513">
              <w:rPr>
                <w:lang w:val="es-ES"/>
              </w:rPr>
              <w:t xml:space="preserve">Existe el mandato de desarrollar un </w:t>
            </w:r>
            <w:r w:rsidRPr="00441513">
              <w:rPr>
                <w:b/>
                <w:lang w:val="es-ES"/>
              </w:rPr>
              <w:t xml:space="preserve">marco especializado </w:t>
            </w:r>
            <w:r w:rsidRPr="00441513">
              <w:rPr>
                <w:lang w:val="es-ES"/>
              </w:rPr>
              <w:t xml:space="preserve">para prestar apoyo financiero y técnico específicamente a </w:t>
            </w:r>
            <w:r w:rsidRPr="00441513">
              <w:rPr>
                <w:b/>
                <w:lang w:val="es-ES"/>
              </w:rPr>
              <w:t>los PMA</w:t>
            </w:r>
            <w:r w:rsidRPr="00441513">
              <w:rPr>
                <w:lang w:val="es-ES"/>
              </w:rPr>
              <w:t>.</w:t>
            </w:r>
          </w:p>
        </w:tc>
      </w:tr>
      <w:tr w:rsidR="00F82C65" w:rsidRPr="00441513" w14:paraId="7F43D230" w14:textId="77777777" w:rsidTr="00F82C65">
        <w:tc>
          <w:tcPr>
            <w:tcW w:w="1645" w:type="dxa"/>
            <w:vAlign w:val="center"/>
          </w:tcPr>
          <w:p w14:paraId="585FCEE4" w14:textId="77777777" w:rsidR="00F82C65" w:rsidRPr="00441513" w:rsidRDefault="00F82C65" w:rsidP="00F82C65">
            <w:pPr>
              <w:pStyle w:val="Tabletext"/>
              <w:spacing w:before="60" w:after="60"/>
              <w:rPr>
                <w:lang w:val="es-ES"/>
              </w:rPr>
            </w:pPr>
            <w:r w:rsidRPr="00441513">
              <w:rPr>
                <w:lang w:val="es-ES"/>
              </w:rPr>
              <w:t>Asia-Pacífico</w:t>
            </w:r>
          </w:p>
        </w:tc>
        <w:tc>
          <w:tcPr>
            <w:tcW w:w="1119" w:type="dxa"/>
            <w:vAlign w:val="center"/>
          </w:tcPr>
          <w:p w14:paraId="6E90D844" w14:textId="77777777" w:rsidR="00F82C65" w:rsidRPr="00441513" w:rsidRDefault="00F82C65" w:rsidP="00F82C65">
            <w:pPr>
              <w:pStyle w:val="Tabletext"/>
              <w:spacing w:before="60" w:after="60"/>
              <w:rPr>
                <w:rFonts w:cstheme="minorHAnsi"/>
                <w:b/>
                <w:lang w:val="es-ES"/>
              </w:rPr>
            </w:pPr>
            <w:r w:rsidRPr="00441513">
              <w:rPr>
                <w:rFonts w:cstheme="minorHAnsi"/>
                <w:b/>
                <w:lang w:val="es-ES"/>
              </w:rPr>
              <w:t>ASP1</w:t>
            </w:r>
          </w:p>
        </w:tc>
        <w:tc>
          <w:tcPr>
            <w:tcW w:w="3468" w:type="dxa"/>
          </w:tcPr>
          <w:p w14:paraId="45C5A7EE" w14:textId="77777777" w:rsidR="00F82C65" w:rsidRPr="00441513" w:rsidRDefault="00F82C65" w:rsidP="00F82C65">
            <w:pPr>
              <w:pStyle w:val="Tabletext"/>
              <w:spacing w:before="60" w:after="60"/>
              <w:rPr>
                <w:rFonts w:cstheme="minorHAnsi"/>
                <w:lang w:val="es-ES"/>
              </w:rPr>
            </w:pPr>
            <w:r w:rsidRPr="00441513">
              <w:rPr>
                <w:rFonts w:cstheme="minorHAnsi"/>
                <w:b/>
                <w:lang w:val="es-ES"/>
              </w:rPr>
              <w:t xml:space="preserve">ASP1: </w:t>
            </w:r>
            <w:r w:rsidRPr="00441513">
              <w:rPr>
                <w:rFonts w:cstheme="minorHAnsi"/>
                <w:lang w:val="es-ES"/>
              </w:rPr>
              <w:t>El objetivo es proporcionar asistencia especial a los PMA, los PEID (incluidos los países insulares del Pacífico) y los PDSL, a tenor de sus prioridades en materia de telecomunicaciones y TIC.</w:t>
            </w:r>
          </w:p>
        </w:tc>
        <w:tc>
          <w:tcPr>
            <w:tcW w:w="3397" w:type="dxa"/>
          </w:tcPr>
          <w:p w14:paraId="4AC83FC9" w14:textId="77777777" w:rsidR="00F82C65" w:rsidRPr="00441513" w:rsidRDefault="00F82C65" w:rsidP="00F82C65">
            <w:pPr>
              <w:pStyle w:val="Tabletext"/>
              <w:spacing w:before="60" w:after="60"/>
              <w:rPr>
                <w:rFonts w:cstheme="minorHAnsi"/>
                <w:lang w:val="es-ES"/>
              </w:rPr>
            </w:pPr>
            <w:r w:rsidRPr="00441513">
              <w:rPr>
                <w:rFonts w:cstheme="minorHAnsi"/>
                <w:b/>
                <w:lang w:val="es-ES"/>
              </w:rPr>
              <w:t xml:space="preserve">ASP1: </w:t>
            </w:r>
            <w:r w:rsidRPr="00441513">
              <w:rPr>
                <w:rFonts w:cstheme="minorHAnsi"/>
                <w:lang w:val="es-ES"/>
              </w:rPr>
              <w:t xml:space="preserve">Esta iniciativa se </w:t>
            </w:r>
            <w:r w:rsidRPr="00441513">
              <w:rPr>
                <w:rFonts w:cstheme="minorHAnsi"/>
                <w:b/>
                <w:lang w:val="es-ES"/>
              </w:rPr>
              <w:t xml:space="preserve">destina íntegramente </w:t>
            </w:r>
            <w:r w:rsidRPr="00441513">
              <w:rPr>
                <w:rFonts w:cstheme="minorHAnsi"/>
                <w:lang w:val="es-ES"/>
              </w:rPr>
              <w:t>a estos grupos. Se centra en los marcos normativos y reglamentarios para la infraestructura de banda ancha, la aplicación de las TIC y la ciberseguridad, la promoción de un acceso asequible y resiliente para comunidades lejanas y la armonización con agendas a escala internacional, en particular la Agenda de Antigua y Barbuda para los PEID (</w:t>
            </w:r>
            <w:r w:rsidRPr="00441513">
              <w:rPr>
                <w:rFonts w:cstheme="minorHAnsi"/>
                <w:b/>
                <w:lang w:val="es-ES"/>
              </w:rPr>
              <w:t>ABAS</w:t>
            </w:r>
            <w:r w:rsidRPr="00441513">
              <w:rPr>
                <w:rFonts w:cstheme="minorHAnsi"/>
                <w:lang w:val="es-ES"/>
              </w:rPr>
              <w:t>).</w:t>
            </w:r>
          </w:p>
        </w:tc>
      </w:tr>
      <w:tr w:rsidR="00F82C65" w:rsidRPr="00441513" w14:paraId="5ADFFA05" w14:textId="77777777" w:rsidTr="00F82C65">
        <w:tc>
          <w:tcPr>
            <w:tcW w:w="1645" w:type="dxa"/>
            <w:vAlign w:val="center"/>
          </w:tcPr>
          <w:p w14:paraId="67E38946" w14:textId="77777777" w:rsidR="00F82C65" w:rsidRPr="00441513" w:rsidRDefault="00F82C65" w:rsidP="00F82C65">
            <w:pPr>
              <w:pStyle w:val="Tabletext"/>
              <w:spacing w:before="60" w:after="60"/>
              <w:rPr>
                <w:lang w:val="es-ES"/>
              </w:rPr>
            </w:pPr>
            <w:r w:rsidRPr="00441513">
              <w:rPr>
                <w:lang w:val="es-ES"/>
              </w:rPr>
              <w:t>América</w:t>
            </w:r>
          </w:p>
        </w:tc>
        <w:tc>
          <w:tcPr>
            <w:tcW w:w="1119" w:type="dxa"/>
            <w:vAlign w:val="center"/>
          </w:tcPr>
          <w:p w14:paraId="1F163CCA" w14:textId="77777777" w:rsidR="00F82C65" w:rsidRPr="00441513" w:rsidRDefault="00F82C65" w:rsidP="00F82C65">
            <w:pPr>
              <w:pStyle w:val="Tabletext"/>
              <w:spacing w:before="60" w:after="60"/>
              <w:rPr>
                <w:rFonts w:cstheme="minorHAnsi"/>
                <w:b/>
                <w:lang w:val="es-ES"/>
              </w:rPr>
            </w:pPr>
            <w:r w:rsidRPr="00441513">
              <w:rPr>
                <w:rFonts w:cstheme="minorHAnsi"/>
                <w:b/>
                <w:lang w:val="es-ES"/>
              </w:rPr>
              <w:t xml:space="preserve">AMS1 </w:t>
            </w:r>
            <w:r w:rsidRPr="00441513">
              <w:rPr>
                <w:rFonts w:cstheme="minorHAnsi"/>
                <w:lang w:val="es-ES"/>
              </w:rPr>
              <w:t xml:space="preserve">y </w:t>
            </w:r>
            <w:r w:rsidRPr="00441513">
              <w:rPr>
                <w:rFonts w:cstheme="minorHAnsi"/>
                <w:b/>
                <w:lang w:val="es-ES"/>
              </w:rPr>
              <w:t>AMS5</w:t>
            </w:r>
          </w:p>
        </w:tc>
        <w:tc>
          <w:tcPr>
            <w:tcW w:w="3468" w:type="dxa"/>
          </w:tcPr>
          <w:p w14:paraId="3326DC9D" w14:textId="77777777" w:rsidR="00F82C65" w:rsidRPr="00441513" w:rsidRDefault="00F82C65" w:rsidP="00F82C65">
            <w:pPr>
              <w:pStyle w:val="Tabletext"/>
              <w:spacing w:before="60" w:after="60"/>
              <w:rPr>
                <w:rFonts w:cstheme="minorHAnsi"/>
                <w:lang w:val="es-ES"/>
              </w:rPr>
            </w:pPr>
            <w:r w:rsidRPr="00441513">
              <w:rPr>
                <w:rFonts w:cstheme="minorHAnsi"/>
                <w:b/>
                <w:lang w:val="es-ES"/>
              </w:rPr>
              <w:t xml:space="preserve">AMS1: </w:t>
            </w:r>
            <w:r w:rsidRPr="00441513">
              <w:rPr>
                <w:rFonts w:cstheme="minorHAnsi"/>
                <w:lang w:val="es-ES"/>
              </w:rPr>
              <w:t xml:space="preserve">Facilita una conectividad eficaz, universal y significativa mediante el despliegue de una infraestructura de TIC moderna, resiliente, segura y sostenible. </w:t>
            </w:r>
          </w:p>
          <w:p w14:paraId="74EA3498" w14:textId="77777777" w:rsidR="00F82C65" w:rsidRPr="00441513" w:rsidRDefault="00F82C65" w:rsidP="00F82C65">
            <w:pPr>
              <w:pStyle w:val="Tabletext"/>
              <w:spacing w:before="60" w:after="60"/>
              <w:rPr>
                <w:rFonts w:cstheme="minorHAnsi"/>
                <w:lang w:val="es-ES"/>
              </w:rPr>
            </w:pPr>
            <w:r w:rsidRPr="00441513">
              <w:rPr>
                <w:rFonts w:cstheme="minorHAnsi"/>
                <w:b/>
                <w:lang w:val="es-ES"/>
              </w:rPr>
              <w:t xml:space="preserve">AMS5: </w:t>
            </w:r>
            <w:r w:rsidRPr="00441513">
              <w:rPr>
                <w:rFonts w:cstheme="minorHAnsi"/>
                <w:lang w:val="es-ES"/>
              </w:rPr>
              <w:t>Se centra en ayudar a los Estados Miembros a desarrollar marcos normativos y reglamentarios basados en datos empíricos para fomentar el desarrollo digital inclusivo en varios sectores.</w:t>
            </w:r>
          </w:p>
        </w:tc>
        <w:tc>
          <w:tcPr>
            <w:tcW w:w="3397" w:type="dxa"/>
          </w:tcPr>
          <w:p w14:paraId="57F0A8F3" w14:textId="77777777" w:rsidR="00F82C65" w:rsidRPr="00441513" w:rsidRDefault="00F82C65" w:rsidP="00F82C65">
            <w:pPr>
              <w:pStyle w:val="Tabletext"/>
              <w:spacing w:before="60" w:after="60"/>
              <w:rPr>
                <w:lang w:val="es-ES"/>
              </w:rPr>
            </w:pPr>
            <w:r w:rsidRPr="00441513">
              <w:rPr>
                <w:b/>
                <w:lang w:val="es-ES"/>
              </w:rPr>
              <w:t xml:space="preserve">AMS1: </w:t>
            </w:r>
            <w:r w:rsidRPr="00441513">
              <w:rPr>
                <w:lang w:val="es-ES"/>
              </w:rPr>
              <w:t xml:space="preserve">Establece el mandato de </w:t>
            </w:r>
            <w:r w:rsidRPr="00441513">
              <w:rPr>
                <w:b/>
                <w:lang w:val="es-ES"/>
              </w:rPr>
              <w:t xml:space="preserve">prestar especial atención </w:t>
            </w:r>
            <w:r w:rsidRPr="00441513">
              <w:rPr>
                <w:lang w:val="es-ES"/>
              </w:rPr>
              <w:t xml:space="preserve">a </w:t>
            </w:r>
            <w:r w:rsidRPr="00441513">
              <w:rPr>
                <w:b/>
                <w:lang w:val="es-ES"/>
              </w:rPr>
              <w:t xml:space="preserve">los PMA, los PDSL y los PEID </w:t>
            </w:r>
            <w:r w:rsidRPr="00441513">
              <w:rPr>
                <w:lang w:val="es-ES"/>
              </w:rPr>
              <w:t xml:space="preserve">a los efectos de desarrollo de tecnologías digitales sostenibles y sistemas eficaces de alerta temprana para la gestión de desastres. </w:t>
            </w:r>
          </w:p>
          <w:p w14:paraId="468E4453" w14:textId="77777777" w:rsidR="00F82C65" w:rsidRPr="00441513" w:rsidRDefault="00F82C65" w:rsidP="00F82C65">
            <w:pPr>
              <w:pStyle w:val="Tabletext"/>
              <w:spacing w:before="60" w:after="60"/>
              <w:rPr>
                <w:rFonts w:cstheme="minorHAnsi"/>
                <w:lang w:val="es-ES"/>
              </w:rPr>
            </w:pPr>
            <w:r w:rsidRPr="00441513">
              <w:rPr>
                <w:rFonts w:cstheme="minorHAnsi"/>
                <w:b/>
                <w:lang w:val="es-ES"/>
              </w:rPr>
              <w:t xml:space="preserve">AMS5: </w:t>
            </w:r>
            <w:r w:rsidRPr="00441513">
              <w:rPr>
                <w:rFonts w:cstheme="minorHAnsi"/>
                <w:lang w:val="es-ES"/>
              </w:rPr>
              <w:t xml:space="preserve">Hace hincapié en fortalecer la participación de </w:t>
            </w:r>
            <w:r w:rsidRPr="00441513">
              <w:rPr>
                <w:rFonts w:cstheme="minorHAnsi"/>
                <w:b/>
                <w:lang w:val="es-ES"/>
              </w:rPr>
              <w:t xml:space="preserve">los países en desarrollo </w:t>
            </w:r>
            <w:r w:rsidRPr="00441513">
              <w:rPr>
                <w:rFonts w:cstheme="minorHAnsi"/>
                <w:lang w:val="es-ES"/>
              </w:rPr>
              <w:t>en los procesos de la UIT para facilitar su acceso a financiación y a conocimientos técnicos.</w:t>
            </w:r>
          </w:p>
        </w:tc>
      </w:tr>
      <w:tr w:rsidR="00F82C65" w:rsidRPr="00441513" w14:paraId="10729852" w14:textId="77777777" w:rsidTr="00F82C65">
        <w:tc>
          <w:tcPr>
            <w:tcW w:w="1645" w:type="dxa"/>
            <w:vAlign w:val="center"/>
          </w:tcPr>
          <w:p w14:paraId="5D8771CC" w14:textId="77777777" w:rsidR="00F82C65" w:rsidRPr="00441513" w:rsidRDefault="00F82C65" w:rsidP="00F82C65">
            <w:pPr>
              <w:pStyle w:val="Tabletext"/>
              <w:spacing w:before="60" w:after="60"/>
              <w:rPr>
                <w:lang w:val="es-ES"/>
              </w:rPr>
            </w:pPr>
            <w:r w:rsidRPr="00441513">
              <w:rPr>
                <w:lang w:val="es-ES"/>
              </w:rPr>
              <w:lastRenderedPageBreak/>
              <w:t>Estados Árabes</w:t>
            </w:r>
          </w:p>
        </w:tc>
        <w:tc>
          <w:tcPr>
            <w:tcW w:w="1119" w:type="dxa"/>
            <w:vAlign w:val="center"/>
          </w:tcPr>
          <w:p w14:paraId="3025931A" w14:textId="77777777" w:rsidR="00F82C65" w:rsidRPr="00441513" w:rsidRDefault="00F82C65" w:rsidP="00F82C65">
            <w:pPr>
              <w:pStyle w:val="Tabletext"/>
              <w:spacing w:before="60" w:after="60"/>
              <w:rPr>
                <w:rFonts w:cstheme="minorHAnsi"/>
                <w:b/>
                <w:lang w:val="es-ES"/>
              </w:rPr>
            </w:pPr>
            <w:r w:rsidRPr="00441513">
              <w:rPr>
                <w:rFonts w:cstheme="minorHAnsi"/>
                <w:b/>
                <w:lang w:val="es-ES"/>
              </w:rPr>
              <w:t xml:space="preserve">ARB1 </w:t>
            </w:r>
            <w:r w:rsidRPr="00441513">
              <w:rPr>
                <w:rFonts w:cstheme="minorHAnsi"/>
                <w:lang w:val="es-ES"/>
              </w:rPr>
              <w:t xml:space="preserve">y </w:t>
            </w:r>
            <w:r w:rsidRPr="00441513">
              <w:rPr>
                <w:rFonts w:cstheme="minorHAnsi"/>
                <w:b/>
                <w:lang w:val="es-ES"/>
              </w:rPr>
              <w:t>ARB2</w:t>
            </w:r>
          </w:p>
        </w:tc>
        <w:tc>
          <w:tcPr>
            <w:tcW w:w="3468" w:type="dxa"/>
          </w:tcPr>
          <w:p w14:paraId="2C8906D1" w14:textId="5D3A7911" w:rsidR="00F82C65" w:rsidRPr="00441513" w:rsidRDefault="00F82C65" w:rsidP="00F82C65">
            <w:pPr>
              <w:pStyle w:val="Tabletext"/>
              <w:spacing w:before="60" w:after="60"/>
              <w:rPr>
                <w:rFonts w:cstheme="minorHAnsi"/>
                <w:lang w:val="es-ES"/>
              </w:rPr>
            </w:pPr>
            <w:r w:rsidRPr="00441513">
              <w:rPr>
                <w:rFonts w:cstheme="minorHAnsi"/>
                <w:b/>
                <w:lang w:val="es-ES"/>
              </w:rPr>
              <w:t xml:space="preserve">ARB1: </w:t>
            </w:r>
            <w:r w:rsidRPr="00441513">
              <w:rPr>
                <w:rFonts w:cstheme="minorHAnsi"/>
                <w:lang w:val="es-ES"/>
              </w:rPr>
              <w:t>El objeto es subsanar la brecha de conectividad regional al tiempo que se facilita el acceso a servicios digitales esenciales mediante la planificación basada en datos, las asociaciones y la coordinación de las partes interesadas.</w:t>
            </w:r>
          </w:p>
          <w:p w14:paraId="1FD74683" w14:textId="77777777" w:rsidR="00F82C65" w:rsidRPr="00441513" w:rsidRDefault="00F82C65" w:rsidP="00F82C65">
            <w:pPr>
              <w:pStyle w:val="Tabletext"/>
              <w:spacing w:before="60" w:after="60"/>
              <w:rPr>
                <w:rFonts w:cstheme="minorHAnsi"/>
                <w:lang w:val="es-ES"/>
              </w:rPr>
            </w:pPr>
            <w:r w:rsidRPr="00441513">
              <w:rPr>
                <w:rFonts w:cstheme="minorHAnsi"/>
                <w:b/>
                <w:lang w:val="es-ES"/>
              </w:rPr>
              <w:t xml:space="preserve">ARB2: </w:t>
            </w:r>
            <w:r w:rsidRPr="00441513">
              <w:rPr>
                <w:rFonts w:cstheme="minorHAnsi"/>
                <w:lang w:val="es-ES"/>
              </w:rPr>
              <w:t>Se centra en capacitar a los Estados Miembros para que aprovechen las tecnologías digitales en aras del crecimiento económico sostenible, el bienestar social y una economía digital resiliente e inclusiva.</w:t>
            </w:r>
          </w:p>
        </w:tc>
        <w:tc>
          <w:tcPr>
            <w:tcW w:w="3397" w:type="dxa"/>
          </w:tcPr>
          <w:p w14:paraId="20B8C71D" w14:textId="274378D7" w:rsidR="00F82C65" w:rsidRPr="00441513" w:rsidRDefault="00F82C65" w:rsidP="00F82C65">
            <w:pPr>
              <w:pStyle w:val="Tabletext"/>
              <w:spacing w:before="60" w:after="60"/>
              <w:rPr>
                <w:lang w:val="es-ES"/>
              </w:rPr>
            </w:pPr>
            <w:r w:rsidRPr="00441513">
              <w:rPr>
                <w:b/>
                <w:lang w:val="es-ES"/>
              </w:rPr>
              <w:t xml:space="preserve">ARB1: </w:t>
            </w:r>
            <w:r w:rsidRPr="00441513">
              <w:rPr>
                <w:lang w:val="es-ES"/>
              </w:rPr>
              <w:t xml:space="preserve">Identifica como prioridad la ejecución de proyectos de banda ancha a gran escala para ampliar redes en </w:t>
            </w:r>
            <w:r w:rsidRPr="00441513">
              <w:rPr>
                <w:b/>
                <w:lang w:val="es-ES"/>
              </w:rPr>
              <w:t>zonas lejanas o desatendidas</w:t>
            </w:r>
            <w:r w:rsidRPr="00441513">
              <w:rPr>
                <w:lang w:val="es-ES"/>
              </w:rPr>
              <w:t>.</w:t>
            </w:r>
          </w:p>
          <w:p w14:paraId="6BBB6DDD" w14:textId="77777777" w:rsidR="00F82C65" w:rsidRPr="00441513" w:rsidRDefault="00F82C65" w:rsidP="00F82C65">
            <w:pPr>
              <w:pStyle w:val="Tabletext"/>
              <w:spacing w:before="60" w:after="60"/>
              <w:rPr>
                <w:lang w:val="es-ES"/>
              </w:rPr>
            </w:pPr>
            <w:r w:rsidRPr="00441513">
              <w:rPr>
                <w:b/>
                <w:lang w:val="es-ES"/>
              </w:rPr>
              <w:t xml:space="preserve">ARB2: </w:t>
            </w:r>
            <w:r w:rsidRPr="00441513">
              <w:rPr>
                <w:bCs/>
                <w:lang w:val="es-ES"/>
              </w:rPr>
              <w:t>Brinda apoyo</w:t>
            </w:r>
            <w:r w:rsidRPr="00441513">
              <w:rPr>
                <w:lang w:val="es-ES"/>
              </w:rPr>
              <w:t xml:space="preserve"> a </w:t>
            </w:r>
            <w:r w:rsidRPr="00441513">
              <w:rPr>
                <w:b/>
                <w:lang w:val="es-ES"/>
              </w:rPr>
              <w:t xml:space="preserve">los países menos avanzados </w:t>
            </w:r>
            <w:r w:rsidRPr="00441513">
              <w:rPr>
                <w:lang w:val="es-ES"/>
              </w:rPr>
              <w:t>en la evaluación de su preparación digital y la sostenibilidad de las ciudades inteligentes.</w:t>
            </w:r>
          </w:p>
        </w:tc>
      </w:tr>
      <w:tr w:rsidR="00F82C65" w:rsidRPr="00441513" w14:paraId="5F148DCD" w14:textId="77777777" w:rsidTr="00F82C65">
        <w:tc>
          <w:tcPr>
            <w:tcW w:w="1645" w:type="dxa"/>
            <w:vAlign w:val="center"/>
          </w:tcPr>
          <w:p w14:paraId="174A3DF6" w14:textId="515D977F" w:rsidR="00F82C65" w:rsidRPr="00441513" w:rsidRDefault="00F82C65" w:rsidP="00F82C65">
            <w:pPr>
              <w:pStyle w:val="Tabletext"/>
              <w:keepNext/>
              <w:keepLines/>
              <w:spacing w:before="60" w:after="60"/>
              <w:rPr>
                <w:lang w:val="es-ES"/>
              </w:rPr>
            </w:pPr>
            <w:r w:rsidRPr="00441513">
              <w:rPr>
                <w:lang w:val="es-ES"/>
              </w:rPr>
              <w:t>Comunidad de</w:t>
            </w:r>
            <w:r w:rsidR="006178FD" w:rsidRPr="00441513">
              <w:rPr>
                <w:lang w:val="es-ES"/>
              </w:rPr>
              <w:t> </w:t>
            </w:r>
            <w:r w:rsidRPr="00441513">
              <w:rPr>
                <w:lang w:val="es-ES"/>
              </w:rPr>
              <w:t>Estados Independientes</w:t>
            </w:r>
          </w:p>
        </w:tc>
        <w:tc>
          <w:tcPr>
            <w:tcW w:w="1119" w:type="dxa"/>
            <w:vAlign w:val="center"/>
          </w:tcPr>
          <w:p w14:paraId="1637B460" w14:textId="587F0DD3" w:rsidR="00F82C65" w:rsidRPr="00441513" w:rsidRDefault="00F82C65" w:rsidP="00F82C65">
            <w:pPr>
              <w:pStyle w:val="Tabletext"/>
              <w:keepNext/>
              <w:keepLines/>
              <w:spacing w:before="60" w:after="60"/>
              <w:rPr>
                <w:rFonts w:cstheme="minorHAnsi"/>
                <w:b/>
                <w:lang w:val="es-ES"/>
              </w:rPr>
            </w:pPr>
            <w:r w:rsidRPr="00441513">
              <w:rPr>
                <w:rFonts w:cstheme="minorHAnsi"/>
                <w:b/>
                <w:lang w:val="es-ES"/>
              </w:rPr>
              <w:t>CI</w:t>
            </w:r>
            <w:r w:rsidR="006178FD" w:rsidRPr="00441513">
              <w:rPr>
                <w:rFonts w:cstheme="minorHAnsi"/>
                <w:b/>
                <w:lang w:val="es-ES"/>
              </w:rPr>
              <w:t>S</w:t>
            </w:r>
            <w:r w:rsidRPr="00441513">
              <w:rPr>
                <w:rFonts w:cstheme="minorHAnsi"/>
                <w:b/>
                <w:lang w:val="es-ES"/>
              </w:rPr>
              <w:t>4</w:t>
            </w:r>
          </w:p>
        </w:tc>
        <w:tc>
          <w:tcPr>
            <w:tcW w:w="3468" w:type="dxa"/>
          </w:tcPr>
          <w:p w14:paraId="720F8E94" w14:textId="77777777" w:rsidR="00F82C65" w:rsidRPr="00441513" w:rsidRDefault="00F82C65" w:rsidP="00F82C65">
            <w:pPr>
              <w:pStyle w:val="Tabletext"/>
              <w:keepNext/>
              <w:keepLines/>
              <w:spacing w:before="60" w:after="60"/>
              <w:rPr>
                <w:rFonts w:cstheme="minorHAnsi"/>
                <w:lang w:val="es-ES"/>
              </w:rPr>
            </w:pPr>
            <w:r w:rsidRPr="00441513">
              <w:rPr>
                <w:rFonts w:cstheme="minorHAnsi"/>
                <w:b/>
                <w:lang w:val="es-ES"/>
              </w:rPr>
              <w:t>CIS1</w:t>
            </w:r>
            <w:r w:rsidRPr="00441513">
              <w:rPr>
                <w:rFonts w:cstheme="minorHAnsi"/>
                <w:lang w:val="es-ES"/>
              </w:rPr>
              <w:t xml:space="preserve">: Aborda la necesidad de reducir la brecha digital en materia de accesibilidad técnica mediante la integración de sistemas y redes de telecomunicaciones y TIC nuevos o incipientes. </w:t>
            </w:r>
          </w:p>
          <w:p w14:paraId="59DDBD73" w14:textId="77777777" w:rsidR="00F82C65" w:rsidRPr="00441513" w:rsidRDefault="00F82C65" w:rsidP="00F82C65">
            <w:pPr>
              <w:pStyle w:val="Tabletext"/>
              <w:keepNext/>
              <w:keepLines/>
              <w:spacing w:before="60" w:after="60"/>
              <w:rPr>
                <w:lang w:val="es-ES"/>
              </w:rPr>
            </w:pPr>
            <w:r w:rsidRPr="00441513">
              <w:rPr>
                <w:b/>
                <w:lang w:val="es-ES"/>
              </w:rPr>
              <w:t xml:space="preserve">CIS4: </w:t>
            </w:r>
            <w:r w:rsidRPr="00441513">
              <w:rPr>
                <w:lang w:val="es-ES"/>
              </w:rPr>
              <w:t>Se centra en facilitar la evolución oportuna de la regulación digital y la formulación de estrategias de desarrollo digital tanto en los países de la CEI como en toda la región, para reducir la brecha en materia de asequibilidad.</w:t>
            </w:r>
          </w:p>
        </w:tc>
        <w:tc>
          <w:tcPr>
            <w:tcW w:w="3397" w:type="dxa"/>
          </w:tcPr>
          <w:p w14:paraId="2AB9BE05" w14:textId="1D422C79" w:rsidR="00F82C65" w:rsidRPr="00441513" w:rsidRDefault="00F82C65" w:rsidP="00F82C65">
            <w:pPr>
              <w:pStyle w:val="Tabletext"/>
              <w:keepNext/>
              <w:keepLines/>
              <w:spacing w:before="60" w:after="60"/>
              <w:rPr>
                <w:lang w:val="es-ES"/>
              </w:rPr>
            </w:pPr>
            <w:r w:rsidRPr="00441513">
              <w:rPr>
                <w:b/>
                <w:bCs/>
                <w:lang w:val="es-ES"/>
              </w:rPr>
              <w:t xml:space="preserve">CIS1: </w:t>
            </w:r>
            <w:r w:rsidRPr="00441513">
              <w:rPr>
                <w:lang w:val="es-ES"/>
              </w:rPr>
              <w:t>Se centra en la gestión de recursos de frecuencia y orbitales para abordar la brecha de accesibilidad técnica en la región de la CEI.</w:t>
            </w:r>
          </w:p>
          <w:p w14:paraId="32BB861B" w14:textId="77777777" w:rsidR="00F82C65" w:rsidRPr="00441513" w:rsidRDefault="00F82C65" w:rsidP="00F82C65">
            <w:pPr>
              <w:pStyle w:val="Tabletext"/>
              <w:keepNext/>
              <w:keepLines/>
              <w:spacing w:before="60" w:after="60"/>
              <w:rPr>
                <w:lang w:val="es-ES"/>
              </w:rPr>
            </w:pPr>
            <w:r w:rsidRPr="00441513">
              <w:rPr>
                <w:b/>
                <w:lang w:val="es-ES"/>
              </w:rPr>
              <w:t xml:space="preserve">CIS4: </w:t>
            </w:r>
            <w:r w:rsidRPr="00441513">
              <w:rPr>
                <w:lang w:val="es-ES"/>
              </w:rPr>
              <w:t>Analiza un enfoque panregional de la transformación digital que aúne esfuerzos y recursos para apoyar a todos los países de la CEI, incluidos los siete países en desarrollo sin litoral de la región.</w:t>
            </w:r>
          </w:p>
        </w:tc>
      </w:tr>
    </w:tbl>
    <w:p w14:paraId="002FEA91" w14:textId="7851F2BF" w:rsidR="00F82C65" w:rsidRPr="00441513" w:rsidRDefault="00F82C65" w:rsidP="00F82C65">
      <w:pPr>
        <w:pStyle w:val="Tablelegend"/>
        <w:rPr>
          <w:i/>
          <w:iCs/>
          <w:lang w:val="es-ES"/>
        </w:rPr>
      </w:pPr>
      <w:r w:rsidRPr="00441513">
        <w:rPr>
          <w:i/>
          <w:iCs/>
          <w:lang w:val="es-ES"/>
        </w:rPr>
        <w:t>Nota: No existe ninguna referencia específica a los PMA, PDSL y PEID en las Iniciativas Regionales para Europa.</w:t>
      </w:r>
    </w:p>
    <w:p w14:paraId="7ADA7F78" w14:textId="156323CD" w:rsidR="00F82C65" w:rsidRPr="00441513" w:rsidRDefault="00F82C65" w:rsidP="00F82C65">
      <w:pPr>
        <w:pStyle w:val="Heading1"/>
        <w:rPr>
          <w:lang w:val="es-ES"/>
        </w:rPr>
      </w:pPr>
      <w:r w:rsidRPr="00441513">
        <w:rPr>
          <w:lang w:val="es-ES"/>
        </w:rPr>
        <w:t>5</w:t>
      </w:r>
      <w:r w:rsidRPr="00441513">
        <w:rPr>
          <w:lang w:val="es-ES"/>
        </w:rPr>
        <w:tab/>
        <w:t>Acciones del Pan operacional (OP) en los PMA, los PDSL y los PEID</w:t>
      </w:r>
    </w:p>
    <w:p w14:paraId="17613575" w14:textId="59EFE7AD" w:rsidR="00F82C65" w:rsidRPr="00441513" w:rsidRDefault="00F82C65" w:rsidP="000227EF">
      <w:pPr>
        <w:pStyle w:val="Normalaftertitle"/>
        <w:rPr>
          <w:lang w:val="es-ES"/>
        </w:rPr>
      </w:pPr>
      <w:r w:rsidRPr="00441513">
        <w:rPr>
          <w:lang w:val="es-ES"/>
        </w:rPr>
        <w:t xml:space="preserve">El Plan Operacional permite definir el marco para la aplicación de las prioridades del UIT-D en el </w:t>
      </w:r>
      <w:r w:rsidR="00441513" w:rsidRPr="00441513">
        <w:rPr>
          <w:lang w:val="es-ES"/>
        </w:rPr>
        <w:t>periodo</w:t>
      </w:r>
      <w:r w:rsidRPr="00441513">
        <w:rPr>
          <w:lang w:val="es-ES"/>
        </w:rPr>
        <w:t xml:space="preserve"> 2026-2029. El proceso de planificación de las medidas del PO-26 se ha estructurado sobre la base del establecimiento de principios rectores que garanticen la armonización con el </w:t>
      </w:r>
      <w:hyperlink r:id="rId17" w:history="1">
        <w:r w:rsidRPr="00441513">
          <w:rPr>
            <w:rStyle w:val="Hyperlink"/>
            <w:lang w:val="es-ES"/>
          </w:rPr>
          <w:t>Plan de Acción de Bakú</w:t>
        </w:r>
      </w:hyperlink>
      <w:r w:rsidRPr="00441513">
        <w:rPr>
          <w:lang w:val="es-ES"/>
        </w:rPr>
        <w:t xml:space="preserve">, habida cuenta de las Resoluciones de la CMDT y de las Iniciativas Regionales, al tiempo que se presta especial atención a las necesidades de los PMA, los PDSL y los PEID. Se seguirá un enfoque análogo para años sucesivos. En </w:t>
      </w:r>
      <w:hyperlink r:id="rId18" w:history="1">
        <w:r w:rsidRPr="00441513">
          <w:rPr>
            <w:rStyle w:val="Hyperlink"/>
            <w:lang w:val="es-ES"/>
          </w:rPr>
          <w:t>el documento TDAG-26/2(Add.2)</w:t>
        </w:r>
      </w:hyperlink>
      <w:r w:rsidRPr="00441513">
        <w:rPr>
          <w:lang w:val="es-ES"/>
        </w:rPr>
        <w:t xml:space="preserve"> figura información pormenorizada sobre el PO-26, en particular los recursos asignados a cada región.</w:t>
      </w:r>
    </w:p>
    <w:p w14:paraId="5A3CDBF5" w14:textId="40F65F1F" w:rsidR="00F82C65" w:rsidRPr="00441513" w:rsidRDefault="00F82C65" w:rsidP="00F82C65">
      <w:pPr>
        <w:pStyle w:val="Heading1"/>
        <w:rPr>
          <w:lang w:val="es-ES"/>
        </w:rPr>
      </w:pPr>
      <w:r w:rsidRPr="00441513">
        <w:rPr>
          <w:lang w:val="es-ES"/>
        </w:rPr>
        <w:t>6</w:t>
      </w:r>
      <w:r w:rsidRPr="00441513">
        <w:rPr>
          <w:lang w:val="es-ES"/>
        </w:rPr>
        <w:tab/>
        <w:t>El papel de los proyectos del UIT-D respecto del apoyo</w:t>
      </w:r>
      <w:r w:rsidR="00C249C4" w:rsidRPr="00441513">
        <w:rPr>
          <w:lang w:val="es-ES"/>
        </w:rPr>
        <w:t xml:space="preserve"> </w:t>
      </w:r>
      <w:r w:rsidRPr="00441513">
        <w:rPr>
          <w:lang w:val="es-ES"/>
        </w:rPr>
        <w:t>a los PMA,</w:t>
      </w:r>
      <w:r w:rsidR="00C249C4" w:rsidRPr="00441513">
        <w:rPr>
          <w:lang w:val="es-ES"/>
        </w:rPr>
        <w:br/>
      </w:r>
      <w:r w:rsidRPr="00441513">
        <w:rPr>
          <w:lang w:val="es-ES"/>
        </w:rPr>
        <w:t>PDSL y PEID</w:t>
      </w:r>
    </w:p>
    <w:p w14:paraId="058AF1A9" w14:textId="3452D8A1" w:rsidR="00F82C65" w:rsidRPr="00441513" w:rsidRDefault="00C249C4" w:rsidP="000227EF">
      <w:pPr>
        <w:pStyle w:val="Normalaftertitle"/>
        <w:rPr>
          <w:lang w:val="es-ES"/>
        </w:rPr>
      </w:pPr>
      <w:r w:rsidRPr="00441513">
        <w:rPr>
          <w:lang w:val="es-ES"/>
        </w:rPr>
        <w:t xml:space="preserve">La Unión Internacional de Telecomunicaciones (UIT) desempeña la doble función de organismo especializado de las Naciones Unidas y organismo de ejecución. La Oficina de Desarrollo de las Telecomunicaciones de la UIT posee una amplia experiencia en la ejecución y aplicación de proyectos de TIC para el desarrollo, con conocimientos especializados en la movilización de recursos, y la elaboración, gestión y ejecución de proyectos, así como en actividades de supervisión y evaluación. Para ampliar información sobre la labor realizada en los proyectos del UIT-D, véase </w:t>
      </w:r>
      <w:hyperlink r:id="rId19" w:history="1">
        <w:r w:rsidRPr="00441513">
          <w:rPr>
            <w:rStyle w:val="Hyperlink"/>
            <w:lang w:val="es-ES"/>
          </w:rPr>
          <w:t>el documento TDAG-26/8</w:t>
        </w:r>
      </w:hyperlink>
      <w:r w:rsidRPr="00441513">
        <w:rPr>
          <w:lang w:val="es-ES"/>
        </w:rPr>
        <w:t>.</w:t>
      </w:r>
    </w:p>
    <w:p w14:paraId="00F77659" w14:textId="1227FB67" w:rsidR="00C249C4" w:rsidRPr="00441513" w:rsidRDefault="00C249C4" w:rsidP="00C249C4">
      <w:pPr>
        <w:rPr>
          <w:lang w:val="es-ES"/>
        </w:rPr>
      </w:pPr>
      <w:r w:rsidRPr="00441513">
        <w:rPr>
          <w:lang w:val="es-ES"/>
        </w:rPr>
        <w:lastRenderedPageBreak/>
        <w:t>El conjunto de proyectos de la UIT abarca proyectos ejecutados en todas las regiones de la UIT y que comprenden una amplia gama de esferas de especialización de la UIT. Los proyectos del UIT-D se financian principalmente mediante las contribuciones de los asociados financieros y, en algunos casos, siempre que se cumplan los criterios pertinentes, a través del Fondo de Desarrollo de las TIC (FD-TIC). Constituido en 1997, el FD-TIC facilita la ejecución de proyectos basados en asociaciones entre varias partes interesadas, en particular Estados Miembros de la UIT, Miembros de Sector, los sectores público y privado, organizaciones multilaterales, fundaciones, instituciones financieras y organismos para el desarrollo. Dicho Fondo de destina específicamente a apoyar a los PMA, PDSL y PEID, así como a países con economías en transición y países con necesidades especiales. Desde</w:t>
      </w:r>
      <w:r w:rsidR="00A77E25" w:rsidRPr="00441513">
        <w:rPr>
          <w:lang w:val="es-ES"/>
        </w:rPr>
        <w:t> </w:t>
      </w:r>
      <w:r w:rsidRPr="00441513">
        <w:rPr>
          <w:lang w:val="es-ES"/>
        </w:rPr>
        <w:t>2023, el FD-TIC también fomenta proyectos que contribuyan a la ejecución de las iniciativas regionales de la CMDT</w:t>
      </w:r>
      <w:r w:rsidRPr="00441513">
        <w:rPr>
          <w:rStyle w:val="FootnoteReference"/>
          <w:lang w:val="es-ES"/>
        </w:rPr>
        <w:footnoteReference w:id="7"/>
      </w:r>
      <w:r w:rsidRPr="00441513">
        <w:rPr>
          <w:lang w:val="es-ES"/>
        </w:rPr>
        <w:t>.</w:t>
      </w:r>
    </w:p>
    <w:p w14:paraId="3083D860" w14:textId="0BEEF01F" w:rsidR="00C249C4" w:rsidRPr="00441513" w:rsidRDefault="00C249C4" w:rsidP="00C249C4">
      <w:pPr>
        <w:rPr>
          <w:lang w:val="es-ES"/>
        </w:rPr>
      </w:pPr>
      <w:r w:rsidRPr="00441513">
        <w:rPr>
          <w:lang w:val="es-ES"/>
        </w:rPr>
        <w:t xml:space="preserve">Los PMA, los PDSL y los PEID se benefician periódicamente de los proyectos del UIT-D. </w:t>
      </w:r>
      <w:r w:rsidRPr="00441513">
        <w:rPr>
          <w:b/>
          <w:bCs/>
          <w:lang w:val="es-ES"/>
        </w:rPr>
        <w:t>Durante el ciclo 2022-2025, la BDT suscribió 41 nuevos proyectos que incluían actividades en al menos uno de los países destinatarios. Dichos proyectos fueron de carácter nacional, regional o multirregional y se establecieron en colaboración con una amplia gama de partes interesadas de los sectores público y privado, así como con otros organismos de las Naciones Unidas e instituciones sin ánimo de lucro</w:t>
      </w:r>
      <w:r w:rsidRPr="00441513">
        <w:rPr>
          <w:rStyle w:val="FootnoteReference"/>
          <w:lang w:val="es-ES"/>
        </w:rPr>
        <w:footnoteReference w:id="8"/>
      </w:r>
      <w:r w:rsidRPr="00441513">
        <w:rPr>
          <w:lang w:val="es-ES"/>
        </w:rPr>
        <w:t>.</w:t>
      </w:r>
    </w:p>
    <w:p w14:paraId="5729433D" w14:textId="4ABC1098" w:rsidR="00F82C65" w:rsidRPr="00441513" w:rsidRDefault="00C249C4" w:rsidP="00C249C4">
      <w:pPr>
        <w:rPr>
          <w:lang w:val="es-ES"/>
        </w:rPr>
      </w:pPr>
      <w:r w:rsidRPr="00441513">
        <w:rPr>
          <w:lang w:val="es-ES"/>
        </w:rPr>
        <w:t>No obstante, conviene señalar que, puesto que la UIT no es una institución de financiación, la viabilidad de suscribir nuevos proyectos para el ciclo de la CMDT-25 dependerá en gran medida de la disponibilidad de asociados financieros interesados en apoyar la labor de la UIT, en particular con respecto a los países destinatarios. El FD-TIC proporcionó un recurso fundamental durante el último ciclo para facilitar la puesta en marcha de muchos de los nuevos proyectos suscritos por la</w:t>
      </w:r>
      <w:r w:rsidR="000227EF" w:rsidRPr="00441513">
        <w:rPr>
          <w:lang w:val="es-ES"/>
        </w:rPr>
        <w:t> </w:t>
      </w:r>
      <w:r w:rsidRPr="00441513">
        <w:rPr>
          <w:lang w:val="es-ES"/>
        </w:rPr>
        <w:t>UIT, ya que un número cada vez mayor de donantes exige que los organismos que reciben fondos faciliten un cierto nivel de cofinanciación para garantizar la viabilidad de nuevos proyectos. El Fondo también permitió ampliar proyectos, con prioridad a la ampliación del alcance a otros PMA, PDSL y PEID. Puesto que la BDT aplica actualmente el Plan de Acción de Bakú, será esencial proseguir y mejorar los esfuerzos de movilización de recursos, y garantizar la sostenibilidad financiera a largo plazo del FD-TIC, al tiempo que se alienta a los Miembros de la UIT a realizar contribuciones voluntarias al Fondo. Se invita al GADT a que proporcione orientación sobre posibles mecanismos para fomentar la participación de los Miembros de la UIT y la movilización de fondos extrapresupuestarios, con el fin de poner en marcha nuevos proyectos que repercutan en gran medida en los PMA, los PDSL y los PEID.</w:t>
      </w:r>
    </w:p>
    <w:p w14:paraId="57F4970B" w14:textId="7C4B5549" w:rsidR="00C249C4" w:rsidRPr="00441513" w:rsidRDefault="00A77E25" w:rsidP="00A77E25">
      <w:pPr>
        <w:pStyle w:val="Heading1"/>
        <w:rPr>
          <w:lang w:val="es-ES"/>
        </w:rPr>
      </w:pPr>
      <w:r w:rsidRPr="00441513">
        <w:rPr>
          <w:lang w:val="es-ES"/>
        </w:rPr>
        <w:t>7</w:t>
      </w:r>
      <w:r w:rsidRPr="00441513">
        <w:rPr>
          <w:lang w:val="es-ES"/>
        </w:rPr>
        <w:tab/>
        <w:t xml:space="preserve">Coalición Digital </w:t>
      </w:r>
      <w:r w:rsidRPr="00441513">
        <w:rPr>
          <w:i/>
          <w:iCs/>
          <w:lang w:val="es-ES"/>
        </w:rPr>
        <w:t>Partner2Connect</w:t>
      </w:r>
      <w:r w:rsidRPr="00441513">
        <w:rPr>
          <w:lang w:val="es-ES"/>
        </w:rPr>
        <w:t xml:space="preserve"> (P2C)</w:t>
      </w:r>
    </w:p>
    <w:p w14:paraId="238289B6" w14:textId="77777777" w:rsidR="00A77E25" w:rsidRPr="00441513" w:rsidRDefault="00A77E25" w:rsidP="000227EF">
      <w:pPr>
        <w:pStyle w:val="Normalaftertitle"/>
        <w:rPr>
          <w:lang w:val="es-ES"/>
        </w:rPr>
      </w:pPr>
      <w:r w:rsidRPr="00441513">
        <w:rPr>
          <w:lang w:val="es-ES"/>
        </w:rPr>
        <w:t xml:space="preserve">La Coalición Digital </w:t>
      </w:r>
      <w:r w:rsidRPr="00441513">
        <w:rPr>
          <w:i/>
          <w:iCs/>
          <w:lang w:val="es-ES"/>
        </w:rPr>
        <w:t>Partner2Connect</w:t>
      </w:r>
      <w:r w:rsidRPr="00441513">
        <w:rPr>
          <w:lang w:val="es-ES"/>
        </w:rPr>
        <w:t xml:space="preserve"> (P2C) es una plataforma multilateral para movilizar recursos y fomentar asociaciones con el fin de promover una conectividad universal y significativa, así como una transformación digital sostenible, en particular con respecto a los PMA, los PDSL y los PEID. </w:t>
      </w:r>
    </w:p>
    <w:p w14:paraId="61E9D7EB" w14:textId="77777777" w:rsidR="00A77E25" w:rsidRPr="00441513" w:rsidRDefault="00A77E25" w:rsidP="00A77E25">
      <w:pPr>
        <w:rPr>
          <w:lang w:val="es-ES"/>
        </w:rPr>
      </w:pPr>
      <w:r w:rsidRPr="00441513">
        <w:rPr>
          <w:lang w:val="es-ES"/>
        </w:rPr>
        <w:t xml:space="preserve">Desde 2023, la BDT ha fortalecido su función de coordinadora de compromisos y de facilitadora operacional, al tiempo que ha llevado a cabo ejercicios estructurados destinados al establecimiento de asociaciones adecuadas en el marco de la P2C. Dichos esfuerzos tienen por </w:t>
      </w:r>
      <w:r w:rsidRPr="00441513">
        <w:rPr>
          <w:lang w:val="es-ES"/>
        </w:rPr>
        <w:lastRenderedPageBreak/>
        <w:t>objeto armonizar las prioridades específicas de cada región y país con arreglo a los compromisos de los asociados, al tiempo que se vela por que los compromisos den lugar a proyectos viables y a resultados de desarrollo medibles.</w:t>
      </w:r>
    </w:p>
    <w:p w14:paraId="6548CD73" w14:textId="59C1B7EA" w:rsidR="00C249C4" w:rsidRPr="00441513" w:rsidRDefault="00A77E25" w:rsidP="00A77E25">
      <w:pPr>
        <w:rPr>
          <w:lang w:val="es-ES"/>
        </w:rPr>
      </w:pPr>
      <w:r w:rsidRPr="00441513">
        <w:rPr>
          <w:lang w:val="es-ES"/>
        </w:rPr>
        <w:t>En febrero de 2026, la P2C había coordinado más de 1</w:t>
      </w:r>
      <w:r w:rsidR="000227EF" w:rsidRPr="00441513">
        <w:rPr>
          <w:lang w:val="es-ES"/>
        </w:rPr>
        <w:t> </w:t>
      </w:r>
      <w:r w:rsidRPr="00441513">
        <w:rPr>
          <w:lang w:val="es-ES"/>
        </w:rPr>
        <w:t>000 compromisos de 492 organismos de</w:t>
      </w:r>
      <w:r w:rsidR="000227EF" w:rsidRPr="00441513">
        <w:rPr>
          <w:lang w:val="es-ES"/>
        </w:rPr>
        <w:t> </w:t>
      </w:r>
      <w:r w:rsidRPr="00441513">
        <w:rPr>
          <w:lang w:val="es-ES"/>
        </w:rPr>
        <w:t>149 países, incluidos compromisos específicos en apoyo de los PMA, los PDSL y los PEID, tal y como se resume en el cuadro 2 siguiente:</w:t>
      </w:r>
    </w:p>
    <w:p w14:paraId="6EAE991A" w14:textId="53DDD82E" w:rsidR="00A77E25" w:rsidRPr="00441513" w:rsidRDefault="00A77E25" w:rsidP="00A77E25">
      <w:pPr>
        <w:pStyle w:val="Tabletitle"/>
        <w:spacing w:before="120"/>
        <w:rPr>
          <w:lang w:val="es-ES"/>
        </w:rPr>
      </w:pPr>
      <w:r w:rsidRPr="00441513">
        <w:rPr>
          <w:lang w:val="es-ES"/>
        </w:rPr>
        <w:t>Cuadro 2: Compromisos de la P2C y valor estimado (en dólares de EEUU)</w:t>
      </w:r>
    </w:p>
    <w:tbl>
      <w:tblPr>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6A0" w:firstRow="1" w:lastRow="0" w:firstColumn="1" w:lastColumn="0" w:noHBand="1" w:noVBand="1"/>
      </w:tblPr>
      <w:tblGrid>
        <w:gridCol w:w="4335"/>
        <w:gridCol w:w="2310"/>
        <w:gridCol w:w="2880"/>
      </w:tblGrid>
      <w:tr w:rsidR="00A77E25" w:rsidRPr="00441513" w14:paraId="5FD30335" w14:textId="77777777" w:rsidTr="0020469F">
        <w:trPr>
          <w:trHeight w:val="540"/>
          <w:jc w:val="center"/>
        </w:trPr>
        <w:tc>
          <w:tcPr>
            <w:tcW w:w="4335" w:type="dxa"/>
          </w:tcPr>
          <w:p w14:paraId="2DA1C8F8" w14:textId="77777777" w:rsidR="00A77E25" w:rsidRPr="00441513" w:rsidRDefault="00A77E25" w:rsidP="00A77E25">
            <w:pPr>
              <w:pStyle w:val="Tablehead"/>
              <w:rPr>
                <w:lang w:val="es-ES"/>
              </w:rPr>
            </w:pPr>
            <w:r w:rsidRPr="00441513">
              <w:rPr>
                <w:lang w:val="es-ES"/>
              </w:rPr>
              <w:t>Grupo de países</w:t>
            </w:r>
          </w:p>
        </w:tc>
        <w:tc>
          <w:tcPr>
            <w:tcW w:w="2310" w:type="dxa"/>
            <w:vAlign w:val="center"/>
          </w:tcPr>
          <w:p w14:paraId="32A7A33E" w14:textId="77777777" w:rsidR="00A77E25" w:rsidRPr="00441513" w:rsidRDefault="00A77E25" w:rsidP="00A77E25">
            <w:pPr>
              <w:pStyle w:val="Tablehead"/>
              <w:rPr>
                <w:lang w:val="es-ES"/>
              </w:rPr>
            </w:pPr>
            <w:r w:rsidRPr="00441513">
              <w:rPr>
                <w:lang w:val="es-ES"/>
              </w:rPr>
              <w:t>Número de compromisos</w:t>
            </w:r>
          </w:p>
        </w:tc>
        <w:tc>
          <w:tcPr>
            <w:tcW w:w="2880" w:type="dxa"/>
            <w:vAlign w:val="center"/>
          </w:tcPr>
          <w:p w14:paraId="642E507F" w14:textId="77777777" w:rsidR="00A77E25" w:rsidRPr="00441513" w:rsidRDefault="00A77E25" w:rsidP="00A77E25">
            <w:pPr>
              <w:pStyle w:val="Tablehead"/>
              <w:rPr>
                <w:lang w:val="es-ES"/>
              </w:rPr>
            </w:pPr>
            <w:r w:rsidRPr="00441513">
              <w:rPr>
                <w:lang w:val="es-ES"/>
              </w:rPr>
              <w:t>Valor estimado (USD)</w:t>
            </w:r>
          </w:p>
        </w:tc>
      </w:tr>
      <w:tr w:rsidR="00A77E25" w:rsidRPr="00441513" w14:paraId="5BA8F0AB" w14:textId="77777777" w:rsidTr="0020469F">
        <w:trPr>
          <w:trHeight w:val="300"/>
          <w:jc w:val="center"/>
        </w:trPr>
        <w:tc>
          <w:tcPr>
            <w:tcW w:w="4335" w:type="dxa"/>
          </w:tcPr>
          <w:p w14:paraId="3D2EF7BF" w14:textId="77777777" w:rsidR="00A77E25" w:rsidRPr="00441513" w:rsidRDefault="00A77E25" w:rsidP="00A77E25">
            <w:pPr>
              <w:pStyle w:val="Tabletext"/>
              <w:rPr>
                <w:lang w:val="es-ES"/>
              </w:rPr>
            </w:pPr>
            <w:r w:rsidRPr="00441513">
              <w:rPr>
                <w:lang w:val="es-ES"/>
              </w:rPr>
              <w:t>Países menos adelantados (PMA)</w:t>
            </w:r>
          </w:p>
        </w:tc>
        <w:tc>
          <w:tcPr>
            <w:tcW w:w="2310" w:type="dxa"/>
            <w:vAlign w:val="center"/>
          </w:tcPr>
          <w:p w14:paraId="4DE33F04" w14:textId="77777777" w:rsidR="00A77E25" w:rsidRPr="00441513" w:rsidRDefault="00A77E25" w:rsidP="00A77E25">
            <w:pPr>
              <w:pStyle w:val="Tabletext"/>
              <w:jc w:val="center"/>
              <w:rPr>
                <w:lang w:val="es-ES"/>
              </w:rPr>
            </w:pPr>
            <w:r w:rsidRPr="00441513">
              <w:rPr>
                <w:lang w:val="es-ES"/>
              </w:rPr>
              <w:t>323</w:t>
            </w:r>
          </w:p>
        </w:tc>
        <w:tc>
          <w:tcPr>
            <w:tcW w:w="2880" w:type="dxa"/>
            <w:vAlign w:val="center"/>
          </w:tcPr>
          <w:p w14:paraId="21F5541F" w14:textId="1FCCB8C3" w:rsidR="00A77E25" w:rsidRPr="00441513" w:rsidRDefault="00A77E25" w:rsidP="00A77E25">
            <w:pPr>
              <w:pStyle w:val="Tabletext"/>
              <w:jc w:val="right"/>
              <w:rPr>
                <w:lang w:val="es-ES"/>
              </w:rPr>
            </w:pPr>
            <w:r w:rsidRPr="00441513">
              <w:rPr>
                <w:lang w:val="es-ES"/>
              </w:rPr>
              <w:t>29</w:t>
            </w:r>
            <w:r w:rsidR="000227EF" w:rsidRPr="00441513">
              <w:rPr>
                <w:lang w:val="es-ES"/>
              </w:rPr>
              <w:t> </w:t>
            </w:r>
            <w:r w:rsidRPr="00441513">
              <w:rPr>
                <w:lang w:val="es-ES"/>
              </w:rPr>
              <w:t>570 millones</w:t>
            </w:r>
          </w:p>
        </w:tc>
      </w:tr>
      <w:tr w:rsidR="00A77E25" w:rsidRPr="00441513" w14:paraId="77433818" w14:textId="77777777" w:rsidTr="0020469F">
        <w:trPr>
          <w:trHeight w:val="300"/>
          <w:jc w:val="center"/>
        </w:trPr>
        <w:tc>
          <w:tcPr>
            <w:tcW w:w="4335" w:type="dxa"/>
          </w:tcPr>
          <w:p w14:paraId="7B25ADEE" w14:textId="77777777" w:rsidR="00A77E25" w:rsidRPr="00441513" w:rsidRDefault="00A77E25" w:rsidP="00A77E25">
            <w:pPr>
              <w:pStyle w:val="Tabletext"/>
              <w:rPr>
                <w:lang w:val="es-ES"/>
              </w:rPr>
            </w:pPr>
            <w:r w:rsidRPr="00441513">
              <w:rPr>
                <w:lang w:val="es-ES"/>
              </w:rPr>
              <w:t>Países en desarrollo sin litoral (PDSL)</w:t>
            </w:r>
          </w:p>
        </w:tc>
        <w:tc>
          <w:tcPr>
            <w:tcW w:w="2310" w:type="dxa"/>
            <w:vAlign w:val="center"/>
          </w:tcPr>
          <w:p w14:paraId="6F8E6D2F" w14:textId="77777777" w:rsidR="00A77E25" w:rsidRPr="00441513" w:rsidRDefault="00A77E25" w:rsidP="00A77E25">
            <w:pPr>
              <w:pStyle w:val="Tabletext"/>
              <w:jc w:val="center"/>
              <w:rPr>
                <w:lang w:val="es-ES"/>
              </w:rPr>
            </w:pPr>
            <w:r w:rsidRPr="00441513">
              <w:rPr>
                <w:lang w:val="es-ES"/>
              </w:rPr>
              <w:t>277</w:t>
            </w:r>
          </w:p>
        </w:tc>
        <w:tc>
          <w:tcPr>
            <w:tcW w:w="2880" w:type="dxa"/>
            <w:vAlign w:val="center"/>
          </w:tcPr>
          <w:p w14:paraId="45FF894D" w14:textId="1A3477F5" w:rsidR="00A77E25" w:rsidRPr="00441513" w:rsidRDefault="00A77E25" w:rsidP="00A77E25">
            <w:pPr>
              <w:pStyle w:val="Tabletext"/>
              <w:jc w:val="right"/>
              <w:rPr>
                <w:lang w:val="es-ES"/>
              </w:rPr>
            </w:pPr>
            <w:r w:rsidRPr="00441513">
              <w:rPr>
                <w:lang w:val="es-ES"/>
              </w:rPr>
              <w:t>30</w:t>
            </w:r>
            <w:r w:rsidR="000227EF" w:rsidRPr="00441513">
              <w:rPr>
                <w:lang w:val="es-ES"/>
              </w:rPr>
              <w:t> </w:t>
            </w:r>
            <w:r w:rsidRPr="00441513">
              <w:rPr>
                <w:lang w:val="es-ES"/>
              </w:rPr>
              <w:t>010 millones</w:t>
            </w:r>
          </w:p>
        </w:tc>
      </w:tr>
      <w:tr w:rsidR="00A77E25" w:rsidRPr="00441513" w14:paraId="2A4CC3B8" w14:textId="77777777" w:rsidTr="0020469F">
        <w:trPr>
          <w:trHeight w:val="555"/>
          <w:jc w:val="center"/>
        </w:trPr>
        <w:tc>
          <w:tcPr>
            <w:tcW w:w="4335" w:type="dxa"/>
          </w:tcPr>
          <w:p w14:paraId="68CBEADA" w14:textId="77777777" w:rsidR="00A77E25" w:rsidRPr="00441513" w:rsidRDefault="00A77E25" w:rsidP="00A77E25">
            <w:pPr>
              <w:pStyle w:val="Tabletext"/>
              <w:rPr>
                <w:lang w:val="es-ES"/>
              </w:rPr>
            </w:pPr>
            <w:r w:rsidRPr="00441513">
              <w:rPr>
                <w:lang w:val="es-ES"/>
              </w:rPr>
              <w:t>Pequeños Estados insulares en desarrollo (PEID)</w:t>
            </w:r>
          </w:p>
        </w:tc>
        <w:tc>
          <w:tcPr>
            <w:tcW w:w="2310" w:type="dxa"/>
            <w:vAlign w:val="center"/>
          </w:tcPr>
          <w:p w14:paraId="71FD8A07" w14:textId="77777777" w:rsidR="00A77E25" w:rsidRPr="00441513" w:rsidRDefault="00A77E25" w:rsidP="00A77E25">
            <w:pPr>
              <w:pStyle w:val="Tabletext"/>
              <w:jc w:val="center"/>
              <w:rPr>
                <w:lang w:val="es-ES"/>
              </w:rPr>
            </w:pPr>
            <w:r w:rsidRPr="00441513">
              <w:rPr>
                <w:lang w:val="es-ES"/>
              </w:rPr>
              <w:t>160</w:t>
            </w:r>
          </w:p>
        </w:tc>
        <w:tc>
          <w:tcPr>
            <w:tcW w:w="2880" w:type="dxa"/>
            <w:vAlign w:val="center"/>
          </w:tcPr>
          <w:p w14:paraId="26A530C5" w14:textId="6AD2663B" w:rsidR="00A77E25" w:rsidRPr="00441513" w:rsidRDefault="00A77E25" w:rsidP="00A77E25">
            <w:pPr>
              <w:pStyle w:val="Tabletext"/>
              <w:jc w:val="right"/>
              <w:rPr>
                <w:lang w:val="es-ES"/>
              </w:rPr>
            </w:pPr>
            <w:r w:rsidRPr="00441513">
              <w:rPr>
                <w:lang w:val="es-ES"/>
              </w:rPr>
              <w:t>25</w:t>
            </w:r>
            <w:r w:rsidR="000227EF" w:rsidRPr="00441513">
              <w:rPr>
                <w:lang w:val="es-ES"/>
              </w:rPr>
              <w:t> </w:t>
            </w:r>
            <w:r w:rsidRPr="00441513">
              <w:rPr>
                <w:lang w:val="es-ES"/>
              </w:rPr>
              <w:t>980 millones</w:t>
            </w:r>
          </w:p>
        </w:tc>
      </w:tr>
    </w:tbl>
    <w:p w14:paraId="650D5E2C" w14:textId="4961359E" w:rsidR="00A77E25" w:rsidRPr="00441513" w:rsidRDefault="00A77E25" w:rsidP="00A77E25">
      <w:pPr>
        <w:rPr>
          <w:lang w:val="es-ES"/>
        </w:rPr>
      </w:pPr>
      <w:r w:rsidRPr="00441513">
        <w:rPr>
          <w:lang w:val="es-ES"/>
        </w:rPr>
        <w:t>Sobre la base de ese impulso, los Foros de Desarrollo Regional (FDR) de 2026 servirán como plataformas operacionales clave para avanzar en la siguiente fase de implementación. Como se indica en el cuadro 3 siguiente, los próximos FDR están previstos en todas las regiones a lo largo de 2026.</w:t>
      </w:r>
    </w:p>
    <w:p w14:paraId="3152C1F2" w14:textId="05AA3173" w:rsidR="00A77E25" w:rsidRPr="00441513" w:rsidRDefault="00A77E25" w:rsidP="00A77E25">
      <w:pPr>
        <w:pStyle w:val="Tabletitle"/>
        <w:spacing w:before="120"/>
        <w:rPr>
          <w:lang w:val="es-ES"/>
        </w:rPr>
      </w:pPr>
      <w:r w:rsidRPr="00441513">
        <w:rPr>
          <w:lang w:val="es-ES"/>
        </w:rPr>
        <w:t>Cuadro 3: Calendario de los Foros Regionales de Desarrollo de 2026</w:t>
      </w:r>
    </w:p>
    <w:tbl>
      <w:tblPr>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6A0" w:firstRow="1" w:lastRow="0" w:firstColumn="1" w:lastColumn="0" w:noHBand="1" w:noVBand="1"/>
      </w:tblPr>
      <w:tblGrid>
        <w:gridCol w:w="4566"/>
        <w:gridCol w:w="3510"/>
      </w:tblGrid>
      <w:tr w:rsidR="00A77E25" w:rsidRPr="00441513" w14:paraId="4F5ADF4E" w14:textId="77777777" w:rsidTr="0020469F">
        <w:trPr>
          <w:trHeight w:val="300"/>
          <w:jc w:val="center"/>
        </w:trPr>
        <w:tc>
          <w:tcPr>
            <w:tcW w:w="4566" w:type="dxa"/>
            <w:vAlign w:val="center"/>
          </w:tcPr>
          <w:p w14:paraId="56ED4903" w14:textId="77777777" w:rsidR="00A77E25" w:rsidRPr="00441513" w:rsidRDefault="00A77E25" w:rsidP="00A77E25">
            <w:pPr>
              <w:pStyle w:val="Tablehead"/>
              <w:rPr>
                <w:lang w:val="es-ES"/>
              </w:rPr>
            </w:pPr>
            <w:r w:rsidRPr="00441513">
              <w:rPr>
                <w:lang w:val="es-ES"/>
              </w:rPr>
              <w:t>Región de la UIT</w:t>
            </w:r>
          </w:p>
        </w:tc>
        <w:tc>
          <w:tcPr>
            <w:tcW w:w="3510" w:type="dxa"/>
            <w:vAlign w:val="center"/>
          </w:tcPr>
          <w:p w14:paraId="6816D79F" w14:textId="77777777" w:rsidR="00A77E25" w:rsidRPr="00441513" w:rsidRDefault="00A77E25" w:rsidP="00A77E25">
            <w:pPr>
              <w:pStyle w:val="Tablehead"/>
              <w:rPr>
                <w:lang w:val="es-ES"/>
              </w:rPr>
            </w:pPr>
            <w:r w:rsidRPr="00441513">
              <w:rPr>
                <w:lang w:val="es-ES"/>
              </w:rPr>
              <w:t>Fecha</w:t>
            </w:r>
          </w:p>
        </w:tc>
      </w:tr>
      <w:tr w:rsidR="00A77E25" w:rsidRPr="00441513" w14:paraId="45EC640C" w14:textId="77777777" w:rsidTr="0020469F">
        <w:trPr>
          <w:trHeight w:val="300"/>
          <w:jc w:val="center"/>
        </w:trPr>
        <w:tc>
          <w:tcPr>
            <w:tcW w:w="4566" w:type="dxa"/>
            <w:vAlign w:val="center"/>
          </w:tcPr>
          <w:p w14:paraId="6C35866E" w14:textId="77777777" w:rsidR="00A77E25" w:rsidRPr="00441513" w:rsidRDefault="00A77E25" w:rsidP="00A77E25">
            <w:pPr>
              <w:pStyle w:val="Tabletext"/>
              <w:rPr>
                <w:lang w:val="es-ES"/>
              </w:rPr>
            </w:pPr>
            <w:r w:rsidRPr="00441513">
              <w:rPr>
                <w:lang w:val="es-ES"/>
              </w:rPr>
              <w:t>Europa</w:t>
            </w:r>
          </w:p>
        </w:tc>
        <w:tc>
          <w:tcPr>
            <w:tcW w:w="3510" w:type="dxa"/>
            <w:vAlign w:val="center"/>
          </w:tcPr>
          <w:p w14:paraId="5C7314A8" w14:textId="77777777" w:rsidR="00A77E25" w:rsidRPr="00441513" w:rsidRDefault="00A77E25" w:rsidP="00A77E25">
            <w:pPr>
              <w:pStyle w:val="Tabletext"/>
              <w:rPr>
                <w:lang w:val="es-ES"/>
              </w:rPr>
            </w:pPr>
            <w:r w:rsidRPr="00441513">
              <w:rPr>
                <w:lang w:val="es-ES"/>
              </w:rPr>
              <w:t>24 de marzo de 2026</w:t>
            </w:r>
          </w:p>
        </w:tc>
      </w:tr>
      <w:tr w:rsidR="00A77E25" w:rsidRPr="00441513" w14:paraId="4C3F2E16" w14:textId="77777777" w:rsidTr="0020469F">
        <w:trPr>
          <w:trHeight w:val="300"/>
          <w:jc w:val="center"/>
        </w:trPr>
        <w:tc>
          <w:tcPr>
            <w:tcW w:w="4566" w:type="dxa"/>
            <w:vAlign w:val="center"/>
          </w:tcPr>
          <w:p w14:paraId="18C6F33C" w14:textId="77777777" w:rsidR="00A77E25" w:rsidRPr="00441513" w:rsidRDefault="00A77E25" w:rsidP="00A77E25">
            <w:pPr>
              <w:pStyle w:val="Tabletext"/>
              <w:rPr>
                <w:lang w:val="es-ES"/>
              </w:rPr>
            </w:pPr>
            <w:r w:rsidRPr="00441513">
              <w:rPr>
                <w:lang w:val="es-ES"/>
              </w:rPr>
              <w:t>África</w:t>
            </w:r>
          </w:p>
        </w:tc>
        <w:tc>
          <w:tcPr>
            <w:tcW w:w="3510" w:type="dxa"/>
            <w:vAlign w:val="center"/>
          </w:tcPr>
          <w:p w14:paraId="236DF43B" w14:textId="77777777" w:rsidR="00A77E25" w:rsidRPr="00441513" w:rsidRDefault="00A77E25" w:rsidP="00A77E25">
            <w:pPr>
              <w:pStyle w:val="Tabletext"/>
              <w:rPr>
                <w:lang w:val="es-ES"/>
              </w:rPr>
            </w:pPr>
            <w:r w:rsidRPr="00441513">
              <w:rPr>
                <w:lang w:val="es-ES"/>
              </w:rPr>
              <w:t>25-26 de mayo de 2026</w:t>
            </w:r>
          </w:p>
        </w:tc>
      </w:tr>
      <w:tr w:rsidR="00A77E25" w:rsidRPr="00441513" w14:paraId="21D2BBEC" w14:textId="77777777" w:rsidTr="0020469F">
        <w:trPr>
          <w:trHeight w:val="300"/>
          <w:jc w:val="center"/>
        </w:trPr>
        <w:tc>
          <w:tcPr>
            <w:tcW w:w="4566" w:type="dxa"/>
            <w:vAlign w:val="center"/>
          </w:tcPr>
          <w:p w14:paraId="2ED7D3BE" w14:textId="77777777" w:rsidR="00A77E25" w:rsidRPr="00441513" w:rsidRDefault="00A77E25" w:rsidP="00A77E25">
            <w:pPr>
              <w:pStyle w:val="Tabletext"/>
              <w:rPr>
                <w:lang w:val="es-ES"/>
              </w:rPr>
            </w:pPr>
            <w:r w:rsidRPr="00441513">
              <w:rPr>
                <w:lang w:val="es-ES"/>
              </w:rPr>
              <w:t>América</w:t>
            </w:r>
          </w:p>
        </w:tc>
        <w:tc>
          <w:tcPr>
            <w:tcW w:w="3510" w:type="dxa"/>
            <w:vAlign w:val="center"/>
          </w:tcPr>
          <w:p w14:paraId="28E2DA05" w14:textId="77777777" w:rsidR="00A77E25" w:rsidRPr="00441513" w:rsidRDefault="00A77E25" w:rsidP="00A77E25">
            <w:pPr>
              <w:pStyle w:val="Tabletext"/>
              <w:rPr>
                <w:lang w:val="es-ES"/>
              </w:rPr>
            </w:pPr>
            <w:r w:rsidRPr="00441513">
              <w:rPr>
                <w:lang w:val="es-ES"/>
              </w:rPr>
              <w:t>16-17 de junio de 2026</w:t>
            </w:r>
          </w:p>
        </w:tc>
      </w:tr>
      <w:tr w:rsidR="00A77E25" w:rsidRPr="00441513" w14:paraId="3544AB4D" w14:textId="77777777" w:rsidTr="0020469F">
        <w:trPr>
          <w:trHeight w:val="300"/>
          <w:jc w:val="center"/>
        </w:trPr>
        <w:tc>
          <w:tcPr>
            <w:tcW w:w="4566" w:type="dxa"/>
            <w:vAlign w:val="center"/>
          </w:tcPr>
          <w:p w14:paraId="2C8018DD" w14:textId="77777777" w:rsidR="00A77E25" w:rsidRPr="00441513" w:rsidRDefault="00A77E25" w:rsidP="00A77E25">
            <w:pPr>
              <w:pStyle w:val="Tabletext"/>
              <w:rPr>
                <w:lang w:val="es-ES"/>
              </w:rPr>
            </w:pPr>
            <w:r w:rsidRPr="00441513">
              <w:rPr>
                <w:lang w:val="es-ES"/>
              </w:rPr>
              <w:t>Asia-Pacífico</w:t>
            </w:r>
          </w:p>
        </w:tc>
        <w:tc>
          <w:tcPr>
            <w:tcW w:w="3510" w:type="dxa"/>
            <w:vAlign w:val="center"/>
          </w:tcPr>
          <w:p w14:paraId="49469EBE" w14:textId="77777777" w:rsidR="00A77E25" w:rsidRPr="00441513" w:rsidRDefault="00A77E25" w:rsidP="00A77E25">
            <w:pPr>
              <w:pStyle w:val="Tabletext"/>
              <w:rPr>
                <w:lang w:val="es-ES"/>
              </w:rPr>
            </w:pPr>
            <w:r w:rsidRPr="00441513">
              <w:rPr>
                <w:lang w:val="es-ES"/>
              </w:rPr>
              <w:t>16-17 de julio de 2026</w:t>
            </w:r>
          </w:p>
        </w:tc>
      </w:tr>
      <w:tr w:rsidR="00A77E25" w:rsidRPr="00441513" w14:paraId="7623CB36" w14:textId="77777777" w:rsidTr="0020469F">
        <w:trPr>
          <w:trHeight w:val="300"/>
          <w:jc w:val="center"/>
        </w:trPr>
        <w:tc>
          <w:tcPr>
            <w:tcW w:w="4566" w:type="dxa"/>
            <w:vAlign w:val="center"/>
          </w:tcPr>
          <w:p w14:paraId="266C7F5E" w14:textId="77777777" w:rsidR="00A77E25" w:rsidRPr="00441513" w:rsidRDefault="00A77E25" w:rsidP="00A77E25">
            <w:pPr>
              <w:pStyle w:val="Tabletext"/>
              <w:rPr>
                <w:lang w:val="es-ES"/>
              </w:rPr>
            </w:pPr>
            <w:r w:rsidRPr="00441513">
              <w:rPr>
                <w:lang w:val="es-ES"/>
              </w:rPr>
              <w:t>Comunidad de Estados Independientes (CEI)</w:t>
            </w:r>
          </w:p>
        </w:tc>
        <w:tc>
          <w:tcPr>
            <w:tcW w:w="3510" w:type="dxa"/>
            <w:vAlign w:val="center"/>
          </w:tcPr>
          <w:p w14:paraId="2B5EFD2F" w14:textId="77777777" w:rsidR="00A77E25" w:rsidRPr="00441513" w:rsidRDefault="00A77E25" w:rsidP="00A77E25">
            <w:pPr>
              <w:pStyle w:val="Tabletext"/>
              <w:rPr>
                <w:lang w:val="es-ES"/>
              </w:rPr>
            </w:pPr>
            <w:r w:rsidRPr="00441513">
              <w:rPr>
                <w:lang w:val="es-ES"/>
              </w:rPr>
              <w:t>29-30 de septiembre de 2026</w:t>
            </w:r>
          </w:p>
        </w:tc>
      </w:tr>
    </w:tbl>
    <w:p w14:paraId="15110EF5" w14:textId="27BE2C78" w:rsidR="00A77E25" w:rsidRPr="00441513" w:rsidRDefault="002D5E8D" w:rsidP="00A77E25">
      <w:pPr>
        <w:rPr>
          <w:lang w:val="es-ES"/>
        </w:rPr>
      </w:pPr>
      <w:r w:rsidRPr="00441513">
        <w:rPr>
          <w:lang w:val="es-ES"/>
        </w:rPr>
        <w:t>Se celebrarán reuniones regionales específicas para facilitar la búsqueda de asociados en cada región de la UIT con objeto de:</w:t>
      </w:r>
    </w:p>
    <w:p w14:paraId="6CEEC7C0" w14:textId="32585FDF" w:rsidR="002D5E8D" w:rsidRPr="00441513" w:rsidRDefault="002D5E8D" w:rsidP="002D5E8D">
      <w:pPr>
        <w:pStyle w:val="enumlev1"/>
        <w:rPr>
          <w:lang w:val="es-ES"/>
        </w:rPr>
      </w:pPr>
      <w:r w:rsidRPr="00441513">
        <w:rPr>
          <w:lang w:val="es-ES"/>
        </w:rPr>
        <w:t>–</w:t>
      </w:r>
      <w:r w:rsidRPr="00441513">
        <w:rPr>
          <w:lang w:val="es-ES"/>
        </w:rPr>
        <w:tab/>
        <w:t>Armonizar las prioridades nacionales de transformación digital de los PMA, los PDSL y los PEID con los compromisos de los asociados</w:t>
      </w:r>
      <w:r w:rsidR="000227EF" w:rsidRPr="00441513">
        <w:rPr>
          <w:lang w:val="es-ES"/>
        </w:rPr>
        <w:t>.</w:t>
      </w:r>
    </w:p>
    <w:p w14:paraId="1F71F11C" w14:textId="7E327808" w:rsidR="002D5E8D" w:rsidRPr="00441513" w:rsidRDefault="002D5E8D" w:rsidP="002D5E8D">
      <w:pPr>
        <w:pStyle w:val="enumlev1"/>
        <w:rPr>
          <w:lang w:val="es-ES"/>
        </w:rPr>
      </w:pPr>
      <w:r w:rsidRPr="00441513">
        <w:rPr>
          <w:lang w:val="es-ES"/>
        </w:rPr>
        <w:t>–</w:t>
      </w:r>
      <w:r w:rsidRPr="00441513">
        <w:rPr>
          <w:lang w:val="es-ES"/>
        </w:rPr>
        <w:tab/>
        <w:t>Facilitar la transformación de compromisos en proyectos estructurados financiables</w:t>
      </w:r>
      <w:r w:rsidR="000227EF" w:rsidRPr="00441513">
        <w:rPr>
          <w:lang w:val="es-ES"/>
        </w:rPr>
        <w:t>.</w:t>
      </w:r>
    </w:p>
    <w:p w14:paraId="713B896C" w14:textId="60D34664" w:rsidR="002D5E8D" w:rsidRPr="00441513" w:rsidRDefault="002D5E8D" w:rsidP="002D5E8D">
      <w:pPr>
        <w:pStyle w:val="enumlev1"/>
        <w:rPr>
          <w:lang w:val="es-ES"/>
        </w:rPr>
      </w:pPr>
      <w:r w:rsidRPr="00441513">
        <w:rPr>
          <w:lang w:val="es-ES"/>
        </w:rPr>
        <w:t>–</w:t>
      </w:r>
      <w:r w:rsidRPr="00441513">
        <w:rPr>
          <w:lang w:val="es-ES"/>
        </w:rPr>
        <w:tab/>
        <w:t>Facilitar la preparación de proyectos, la coordinación de asociados y una supervisión sistemática</w:t>
      </w:r>
      <w:r w:rsidR="000227EF" w:rsidRPr="00441513">
        <w:rPr>
          <w:lang w:val="es-ES"/>
        </w:rPr>
        <w:t>.</w:t>
      </w:r>
    </w:p>
    <w:p w14:paraId="64D3A880" w14:textId="7D7D1440" w:rsidR="00A77E25" w:rsidRPr="00441513" w:rsidRDefault="002D5E8D" w:rsidP="002D5E8D">
      <w:pPr>
        <w:pStyle w:val="enumlev1"/>
        <w:rPr>
          <w:lang w:val="es-ES"/>
        </w:rPr>
      </w:pPr>
      <w:r w:rsidRPr="00441513">
        <w:rPr>
          <w:lang w:val="es-ES"/>
        </w:rPr>
        <w:t>–</w:t>
      </w:r>
      <w:r w:rsidRPr="00441513">
        <w:rPr>
          <w:lang w:val="es-ES"/>
        </w:rPr>
        <w:tab/>
        <w:t>Mejorar la rendición de cuentas mediante la vinculación de los compromisos a vías de implementación claras y resultados medibles.</w:t>
      </w:r>
    </w:p>
    <w:p w14:paraId="007C193B" w14:textId="05674DDA" w:rsidR="00A77E25" w:rsidRPr="00441513" w:rsidRDefault="00127B8B" w:rsidP="00A77E25">
      <w:pPr>
        <w:rPr>
          <w:lang w:val="es-ES"/>
        </w:rPr>
      </w:pPr>
      <w:r w:rsidRPr="00441513">
        <w:rPr>
          <w:lang w:val="es-ES"/>
        </w:rPr>
        <w:t>En el marco de dichos procesos regionales estructurados, la BDT pasa de la movilización de compromisos a la facilitación activa de las actividades de implementación, al tiempo que vela por que los compromisos P2C contribuyan directamente a los objetivos del Plan de Acción de Bakú, las iniciativas regionales y las estrategias nacionales de transformación digital.</w:t>
      </w:r>
    </w:p>
    <w:p w14:paraId="4DC7C3C5" w14:textId="5A7F9DB9" w:rsidR="00A77E25" w:rsidRPr="00441513" w:rsidRDefault="00127B8B" w:rsidP="00127B8B">
      <w:pPr>
        <w:pStyle w:val="Heading1"/>
        <w:rPr>
          <w:lang w:val="es-ES"/>
        </w:rPr>
      </w:pPr>
      <w:r w:rsidRPr="00441513">
        <w:rPr>
          <w:lang w:val="es-ES"/>
        </w:rPr>
        <w:lastRenderedPageBreak/>
        <w:t>8</w:t>
      </w:r>
      <w:r w:rsidRPr="00441513">
        <w:rPr>
          <w:lang w:val="es-ES"/>
        </w:rPr>
        <w:tab/>
        <w:t>Pautas de conectividad en los grupos destinatarios</w:t>
      </w:r>
    </w:p>
    <w:p w14:paraId="4FC15A73" w14:textId="19590F2F" w:rsidR="00A77E25" w:rsidRPr="00441513" w:rsidRDefault="00127B8B" w:rsidP="000227EF">
      <w:pPr>
        <w:pStyle w:val="Normalaftertitle"/>
        <w:keepNext/>
        <w:keepLines/>
        <w:rPr>
          <w:lang w:val="es-ES"/>
        </w:rPr>
      </w:pPr>
      <w:r w:rsidRPr="00441513">
        <w:rPr>
          <w:lang w:val="es-ES"/>
        </w:rPr>
        <w:t>Datos recientes de la UIT ponen de manifiesto avances ininterrumpidos en la adopción de Internet en los grupos de países vulnerables, si bien siguen existiendo diferencias sustanciales. La utilización de Internet a escala mundial alcanzó aproximadamente el 74 % de la población en</w:t>
      </w:r>
      <w:r w:rsidRPr="00441513">
        <w:rPr>
          <w:lang w:val="es-ES"/>
        </w:rPr>
        <w:t> </w:t>
      </w:r>
      <w:r w:rsidRPr="00441513">
        <w:rPr>
          <w:lang w:val="es-ES"/>
        </w:rPr>
        <w:t>2025; alrededor de 2</w:t>
      </w:r>
      <w:r w:rsidR="000227EF" w:rsidRPr="00441513">
        <w:rPr>
          <w:lang w:val="es-ES"/>
        </w:rPr>
        <w:t> </w:t>
      </w:r>
      <w:r w:rsidRPr="00441513">
        <w:rPr>
          <w:lang w:val="es-ES"/>
        </w:rPr>
        <w:t>200 millones de personas siguen sin conexión, en su mayoría en países en desarrollo, incluidos los PMA, PDSL y PEID. Esto se ilustra en el cuadro 3 siguiente:</w:t>
      </w:r>
    </w:p>
    <w:p w14:paraId="6777017E" w14:textId="577D8ADE" w:rsidR="00127B8B" w:rsidRPr="00441513" w:rsidRDefault="008C4544" w:rsidP="008C4544">
      <w:pPr>
        <w:pStyle w:val="Tabletitle"/>
        <w:spacing w:before="120"/>
        <w:rPr>
          <w:lang w:val="es-ES"/>
        </w:rPr>
      </w:pPr>
      <w:r w:rsidRPr="00441513">
        <w:rPr>
          <w:lang w:val="es-ES"/>
        </w:rPr>
        <w:t>Cuadro 4: Índice de penetración de Internet y aumento del mismo por grupo de países</w:t>
      </w:r>
    </w:p>
    <w:tbl>
      <w:tblPr>
        <w:tblStyle w:val="TableGrid"/>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1058"/>
        <w:gridCol w:w="2253"/>
        <w:gridCol w:w="2294"/>
        <w:gridCol w:w="4028"/>
      </w:tblGrid>
      <w:tr w:rsidR="008C4544" w:rsidRPr="00441513" w14:paraId="0B57BEDC" w14:textId="77777777" w:rsidTr="0020469F">
        <w:trPr>
          <w:trHeight w:val="765"/>
          <w:jc w:val="center"/>
        </w:trPr>
        <w:tc>
          <w:tcPr>
            <w:tcW w:w="1058" w:type="dxa"/>
            <w:tcMar>
              <w:left w:w="105" w:type="dxa"/>
              <w:right w:w="105" w:type="dxa"/>
            </w:tcMar>
          </w:tcPr>
          <w:p w14:paraId="0DD8E35F" w14:textId="77777777" w:rsidR="008C4544" w:rsidRPr="00441513" w:rsidRDefault="008C4544" w:rsidP="008C4544">
            <w:pPr>
              <w:pStyle w:val="Tablehead"/>
              <w:rPr>
                <w:lang w:val="es-ES"/>
              </w:rPr>
            </w:pPr>
            <w:r w:rsidRPr="00441513">
              <w:rPr>
                <w:lang w:val="es-ES"/>
              </w:rPr>
              <w:t xml:space="preserve">Grupo de países </w:t>
            </w:r>
          </w:p>
        </w:tc>
        <w:tc>
          <w:tcPr>
            <w:tcW w:w="2253" w:type="dxa"/>
            <w:tcMar>
              <w:left w:w="105" w:type="dxa"/>
              <w:right w:w="105" w:type="dxa"/>
            </w:tcMar>
          </w:tcPr>
          <w:p w14:paraId="54976A0F" w14:textId="77777777" w:rsidR="008C4544" w:rsidRPr="00441513" w:rsidRDefault="008C4544" w:rsidP="008C4544">
            <w:pPr>
              <w:pStyle w:val="Tablehead"/>
              <w:rPr>
                <w:lang w:val="es-ES"/>
              </w:rPr>
            </w:pPr>
            <w:r w:rsidRPr="00441513">
              <w:rPr>
                <w:lang w:val="es-ES"/>
              </w:rPr>
              <w:t>Índice de penetración de Internet (porcentaje de la población)</w:t>
            </w:r>
          </w:p>
        </w:tc>
        <w:tc>
          <w:tcPr>
            <w:tcW w:w="2294" w:type="dxa"/>
            <w:tcMar>
              <w:left w:w="105" w:type="dxa"/>
              <w:right w:w="105" w:type="dxa"/>
            </w:tcMar>
          </w:tcPr>
          <w:p w14:paraId="4FCCA447" w14:textId="77777777" w:rsidR="008C4544" w:rsidRPr="00441513" w:rsidRDefault="008C4544" w:rsidP="008C4544">
            <w:pPr>
              <w:pStyle w:val="Tablehead"/>
              <w:rPr>
                <w:lang w:val="es-ES"/>
              </w:rPr>
            </w:pPr>
            <w:r w:rsidRPr="00441513">
              <w:rPr>
                <w:lang w:val="es-ES"/>
              </w:rPr>
              <w:t>Aumento del índice de penetración de Internet, 2022-2025 (%)</w:t>
            </w:r>
          </w:p>
        </w:tc>
        <w:tc>
          <w:tcPr>
            <w:tcW w:w="4028" w:type="dxa"/>
            <w:tcMar>
              <w:left w:w="105" w:type="dxa"/>
              <w:right w:w="105" w:type="dxa"/>
            </w:tcMar>
          </w:tcPr>
          <w:p w14:paraId="78C72808" w14:textId="77777777" w:rsidR="008C4544" w:rsidRPr="00441513" w:rsidRDefault="008C4544" w:rsidP="008C4544">
            <w:pPr>
              <w:pStyle w:val="Tablehead"/>
              <w:rPr>
                <w:lang w:val="es-ES"/>
              </w:rPr>
            </w:pPr>
            <w:r w:rsidRPr="00441513">
              <w:rPr>
                <w:lang w:val="es-ES"/>
              </w:rPr>
              <w:t xml:space="preserve">Principales observaciones </w:t>
            </w:r>
          </w:p>
        </w:tc>
      </w:tr>
      <w:tr w:rsidR="008C4544" w:rsidRPr="00441513" w14:paraId="3E9EA69E" w14:textId="77777777" w:rsidTr="0020469F">
        <w:trPr>
          <w:trHeight w:val="555"/>
          <w:jc w:val="center"/>
        </w:trPr>
        <w:tc>
          <w:tcPr>
            <w:tcW w:w="1058" w:type="dxa"/>
            <w:tcMar>
              <w:left w:w="105" w:type="dxa"/>
              <w:right w:w="105" w:type="dxa"/>
            </w:tcMar>
          </w:tcPr>
          <w:p w14:paraId="4041AC74" w14:textId="77777777" w:rsidR="008C4544" w:rsidRPr="00441513" w:rsidRDefault="008C4544" w:rsidP="008C4544">
            <w:pPr>
              <w:pStyle w:val="Tabletext"/>
              <w:rPr>
                <w:lang w:val="es-ES"/>
              </w:rPr>
            </w:pPr>
            <w:r w:rsidRPr="00441513">
              <w:rPr>
                <w:lang w:val="es-ES"/>
              </w:rPr>
              <w:t>PMA</w:t>
            </w:r>
          </w:p>
        </w:tc>
        <w:tc>
          <w:tcPr>
            <w:tcW w:w="2253" w:type="dxa"/>
            <w:tcMar>
              <w:left w:w="105" w:type="dxa"/>
              <w:right w:w="105" w:type="dxa"/>
            </w:tcMar>
          </w:tcPr>
          <w:p w14:paraId="3281B043" w14:textId="77777777" w:rsidR="008C4544" w:rsidRPr="00441513" w:rsidRDefault="008C4544" w:rsidP="008C4544">
            <w:pPr>
              <w:pStyle w:val="Tabletext"/>
              <w:jc w:val="center"/>
              <w:rPr>
                <w:lang w:val="es-ES"/>
              </w:rPr>
            </w:pPr>
            <w:r w:rsidRPr="00441513">
              <w:rPr>
                <w:lang w:val="es-ES"/>
              </w:rPr>
              <w:t>33%</w:t>
            </w:r>
          </w:p>
        </w:tc>
        <w:tc>
          <w:tcPr>
            <w:tcW w:w="2294" w:type="dxa"/>
            <w:tcMar>
              <w:left w:w="105" w:type="dxa"/>
              <w:right w:w="105" w:type="dxa"/>
            </w:tcMar>
          </w:tcPr>
          <w:p w14:paraId="3453D72D" w14:textId="77777777" w:rsidR="008C4544" w:rsidRPr="00441513" w:rsidRDefault="008C4544" w:rsidP="008C4544">
            <w:pPr>
              <w:pStyle w:val="Tabletext"/>
              <w:jc w:val="center"/>
              <w:rPr>
                <w:lang w:val="es-ES"/>
              </w:rPr>
            </w:pPr>
            <w:r w:rsidRPr="00441513">
              <w:rPr>
                <w:lang w:val="es-ES"/>
              </w:rPr>
              <w:t>20%</w:t>
            </w:r>
          </w:p>
        </w:tc>
        <w:tc>
          <w:tcPr>
            <w:tcW w:w="4028" w:type="dxa"/>
            <w:tcMar>
              <w:left w:w="105" w:type="dxa"/>
              <w:right w:w="105" w:type="dxa"/>
            </w:tcMar>
          </w:tcPr>
          <w:p w14:paraId="0F72B537" w14:textId="77777777" w:rsidR="008C4544" w:rsidRPr="00441513" w:rsidRDefault="008C4544" w:rsidP="008C4544">
            <w:pPr>
              <w:pStyle w:val="Tabletext"/>
              <w:rPr>
                <w:lang w:val="es-ES"/>
              </w:rPr>
            </w:pPr>
            <w:r w:rsidRPr="00441513">
              <w:rPr>
                <w:lang w:val="es-ES"/>
              </w:rPr>
              <w:t>Muy inferior al promedio mundial; aumento más rápido desde un nivel bajo</w:t>
            </w:r>
          </w:p>
        </w:tc>
      </w:tr>
      <w:tr w:rsidR="008C4544" w:rsidRPr="00441513" w14:paraId="32BDCC1B" w14:textId="77777777" w:rsidTr="0020469F">
        <w:trPr>
          <w:trHeight w:val="690"/>
          <w:jc w:val="center"/>
        </w:trPr>
        <w:tc>
          <w:tcPr>
            <w:tcW w:w="1058" w:type="dxa"/>
            <w:tcMar>
              <w:left w:w="105" w:type="dxa"/>
              <w:right w:w="105" w:type="dxa"/>
            </w:tcMar>
          </w:tcPr>
          <w:p w14:paraId="676AD89B" w14:textId="77777777" w:rsidR="008C4544" w:rsidRPr="00441513" w:rsidRDefault="008C4544" w:rsidP="008C4544">
            <w:pPr>
              <w:pStyle w:val="Tabletext"/>
              <w:rPr>
                <w:lang w:val="es-ES"/>
              </w:rPr>
            </w:pPr>
            <w:r w:rsidRPr="00441513">
              <w:rPr>
                <w:lang w:val="es-ES"/>
              </w:rPr>
              <w:t>PDSL</w:t>
            </w:r>
          </w:p>
        </w:tc>
        <w:tc>
          <w:tcPr>
            <w:tcW w:w="2253" w:type="dxa"/>
            <w:tcMar>
              <w:left w:w="105" w:type="dxa"/>
              <w:right w:w="105" w:type="dxa"/>
            </w:tcMar>
          </w:tcPr>
          <w:p w14:paraId="0904B104" w14:textId="77777777" w:rsidR="008C4544" w:rsidRPr="00441513" w:rsidRDefault="008C4544" w:rsidP="008C4544">
            <w:pPr>
              <w:pStyle w:val="Tabletext"/>
              <w:jc w:val="center"/>
              <w:rPr>
                <w:lang w:val="es-ES"/>
              </w:rPr>
            </w:pPr>
            <w:r w:rsidRPr="00441513">
              <w:rPr>
                <w:lang w:val="es-ES"/>
              </w:rPr>
              <w:t>40%</w:t>
            </w:r>
          </w:p>
        </w:tc>
        <w:tc>
          <w:tcPr>
            <w:tcW w:w="2294" w:type="dxa"/>
            <w:tcMar>
              <w:left w:w="105" w:type="dxa"/>
              <w:right w:w="105" w:type="dxa"/>
            </w:tcMar>
          </w:tcPr>
          <w:p w14:paraId="14079FDA" w14:textId="77777777" w:rsidR="008C4544" w:rsidRPr="00441513" w:rsidRDefault="008C4544" w:rsidP="008C4544">
            <w:pPr>
              <w:pStyle w:val="Tabletext"/>
              <w:jc w:val="center"/>
              <w:rPr>
                <w:lang w:val="es-ES"/>
              </w:rPr>
            </w:pPr>
            <w:r w:rsidRPr="00441513">
              <w:rPr>
                <w:lang w:val="es-ES"/>
              </w:rPr>
              <w:t>13%</w:t>
            </w:r>
          </w:p>
        </w:tc>
        <w:tc>
          <w:tcPr>
            <w:tcW w:w="4028" w:type="dxa"/>
            <w:tcMar>
              <w:left w:w="105" w:type="dxa"/>
              <w:right w:w="105" w:type="dxa"/>
            </w:tcMar>
          </w:tcPr>
          <w:p w14:paraId="038C26EC" w14:textId="77777777" w:rsidR="008C4544" w:rsidRPr="00441513" w:rsidRDefault="008C4544" w:rsidP="008C4544">
            <w:pPr>
              <w:pStyle w:val="Tabletext"/>
              <w:rPr>
                <w:lang w:val="es-ES"/>
              </w:rPr>
            </w:pPr>
            <w:r w:rsidRPr="00441513">
              <w:rPr>
                <w:lang w:val="es-ES"/>
              </w:rPr>
              <w:t>Por debajo del promedio mundial; aumento constante</w:t>
            </w:r>
          </w:p>
        </w:tc>
      </w:tr>
      <w:tr w:rsidR="008C4544" w:rsidRPr="00441513" w14:paraId="15E69CDB" w14:textId="77777777" w:rsidTr="0020469F">
        <w:trPr>
          <w:trHeight w:val="930"/>
          <w:jc w:val="center"/>
        </w:trPr>
        <w:tc>
          <w:tcPr>
            <w:tcW w:w="1058" w:type="dxa"/>
            <w:tcMar>
              <w:left w:w="105" w:type="dxa"/>
              <w:right w:w="105" w:type="dxa"/>
            </w:tcMar>
          </w:tcPr>
          <w:p w14:paraId="364BED45" w14:textId="77777777" w:rsidR="008C4544" w:rsidRPr="00441513" w:rsidRDefault="008C4544" w:rsidP="008C4544">
            <w:pPr>
              <w:pStyle w:val="Tabletext"/>
              <w:rPr>
                <w:lang w:val="es-ES"/>
              </w:rPr>
            </w:pPr>
            <w:r w:rsidRPr="00441513">
              <w:rPr>
                <w:lang w:val="es-ES"/>
              </w:rPr>
              <w:t>PEID</w:t>
            </w:r>
          </w:p>
        </w:tc>
        <w:tc>
          <w:tcPr>
            <w:tcW w:w="2253" w:type="dxa"/>
            <w:tcMar>
              <w:left w:w="105" w:type="dxa"/>
              <w:right w:w="105" w:type="dxa"/>
            </w:tcMar>
          </w:tcPr>
          <w:p w14:paraId="19DA3228" w14:textId="77777777" w:rsidR="008C4544" w:rsidRPr="00441513" w:rsidRDefault="008C4544" w:rsidP="008C4544">
            <w:pPr>
              <w:pStyle w:val="Tabletext"/>
              <w:jc w:val="center"/>
              <w:rPr>
                <w:lang w:val="es-ES"/>
              </w:rPr>
            </w:pPr>
            <w:r w:rsidRPr="00441513">
              <w:rPr>
                <w:lang w:val="es-ES"/>
              </w:rPr>
              <w:t>64%</w:t>
            </w:r>
          </w:p>
        </w:tc>
        <w:tc>
          <w:tcPr>
            <w:tcW w:w="2294" w:type="dxa"/>
            <w:tcMar>
              <w:left w:w="105" w:type="dxa"/>
              <w:right w:w="105" w:type="dxa"/>
            </w:tcMar>
          </w:tcPr>
          <w:p w14:paraId="62C2E3F3" w14:textId="77777777" w:rsidR="008C4544" w:rsidRPr="00441513" w:rsidRDefault="008C4544" w:rsidP="008C4544">
            <w:pPr>
              <w:pStyle w:val="Tabletext"/>
              <w:jc w:val="center"/>
              <w:rPr>
                <w:lang w:val="es-ES"/>
              </w:rPr>
            </w:pPr>
            <w:r w:rsidRPr="00441513">
              <w:rPr>
                <w:lang w:val="es-ES"/>
              </w:rPr>
              <w:t>7%</w:t>
            </w:r>
          </w:p>
        </w:tc>
        <w:tc>
          <w:tcPr>
            <w:tcW w:w="4028" w:type="dxa"/>
            <w:tcMar>
              <w:left w:w="105" w:type="dxa"/>
              <w:right w:w="105" w:type="dxa"/>
            </w:tcMar>
          </w:tcPr>
          <w:p w14:paraId="69AFBCB0" w14:textId="77777777" w:rsidR="008C4544" w:rsidRPr="00441513" w:rsidRDefault="008C4544" w:rsidP="008C4544">
            <w:pPr>
              <w:pStyle w:val="Tabletext"/>
              <w:rPr>
                <w:rFonts w:eastAsia="Calibri"/>
                <w:lang w:val="es-ES"/>
              </w:rPr>
            </w:pPr>
            <w:r w:rsidRPr="00441513">
              <w:rPr>
                <w:rFonts w:eastAsia="Calibri"/>
                <w:lang w:val="es-ES"/>
              </w:rPr>
              <w:t>Mayor índice de penetración; retos en materia de asequibilidad, resiliencia y calidad</w:t>
            </w:r>
          </w:p>
        </w:tc>
      </w:tr>
    </w:tbl>
    <w:p w14:paraId="07C45539" w14:textId="2CC1E7D8" w:rsidR="00127B8B" w:rsidRPr="00441513" w:rsidRDefault="004B5813" w:rsidP="004B5813">
      <w:pPr>
        <w:pStyle w:val="Tablelegend"/>
        <w:rPr>
          <w:i/>
          <w:iCs/>
          <w:lang w:val="es-ES"/>
        </w:rPr>
      </w:pPr>
      <w:r w:rsidRPr="00441513">
        <w:rPr>
          <w:i/>
          <w:iCs/>
          <w:lang w:val="es-ES"/>
        </w:rPr>
        <w:t>Fuente: UIT, Medición del desarrollo digital: Hechos y cifras 2025</w:t>
      </w:r>
    </w:p>
    <w:p w14:paraId="0D747BF1" w14:textId="488270EF" w:rsidR="00127B8B" w:rsidRPr="00441513" w:rsidRDefault="004B5813" w:rsidP="004B5813">
      <w:pPr>
        <w:pStyle w:val="Heading1"/>
        <w:rPr>
          <w:lang w:val="es-ES"/>
        </w:rPr>
      </w:pPr>
      <w:r w:rsidRPr="00441513">
        <w:rPr>
          <w:lang w:val="es-ES"/>
        </w:rPr>
        <w:t>9.</w:t>
      </w:r>
      <w:r w:rsidRPr="00441513">
        <w:rPr>
          <w:lang w:val="es-ES"/>
        </w:rPr>
        <w:tab/>
        <w:t>Implicaciones para la programación de la UIT: aprovechamiento de la conectividad para facilitar la transición de los PMA hacia su salida de la categoría de PMA y su situación después de la misma</w:t>
      </w:r>
    </w:p>
    <w:p w14:paraId="7351A8F6" w14:textId="2207D16C" w:rsidR="00A77E25" w:rsidRPr="00441513" w:rsidRDefault="004B5813" w:rsidP="000227EF">
      <w:pPr>
        <w:pStyle w:val="Normalaftertitle"/>
        <w:rPr>
          <w:lang w:val="es-ES"/>
        </w:rPr>
      </w:pPr>
      <w:r w:rsidRPr="00441513">
        <w:rPr>
          <w:lang w:val="es-ES"/>
        </w:rPr>
        <w:t>Entre los factores que facilitan la transformación, el desarrollo digital constituye un catalizador fundamental. Las tecnologías digitales permiten a los PMA:</w:t>
      </w:r>
    </w:p>
    <w:p w14:paraId="54F4BCDA" w14:textId="17CB8487" w:rsidR="004B5813" w:rsidRPr="00441513" w:rsidRDefault="004B5813" w:rsidP="004B5813">
      <w:pPr>
        <w:pStyle w:val="enumlev1"/>
        <w:rPr>
          <w:lang w:val="es-ES"/>
        </w:rPr>
      </w:pPr>
      <w:r w:rsidRPr="00441513">
        <w:rPr>
          <w:lang w:val="es-ES"/>
        </w:rPr>
        <w:t>–</w:t>
      </w:r>
      <w:r w:rsidRPr="00441513">
        <w:rPr>
          <w:lang w:val="es-ES"/>
        </w:rPr>
        <w:tab/>
        <w:t>Integrarse en las cadenas de valor mundiales</w:t>
      </w:r>
    </w:p>
    <w:p w14:paraId="4BFDE497" w14:textId="43E94E28" w:rsidR="004B5813" w:rsidRPr="00441513" w:rsidRDefault="004B5813" w:rsidP="004B5813">
      <w:pPr>
        <w:pStyle w:val="enumlev1"/>
        <w:rPr>
          <w:lang w:val="es-ES"/>
        </w:rPr>
      </w:pPr>
      <w:r w:rsidRPr="00441513">
        <w:rPr>
          <w:lang w:val="es-ES"/>
        </w:rPr>
        <w:t>–</w:t>
      </w:r>
      <w:r w:rsidRPr="00441513">
        <w:rPr>
          <w:lang w:val="es-ES"/>
        </w:rPr>
        <w:tab/>
        <w:t>Mejorar la gobernanza y la prestación de servicios</w:t>
      </w:r>
    </w:p>
    <w:p w14:paraId="6637562F" w14:textId="7D4F60A2" w:rsidR="004B5813" w:rsidRPr="00441513" w:rsidRDefault="004B5813" w:rsidP="004B5813">
      <w:pPr>
        <w:pStyle w:val="enumlev1"/>
        <w:rPr>
          <w:lang w:val="es-ES"/>
        </w:rPr>
      </w:pPr>
      <w:r w:rsidRPr="00441513">
        <w:rPr>
          <w:lang w:val="es-ES"/>
        </w:rPr>
        <w:t>–</w:t>
      </w:r>
      <w:r w:rsidRPr="00441513">
        <w:rPr>
          <w:lang w:val="es-ES"/>
        </w:rPr>
        <w:tab/>
        <w:t>Impulsar la acumulación de capital humano</w:t>
      </w:r>
    </w:p>
    <w:p w14:paraId="73F24767" w14:textId="1B286EED" w:rsidR="004B5813" w:rsidRPr="00441513" w:rsidRDefault="004B5813" w:rsidP="004B5813">
      <w:pPr>
        <w:pStyle w:val="enumlev1"/>
        <w:rPr>
          <w:lang w:val="es-ES"/>
        </w:rPr>
      </w:pPr>
      <w:r w:rsidRPr="00441513">
        <w:rPr>
          <w:lang w:val="es-ES"/>
        </w:rPr>
        <w:t>–</w:t>
      </w:r>
      <w:r w:rsidRPr="00441513">
        <w:rPr>
          <w:lang w:val="es-ES"/>
        </w:rPr>
        <w:tab/>
        <w:t>Cultivar ecosistemas de innovación</w:t>
      </w:r>
    </w:p>
    <w:p w14:paraId="20F9F254" w14:textId="61D3916D" w:rsidR="004B5813" w:rsidRPr="00441513" w:rsidRDefault="004B5813" w:rsidP="004B5813">
      <w:pPr>
        <w:pStyle w:val="enumlev1"/>
        <w:rPr>
          <w:lang w:val="es-ES"/>
        </w:rPr>
      </w:pPr>
      <w:r w:rsidRPr="00441513">
        <w:rPr>
          <w:lang w:val="es-ES"/>
        </w:rPr>
        <w:t>–</w:t>
      </w:r>
      <w:r w:rsidRPr="00441513">
        <w:rPr>
          <w:lang w:val="es-ES"/>
        </w:rPr>
        <w:tab/>
        <w:t>Fortalecer la resiliencia frente a factores adversos externos como las pandemias y el cambio climático</w:t>
      </w:r>
    </w:p>
    <w:p w14:paraId="35676778" w14:textId="59577AF7" w:rsidR="004B5813" w:rsidRPr="00441513" w:rsidRDefault="004B5813" w:rsidP="004B5813">
      <w:pPr>
        <w:rPr>
          <w:lang w:val="es-ES"/>
        </w:rPr>
      </w:pPr>
      <w:r w:rsidRPr="00441513">
        <w:rPr>
          <w:lang w:val="es-ES"/>
        </w:rPr>
        <w:t>Los datos de los últimos ciclos relativos a la exclusión de categoría de PMA denotan una clara correlación entre el aumento de la penetración de Internet y la mejora de los indicadores de ingresos, educación y resiliencia, lo que fortalece la función de las TIC como acelerador del desarrollo. Sobre la base de esa experiencia, el enfoque prospectivo de la UIT hace hincapié en tres pilares, a saber</w:t>
      </w:r>
      <w:r w:rsidR="000227EF" w:rsidRPr="00441513">
        <w:rPr>
          <w:lang w:val="es-ES"/>
        </w:rPr>
        <w:t>:</w:t>
      </w:r>
      <w:r w:rsidRPr="00441513">
        <w:rPr>
          <w:lang w:val="es-ES"/>
        </w:rPr>
        <w:t xml:space="preserve"> la aceleración digital previa a dicha exclusión de categoría; el apoyo estructurado a la transición a una situación posterior</w:t>
      </w:r>
      <w:r w:rsidR="000227EF" w:rsidRPr="00441513">
        <w:rPr>
          <w:lang w:val="es-ES"/>
        </w:rPr>
        <w:t>,</w:t>
      </w:r>
      <w:r w:rsidRPr="00441513">
        <w:rPr>
          <w:lang w:val="es-ES"/>
        </w:rPr>
        <w:t xml:space="preserve"> y la supervisión de los facilitadores digitales para mantener los avances logrados.</w:t>
      </w:r>
    </w:p>
    <w:p w14:paraId="322F1A43" w14:textId="663DC40D" w:rsidR="004B5813" w:rsidRPr="00441513" w:rsidRDefault="004B5813" w:rsidP="004B5813">
      <w:pPr>
        <w:rPr>
          <w:lang w:val="es-ES"/>
        </w:rPr>
      </w:pPr>
      <w:r w:rsidRPr="00441513">
        <w:rPr>
          <w:lang w:val="es-ES"/>
        </w:rPr>
        <w:t xml:space="preserve">Los países que desean ser excluidos de la categoría de PMA </w:t>
      </w:r>
      <w:r w:rsidR="000227EF" w:rsidRPr="00441513">
        <w:rPr>
          <w:lang w:val="es-ES"/>
        </w:rPr>
        <w:t>—</w:t>
      </w:r>
      <w:r w:rsidRPr="00441513">
        <w:rPr>
          <w:lang w:val="es-ES"/>
        </w:rPr>
        <w:t>en particular Bangladesh y Camboya</w:t>
      </w:r>
      <w:r w:rsidR="000227EF" w:rsidRPr="00441513">
        <w:rPr>
          <w:lang w:val="es-ES"/>
        </w:rPr>
        <w:t>—</w:t>
      </w:r>
      <w:r w:rsidRPr="00441513">
        <w:rPr>
          <w:lang w:val="es-ES"/>
        </w:rPr>
        <w:t xml:space="preserve"> aprovechan activamente las TIC como pilares fundamentales para el desarrollo.</w:t>
      </w:r>
    </w:p>
    <w:p w14:paraId="26696168" w14:textId="1A5BA6F8" w:rsidR="00DE0D75" w:rsidRPr="00441513" w:rsidRDefault="00DE0D75" w:rsidP="00DE0D75">
      <w:pPr>
        <w:pStyle w:val="Heading1"/>
        <w:rPr>
          <w:lang w:val="es-ES"/>
        </w:rPr>
      </w:pPr>
      <w:r w:rsidRPr="00441513">
        <w:rPr>
          <w:lang w:val="es-ES"/>
        </w:rPr>
        <w:lastRenderedPageBreak/>
        <w:t>10</w:t>
      </w:r>
      <w:r w:rsidRPr="00441513">
        <w:rPr>
          <w:lang w:val="es-ES"/>
        </w:rPr>
        <w:tab/>
        <w:t>Países que han sido excluidos de la categoría de PMA o que cumplen los criterios para ello</w:t>
      </w:r>
    </w:p>
    <w:p w14:paraId="7F05A72F" w14:textId="490D5929" w:rsidR="00DE0D75" w:rsidRPr="00441513" w:rsidRDefault="00DE0D75" w:rsidP="004B5813">
      <w:pPr>
        <w:rPr>
          <w:lang w:val="es-ES"/>
        </w:rPr>
      </w:pPr>
      <w:r w:rsidRPr="00441513">
        <w:rPr>
          <w:lang w:val="es-ES"/>
        </w:rPr>
        <w:t>Según datos recientes de las Naciones Unidas (2025), ocho países han sido excluidos de la categoría de PMA desde su creación; el más reciente es Santo Tomé y Príncipe, a partir de diciembre de 2024, como se indica en el cuadro 4. Los países que han sido excluidos de la categoría de PMA pueden optar a un per</w:t>
      </w:r>
      <w:r w:rsidR="000227EF" w:rsidRPr="00441513">
        <w:rPr>
          <w:lang w:val="es-ES"/>
        </w:rPr>
        <w:t>i</w:t>
      </w:r>
      <w:r w:rsidRPr="00441513">
        <w:rPr>
          <w:lang w:val="es-ES"/>
        </w:rPr>
        <w:t>odo de apoyo transitorio de cinco años a partir de la fecha en que abandonan dicha categoría, per</w:t>
      </w:r>
      <w:r w:rsidR="000227EF" w:rsidRPr="00441513">
        <w:rPr>
          <w:lang w:val="es-ES"/>
        </w:rPr>
        <w:t>i</w:t>
      </w:r>
      <w:r w:rsidRPr="00441513">
        <w:rPr>
          <w:lang w:val="es-ES"/>
        </w:rPr>
        <w:t>odo durante el cual reciben asistencia específica para garantizar una transición fluida y sostenible.</w:t>
      </w:r>
    </w:p>
    <w:p w14:paraId="66DDC8C2" w14:textId="021D8466" w:rsidR="004B5813" w:rsidRPr="00441513" w:rsidRDefault="00DE0D75" w:rsidP="000227EF">
      <w:pPr>
        <w:pStyle w:val="Tabletitle"/>
        <w:spacing w:before="120"/>
        <w:rPr>
          <w:lang w:val="es-ES"/>
        </w:rPr>
      </w:pPr>
      <w:r w:rsidRPr="00441513">
        <w:rPr>
          <w:lang w:val="es-ES"/>
        </w:rPr>
        <w:t>Cuadro 5: Países que han sido excluidos de la categoría de PMA</w:t>
      </w:r>
    </w:p>
    <w:tbl>
      <w:tblPr>
        <w:tblStyle w:val="TableGrid"/>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2070"/>
        <w:gridCol w:w="3450"/>
      </w:tblGrid>
      <w:tr w:rsidR="00DE0D75" w:rsidRPr="00441513" w14:paraId="33D11333" w14:textId="77777777" w:rsidTr="0020469F">
        <w:trPr>
          <w:trHeight w:val="360"/>
          <w:jc w:val="center"/>
        </w:trPr>
        <w:tc>
          <w:tcPr>
            <w:tcW w:w="2070" w:type="dxa"/>
            <w:tcMar>
              <w:left w:w="105" w:type="dxa"/>
              <w:right w:w="105" w:type="dxa"/>
            </w:tcMar>
          </w:tcPr>
          <w:p w14:paraId="7FE670FF" w14:textId="77777777" w:rsidR="00DE0D75" w:rsidRPr="00441513" w:rsidRDefault="00DE0D75" w:rsidP="00DE0D75">
            <w:pPr>
              <w:pStyle w:val="Tablehead"/>
              <w:rPr>
                <w:lang w:val="es-ES"/>
              </w:rPr>
            </w:pPr>
            <w:r w:rsidRPr="00441513">
              <w:rPr>
                <w:lang w:val="es-ES"/>
              </w:rPr>
              <w:t>País</w:t>
            </w:r>
          </w:p>
        </w:tc>
        <w:tc>
          <w:tcPr>
            <w:tcW w:w="3450" w:type="dxa"/>
            <w:tcMar>
              <w:left w:w="105" w:type="dxa"/>
              <w:right w:w="105" w:type="dxa"/>
            </w:tcMar>
          </w:tcPr>
          <w:p w14:paraId="4689E989" w14:textId="2E446128" w:rsidR="00DE0D75" w:rsidRPr="00441513" w:rsidRDefault="00DE0D75" w:rsidP="00DE0D75">
            <w:pPr>
              <w:pStyle w:val="Tablehead"/>
              <w:rPr>
                <w:lang w:val="es-ES"/>
              </w:rPr>
            </w:pPr>
            <w:r w:rsidRPr="00441513">
              <w:rPr>
                <w:lang w:val="es-ES"/>
              </w:rPr>
              <w:t>Año de exclusión de</w:t>
            </w:r>
            <w:r w:rsidRPr="00441513">
              <w:rPr>
                <w:lang w:val="es-ES"/>
              </w:rPr>
              <w:br/>
            </w:r>
            <w:r w:rsidRPr="00441513">
              <w:rPr>
                <w:lang w:val="es-ES"/>
              </w:rPr>
              <w:t>la condición de PMA</w:t>
            </w:r>
          </w:p>
        </w:tc>
      </w:tr>
      <w:tr w:rsidR="00DE0D75" w:rsidRPr="00441513" w14:paraId="1314DECA" w14:textId="77777777" w:rsidTr="0020469F">
        <w:trPr>
          <w:trHeight w:val="360"/>
          <w:jc w:val="center"/>
        </w:trPr>
        <w:tc>
          <w:tcPr>
            <w:tcW w:w="2070" w:type="dxa"/>
            <w:tcMar>
              <w:left w:w="105" w:type="dxa"/>
              <w:right w:w="105" w:type="dxa"/>
            </w:tcMar>
          </w:tcPr>
          <w:p w14:paraId="76DA4A9D" w14:textId="77777777" w:rsidR="00DE0D75" w:rsidRPr="00441513" w:rsidRDefault="00DE0D75" w:rsidP="00DE0D75">
            <w:pPr>
              <w:pStyle w:val="Tabletext"/>
              <w:rPr>
                <w:lang w:val="es-ES"/>
              </w:rPr>
            </w:pPr>
            <w:r w:rsidRPr="00441513">
              <w:rPr>
                <w:lang w:val="es-ES"/>
              </w:rPr>
              <w:t xml:space="preserve">Botswana </w:t>
            </w:r>
          </w:p>
        </w:tc>
        <w:tc>
          <w:tcPr>
            <w:tcW w:w="3450" w:type="dxa"/>
            <w:tcMar>
              <w:left w:w="105" w:type="dxa"/>
              <w:right w:w="105" w:type="dxa"/>
            </w:tcMar>
          </w:tcPr>
          <w:p w14:paraId="2F6D66FE" w14:textId="77777777" w:rsidR="00DE0D75" w:rsidRPr="00441513" w:rsidRDefault="00DE0D75" w:rsidP="00DE0D75">
            <w:pPr>
              <w:pStyle w:val="Tabletext"/>
              <w:jc w:val="center"/>
              <w:rPr>
                <w:b/>
                <w:lang w:val="es-ES"/>
              </w:rPr>
            </w:pPr>
            <w:r w:rsidRPr="00441513">
              <w:rPr>
                <w:lang w:val="es-ES"/>
              </w:rPr>
              <w:t>1994</w:t>
            </w:r>
          </w:p>
        </w:tc>
      </w:tr>
      <w:tr w:rsidR="00DE0D75" w:rsidRPr="00441513" w14:paraId="1891D7A2" w14:textId="77777777" w:rsidTr="0020469F">
        <w:trPr>
          <w:trHeight w:val="345"/>
          <w:jc w:val="center"/>
        </w:trPr>
        <w:tc>
          <w:tcPr>
            <w:tcW w:w="2070" w:type="dxa"/>
            <w:tcMar>
              <w:left w:w="105" w:type="dxa"/>
              <w:right w:w="105" w:type="dxa"/>
            </w:tcMar>
          </w:tcPr>
          <w:p w14:paraId="22B3ADEC" w14:textId="77777777" w:rsidR="00DE0D75" w:rsidRPr="00441513" w:rsidRDefault="00DE0D75" w:rsidP="00DE0D75">
            <w:pPr>
              <w:pStyle w:val="Tabletext"/>
              <w:rPr>
                <w:lang w:val="es-ES"/>
              </w:rPr>
            </w:pPr>
            <w:r w:rsidRPr="00441513">
              <w:rPr>
                <w:lang w:val="es-ES"/>
              </w:rPr>
              <w:t>Cabo Verde</w:t>
            </w:r>
          </w:p>
        </w:tc>
        <w:tc>
          <w:tcPr>
            <w:tcW w:w="3450" w:type="dxa"/>
            <w:tcMar>
              <w:left w:w="105" w:type="dxa"/>
              <w:right w:w="105" w:type="dxa"/>
            </w:tcMar>
          </w:tcPr>
          <w:p w14:paraId="6223F599" w14:textId="77777777" w:rsidR="00DE0D75" w:rsidRPr="00441513" w:rsidRDefault="00DE0D75" w:rsidP="00DE0D75">
            <w:pPr>
              <w:pStyle w:val="Tabletext"/>
              <w:jc w:val="center"/>
              <w:rPr>
                <w:lang w:val="es-ES"/>
              </w:rPr>
            </w:pPr>
            <w:r w:rsidRPr="00441513">
              <w:rPr>
                <w:lang w:val="es-ES"/>
              </w:rPr>
              <w:t>2007</w:t>
            </w:r>
          </w:p>
        </w:tc>
      </w:tr>
      <w:tr w:rsidR="00DE0D75" w:rsidRPr="00441513" w14:paraId="14221EE0" w14:textId="77777777" w:rsidTr="0020469F">
        <w:trPr>
          <w:trHeight w:val="360"/>
          <w:jc w:val="center"/>
        </w:trPr>
        <w:tc>
          <w:tcPr>
            <w:tcW w:w="2070" w:type="dxa"/>
            <w:tcMar>
              <w:left w:w="105" w:type="dxa"/>
              <w:right w:w="105" w:type="dxa"/>
            </w:tcMar>
          </w:tcPr>
          <w:p w14:paraId="2E0A2EA8" w14:textId="77777777" w:rsidR="00DE0D75" w:rsidRPr="00441513" w:rsidRDefault="00DE0D75" w:rsidP="00DE0D75">
            <w:pPr>
              <w:pStyle w:val="Tabletext"/>
              <w:rPr>
                <w:lang w:val="es-ES"/>
              </w:rPr>
            </w:pPr>
            <w:r w:rsidRPr="00441513">
              <w:rPr>
                <w:lang w:val="es-ES"/>
              </w:rPr>
              <w:t>Maldivas</w:t>
            </w:r>
          </w:p>
        </w:tc>
        <w:tc>
          <w:tcPr>
            <w:tcW w:w="3450" w:type="dxa"/>
            <w:tcMar>
              <w:left w:w="105" w:type="dxa"/>
              <w:right w:w="105" w:type="dxa"/>
            </w:tcMar>
          </w:tcPr>
          <w:p w14:paraId="57AC9D79" w14:textId="77777777" w:rsidR="00DE0D75" w:rsidRPr="00441513" w:rsidRDefault="00DE0D75" w:rsidP="00DE0D75">
            <w:pPr>
              <w:pStyle w:val="Tabletext"/>
              <w:jc w:val="center"/>
              <w:rPr>
                <w:lang w:val="es-ES"/>
              </w:rPr>
            </w:pPr>
            <w:r w:rsidRPr="00441513">
              <w:rPr>
                <w:lang w:val="es-ES"/>
              </w:rPr>
              <w:t>2011</w:t>
            </w:r>
          </w:p>
        </w:tc>
      </w:tr>
      <w:tr w:rsidR="00DE0D75" w:rsidRPr="00441513" w14:paraId="4E77BA39" w14:textId="77777777" w:rsidTr="0020469F">
        <w:trPr>
          <w:trHeight w:val="360"/>
          <w:jc w:val="center"/>
        </w:trPr>
        <w:tc>
          <w:tcPr>
            <w:tcW w:w="2070" w:type="dxa"/>
            <w:tcMar>
              <w:left w:w="105" w:type="dxa"/>
              <w:right w:w="105" w:type="dxa"/>
            </w:tcMar>
          </w:tcPr>
          <w:p w14:paraId="7C072AC6" w14:textId="77777777" w:rsidR="00DE0D75" w:rsidRPr="00441513" w:rsidRDefault="00DE0D75" w:rsidP="00DE0D75">
            <w:pPr>
              <w:pStyle w:val="Tabletext"/>
              <w:rPr>
                <w:lang w:val="es-ES"/>
              </w:rPr>
            </w:pPr>
            <w:r w:rsidRPr="00441513">
              <w:rPr>
                <w:lang w:val="es-ES"/>
              </w:rPr>
              <w:t>Samoa</w:t>
            </w:r>
          </w:p>
        </w:tc>
        <w:tc>
          <w:tcPr>
            <w:tcW w:w="3450" w:type="dxa"/>
            <w:tcMar>
              <w:left w:w="105" w:type="dxa"/>
              <w:right w:w="105" w:type="dxa"/>
            </w:tcMar>
          </w:tcPr>
          <w:p w14:paraId="3A00DEFF" w14:textId="77777777" w:rsidR="00DE0D75" w:rsidRPr="00441513" w:rsidRDefault="00DE0D75" w:rsidP="00DE0D75">
            <w:pPr>
              <w:pStyle w:val="Tabletext"/>
              <w:jc w:val="center"/>
              <w:rPr>
                <w:lang w:val="es-ES"/>
              </w:rPr>
            </w:pPr>
            <w:r w:rsidRPr="00441513">
              <w:rPr>
                <w:lang w:val="es-ES"/>
              </w:rPr>
              <w:t>2014</w:t>
            </w:r>
          </w:p>
        </w:tc>
      </w:tr>
      <w:tr w:rsidR="00DE0D75" w:rsidRPr="00441513" w14:paraId="2888C61F" w14:textId="77777777" w:rsidTr="0020469F">
        <w:trPr>
          <w:trHeight w:val="360"/>
          <w:jc w:val="center"/>
        </w:trPr>
        <w:tc>
          <w:tcPr>
            <w:tcW w:w="2070" w:type="dxa"/>
            <w:tcMar>
              <w:left w:w="105" w:type="dxa"/>
              <w:right w:w="105" w:type="dxa"/>
            </w:tcMar>
          </w:tcPr>
          <w:p w14:paraId="622FF186" w14:textId="77777777" w:rsidR="00DE0D75" w:rsidRPr="00441513" w:rsidRDefault="00DE0D75" w:rsidP="00DE0D75">
            <w:pPr>
              <w:pStyle w:val="Tabletext"/>
              <w:rPr>
                <w:lang w:val="es-ES"/>
              </w:rPr>
            </w:pPr>
            <w:r w:rsidRPr="00441513">
              <w:rPr>
                <w:lang w:val="es-ES"/>
              </w:rPr>
              <w:t>Guinea Ecuatorial</w:t>
            </w:r>
          </w:p>
        </w:tc>
        <w:tc>
          <w:tcPr>
            <w:tcW w:w="3450" w:type="dxa"/>
            <w:tcMar>
              <w:left w:w="105" w:type="dxa"/>
              <w:right w:w="105" w:type="dxa"/>
            </w:tcMar>
          </w:tcPr>
          <w:p w14:paraId="64519332" w14:textId="77777777" w:rsidR="00DE0D75" w:rsidRPr="00441513" w:rsidRDefault="00DE0D75" w:rsidP="00DE0D75">
            <w:pPr>
              <w:pStyle w:val="Tabletext"/>
              <w:jc w:val="center"/>
              <w:rPr>
                <w:lang w:val="es-ES"/>
              </w:rPr>
            </w:pPr>
            <w:r w:rsidRPr="00441513">
              <w:rPr>
                <w:lang w:val="es-ES"/>
              </w:rPr>
              <w:t>2017</w:t>
            </w:r>
          </w:p>
        </w:tc>
      </w:tr>
      <w:tr w:rsidR="00DE0D75" w:rsidRPr="00441513" w14:paraId="293681E2" w14:textId="77777777" w:rsidTr="0020469F">
        <w:trPr>
          <w:trHeight w:val="300"/>
          <w:jc w:val="center"/>
        </w:trPr>
        <w:tc>
          <w:tcPr>
            <w:tcW w:w="2070" w:type="dxa"/>
            <w:tcMar>
              <w:left w:w="105" w:type="dxa"/>
              <w:right w:w="105" w:type="dxa"/>
            </w:tcMar>
          </w:tcPr>
          <w:p w14:paraId="22256EC0" w14:textId="77777777" w:rsidR="00DE0D75" w:rsidRPr="00441513" w:rsidRDefault="00DE0D75" w:rsidP="00DE0D75">
            <w:pPr>
              <w:pStyle w:val="Tabletext"/>
              <w:rPr>
                <w:lang w:val="es-ES"/>
              </w:rPr>
            </w:pPr>
            <w:r w:rsidRPr="00441513">
              <w:rPr>
                <w:lang w:val="es-ES"/>
              </w:rPr>
              <w:t>Vanuatu</w:t>
            </w:r>
          </w:p>
        </w:tc>
        <w:tc>
          <w:tcPr>
            <w:tcW w:w="3450" w:type="dxa"/>
            <w:tcMar>
              <w:left w:w="105" w:type="dxa"/>
              <w:right w:w="105" w:type="dxa"/>
            </w:tcMar>
          </w:tcPr>
          <w:p w14:paraId="11168D46" w14:textId="77777777" w:rsidR="00DE0D75" w:rsidRPr="00441513" w:rsidRDefault="00DE0D75" w:rsidP="00DE0D75">
            <w:pPr>
              <w:pStyle w:val="Tabletext"/>
              <w:jc w:val="center"/>
              <w:rPr>
                <w:lang w:val="es-ES"/>
              </w:rPr>
            </w:pPr>
            <w:r w:rsidRPr="00441513">
              <w:rPr>
                <w:lang w:val="es-ES"/>
              </w:rPr>
              <w:t>2020</w:t>
            </w:r>
          </w:p>
        </w:tc>
      </w:tr>
      <w:tr w:rsidR="00DE0D75" w:rsidRPr="00441513" w14:paraId="7096CE04" w14:textId="77777777" w:rsidTr="0020469F">
        <w:trPr>
          <w:trHeight w:val="360"/>
          <w:jc w:val="center"/>
        </w:trPr>
        <w:tc>
          <w:tcPr>
            <w:tcW w:w="2070" w:type="dxa"/>
            <w:tcMar>
              <w:left w:w="105" w:type="dxa"/>
              <w:right w:w="105" w:type="dxa"/>
            </w:tcMar>
          </w:tcPr>
          <w:p w14:paraId="2B219192" w14:textId="77777777" w:rsidR="00DE0D75" w:rsidRPr="00441513" w:rsidRDefault="00DE0D75" w:rsidP="00DE0D75">
            <w:pPr>
              <w:pStyle w:val="Tabletext"/>
              <w:rPr>
                <w:lang w:val="es-ES"/>
              </w:rPr>
            </w:pPr>
            <w:r w:rsidRPr="00441513">
              <w:rPr>
                <w:lang w:val="es-ES"/>
              </w:rPr>
              <w:t>Bután</w:t>
            </w:r>
          </w:p>
        </w:tc>
        <w:tc>
          <w:tcPr>
            <w:tcW w:w="3450" w:type="dxa"/>
            <w:tcMar>
              <w:left w:w="105" w:type="dxa"/>
              <w:right w:w="105" w:type="dxa"/>
            </w:tcMar>
          </w:tcPr>
          <w:p w14:paraId="41DA590B" w14:textId="77777777" w:rsidR="00DE0D75" w:rsidRPr="00441513" w:rsidRDefault="00DE0D75" w:rsidP="00DE0D75">
            <w:pPr>
              <w:pStyle w:val="Tabletext"/>
              <w:jc w:val="center"/>
              <w:rPr>
                <w:lang w:val="es-ES"/>
              </w:rPr>
            </w:pPr>
            <w:r w:rsidRPr="00441513">
              <w:rPr>
                <w:lang w:val="es-ES"/>
              </w:rPr>
              <w:t>2023</w:t>
            </w:r>
          </w:p>
        </w:tc>
      </w:tr>
      <w:tr w:rsidR="00DE0D75" w:rsidRPr="00441513" w14:paraId="27AAF133" w14:textId="77777777" w:rsidTr="0020469F">
        <w:trPr>
          <w:trHeight w:val="360"/>
          <w:jc w:val="center"/>
        </w:trPr>
        <w:tc>
          <w:tcPr>
            <w:tcW w:w="2070" w:type="dxa"/>
            <w:tcMar>
              <w:left w:w="105" w:type="dxa"/>
              <w:right w:w="105" w:type="dxa"/>
            </w:tcMar>
          </w:tcPr>
          <w:p w14:paraId="646A532E" w14:textId="77777777" w:rsidR="00DE0D75" w:rsidRPr="00441513" w:rsidRDefault="00DE0D75" w:rsidP="00DE0D75">
            <w:pPr>
              <w:pStyle w:val="Tabletext"/>
              <w:rPr>
                <w:lang w:val="es-ES"/>
              </w:rPr>
            </w:pPr>
            <w:r w:rsidRPr="00441513">
              <w:rPr>
                <w:lang w:val="es-ES"/>
              </w:rPr>
              <w:t>Santo Tomé y Príncipe</w:t>
            </w:r>
          </w:p>
        </w:tc>
        <w:tc>
          <w:tcPr>
            <w:tcW w:w="3450" w:type="dxa"/>
            <w:tcMar>
              <w:left w:w="105" w:type="dxa"/>
              <w:right w:w="105" w:type="dxa"/>
            </w:tcMar>
          </w:tcPr>
          <w:p w14:paraId="5E0602EC" w14:textId="77777777" w:rsidR="00DE0D75" w:rsidRPr="00441513" w:rsidRDefault="00DE0D75" w:rsidP="00DE0D75">
            <w:pPr>
              <w:pStyle w:val="Tabletext"/>
              <w:jc w:val="center"/>
              <w:rPr>
                <w:lang w:val="es-ES"/>
              </w:rPr>
            </w:pPr>
            <w:r w:rsidRPr="00441513">
              <w:rPr>
                <w:lang w:val="es-ES"/>
              </w:rPr>
              <w:t>2024</w:t>
            </w:r>
          </w:p>
        </w:tc>
      </w:tr>
    </w:tbl>
    <w:p w14:paraId="19BFE57C" w14:textId="6C1ED2B8" w:rsidR="00F82C65" w:rsidRPr="00441513" w:rsidRDefault="00036172" w:rsidP="00036172">
      <w:pPr>
        <w:pStyle w:val="Headingb"/>
        <w:rPr>
          <w:lang w:val="es-ES"/>
        </w:rPr>
      </w:pPr>
      <w:r w:rsidRPr="00441513">
        <w:rPr>
          <w:lang w:val="es-ES"/>
        </w:rPr>
        <w:t>Países excluidos de la clasificación</w:t>
      </w:r>
    </w:p>
    <w:p w14:paraId="446425D5" w14:textId="0FC1902C" w:rsidR="00036172" w:rsidRPr="00441513" w:rsidRDefault="00036172" w:rsidP="00F82C65">
      <w:pPr>
        <w:rPr>
          <w:lang w:val="es-ES"/>
        </w:rPr>
      </w:pPr>
      <w:r w:rsidRPr="00441513">
        <w:rPr>
          <w:lang w:val="es-ES"/>
        </w:rPr>
        <w:t>Los siguientes países han cumplido los criterios de exclusión y se encuentran actualmente en diversas fases preparatorias para dejar de considerarse países menos adelantados (PMA), tal y como se indica en el cuadro 6.</w:t>
      </w:r>
    </w:p>
    <w:p w14:paraId="5A8EEAC7" w14:textId="6A029C14" w:rsidR="00036172" w:rsidRPr="00441513" w:rsidRDefault="00C910CE" w:rsidP="00C910CE">
      <w:pPr>
        <w:pStyle w:val="Tabletitle"/>
        <w:spacing w:before="120"/>
        <w:rPr>
          <w:lang w:val="es-ES"/>
        </w:rPr>
      </w:pPr>
      <w:r w:rsidRPr="00441513">
        <w:rPr>
          <w:lang w:val="es-ES"/>
        </w:rPr>
        <w:t>Cuadro 6: Países en fase preparatoria para ser excluidos de la categoría de PMA</w:t>
      </w:r>
    </w:p>
    <w:tbl>
      <w:tblPr>
        <w:tblW w:w="949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6A0" w:firstRow="1" w:lastRow="0" w:firstColumn="1" w:lastColumn="0" w:noHBand="1" w:noVBand="1"/>
      </w:tblPr>
      <w:tblGrid>
        <w:gridCol w:w="2832"/>
        <w:gridCol w:w="6663"/>
      </w:tblGrid>
      <w:tr w:rsidR="00C910CE" w:rsidRPr="00441513" w14:paraId="50FA11EC" w14:textId="77777777" w:rsidTr="0020469F">
        <w:trPr>
          <w:trHeight w:val="675"/>
        </w:trPr>
        <w:tc>
          <w:tcPr>
            <w:tcW w:w="2832" w:type="dxa"/>
            <w:vAlign w:val="center"/>
          </w:tcPr>
          <w:p w14:paraId="6AE15A5A" w14:textId="77777777" w:rsidR="00C910CE" w:rsidRPr="00441513" w:rsidRDefault="00C910CE" w:rsidP="00C910CE">
            <w:pPr>
              <w:pStyle w:val="Tablehead"/>
              <w:rPr>
                <w:lang w:val="es-ES"/>
              </w:rPr>
            </w:pPr>
            <w:r w:rsidRPr="00441513">
              <w:rPr>
                <w:lang w:val="es-ES"/>
              </w:rPr>
              <w:t>País y año previsto de exclusión de categoría</w:t>
            </w:r>
          </w:p>
        </w:tc>
        <w:tc>
          <w:tcPr>
            <w:tcW w:w="6663" w:type="dxa"/>
            <w:vAlign w:val="center"/>
          </w:tcPr>
          <w:p w14:paraId="6254241B" w14:textId="77777777" w:rsidR="00C910CE" w:rsidRPr="00441513" w:rsidRDefault="00C910CE" w:rsidP="00C910CE">
            <w:pPr>
              <w:pStyle w:val="Tablehead"/>
              <w:rPr>
                <w:lang w:val="es-ES"/>
              </w:rPr>
            </w:pPr>
            <w:r w:rsidRPr="00441513">
              <w:rPr>
                <w:lang w:val="es-ES"/>
              </w:rPr>
              <w:t>Etapa preparatoria previa a la exclusión de categoría</w:t>
            </w:r>
          </w:p>
        </w:tc>
      </w:tr>
      <w:tr w:rsidR="00C910CE" w:rsidRPr="00441513" w14:paraId="6E804D89" w14:textId="77777777" w:rsidTr="0020469F">
        <w:trPr>
          <w:trHeight w:val="300"/>
        </w:trPr>
        <w:tc>
          <w:tcPr>
            <w:tcW w:w="2832" w:type="dxa"/>
            <w:vAlign w:val="center"/>
          </w:tcPr>
          <w:p w14:paraId="248E7D14" w14:textId="77777777" w:rsidR="00C910CE" w:rsidRPr="00441513" w:rsidRDefault="00C910CE" w:rsidP="00C910CE">
            <w:pPr>
              <w:pStyle w:val="Tabletext"/>
              <w:rPr>
                <w:lang w:val="es-ES"/>
              </w:rPr>
            </w:pPr>
            <w:r w:rsidRPr="00441513">
              <w:rPr>
                <w:lang w:val="es-ES"/>
              </w:rPr>
              <w:t>Bangladesh (2026)</w:t>
            </w:r>
          </w:p>
        </w:tc>
        <w:tc>
          <w:tcPr>
            <w:tcW w:w="6663" w:type="dxa"/>
            <w:vAlign w:val="center"/>
          </w:tcPr>
          <w:p w14:paraId="096122CA" w14:textId="5E9D145B" w:rsidR="00C910CE" w:rsidRPr="00441513" w:rsidRDefault="00C910CE" w:rsidP="00C910CE">
            <w:pPr>
              <w:pStyle w:val="Tabletext"/>
              <w:rPr>
                <w:lang w:val="es-ES"/>
              </w:rPr>
            </w:pPr>
            <w:r w:rsidRPr="00441513">
              <w:rPr>
                <w:lang w:val="es-ES"/>
              </w:rPr>
              <w:t>La Asamblea General ha aprobado la exclusión de categoría con un per</w:t>
            </w:r>
            <w:r w:rsidR="000227EF" w:rsidRPr="00441513">
              <w:rPr>
                <w:lang w:val="es-ES"/>
              </w:rPr>
              <w:t>i</w:t>
            </w:r>
            <w:r w:rsidRPr="00441513">
              <w:rPr>
                <w:lang w:val="es-ES"/>
              </w:rPr>
              <w:t>odo preparatorio prolongado. El país aplica actualmente su estrategia de transición fluida como preparación para dicha exclusión.</w:t>
            </w:r>
          </w:p>
        </w:tc>
      </w:tr>
      <w:tr w:rsidR="00C910CE" w:rsidRPr="00441513" w14:paraId="70975B5E" w14:textId="77777777" w:rsidTr="0020469F">
        <w:trPr>
          <w:trHeight w:val="300"/>
        </w:trPr>
        <w:tc>
          <w:tcPr>
            <w:tcW w:w="2832" w:type="dxa"/>
            <w:vAlign w:val="center"/>
          </w:tcPr>
          <w:p w14:paraId="4B2B7CC7" w14:textId="77777777" w:rsidR="00C910CE" w:rsidRPr="00441513" w:rsidRDefault="00C910CE" w:rsidP="00C910CE">
            <w:pPr>
              <w:pStyle w:val="Tabletext"/>
              <w:rPr>
                <w:lang w:val="es-ES"/>
              </w:rPr>
            </w:pPr>
            <w:r w:rsidRPr="00441513">
              <w:rPr>
                <w:lang w:val="es-ES"/>
              </w:rPr>
              <w:t>RDP Lao (2026)</w:t>
            </w:r>
          </w:p>
        </w:tc>
        <w:tc>
          <w:tcPr>
            <w:tcW w:w="6663" w:type="dxa"/>
            <w:vAlign w:val="center"/>
          </w:tcPr>
          <w:p w14:paraId="5E5EA972" w14:textId="5EF9E819" w:rsidR="00C910CE" w:rsidRPr="00441513" w:rsidRDefault="00C910CE" w:rsidP="00C910CE">
            <w:pPr>
              <w:pStyle w:val="Tabletext"/>
              <w:rPr>
                <w:lang w:val="es-ES"/>
              </w:rPr>
            </w:pPr>
            <w:r w:rsidRPr="00441513">
              <w:rPr>
                <w:lang w:val="es-ES"/>
              </w:rPr>
              <w:t>Actualmente se encuentra en un per</w:t>
            </w:r>
            <w:r w:rsidR="00441513" w:rsidRPr="00441513">
              <w:rPr>
                <w:lang w:val="es-ES"/>
              </w:rPr>
              <w:t>i</w:t>
            </w:r>
            <w:r w:rsidRPr="00441513">
              <w:rPr>
                <w:lang w:val="es-ES"/>
              </w:rPr>
              <w:t>odo preparatorio tras la resolución de exclusión de categoría de las Naciones Unidas, con hincapié en la planificación de la transición y la preparación de la exclusión en 2026.</w:t>
            </w:r>
          </w:p>
        </w:tc>
      </w:tr>
      <w:tr w:rsidR="00C910CE" w:rsidRPr="00441513" w14:paraId="79DC4C13" w14:textId="77777777" w:rsidTr="0020469F">
        <w:trPr>
          <w:trHeight w:val="300"/>
        </w:trPr>
        <w:tc>
          <w:tcPr>
            <w:tcW w:w="2832" w:type="dxa"/>
            <w:vAlign w:val="center"/>
          </w:tcPr>
          <w:p w14:paraId="799926FF" w14:textId="77777777" w:rsidR="00C910CE" w:rsidRPr="00441513" w:rsidRDefault="00C910CE" w:rsidP="00C910CE">
            <w:pPr>
              <w:pStyle w:val="Tabletext"/>
              <w:rPr>
                <w:lang w:val="es-ES"/>
              </w:rPr>
            </w:pPr>
            <w:r w:rsidRPr="00441513">
              <w:rPr>
                <w:lang w:val="es-ES"/>
              </w:rPr>
              <w:t>Nepal (2026)</w:t>
            </w:r>
          </w:p>
        </w:tc>
        <w:tc>
          <w:tcPr>
            <w:tcW w:w="6663" w:type="dxa"/>
            <w:vAlign w:val="center"/>
          </w:tcPr>
          <w:p w14:paraId="0379FC9A" w14:textId="14AAA85A" w:rsidR="00C910CE" w:rsidRPr="00441513" w:rsidRDefault="00C910CE" w:rsidP="00C910CE">
            <w:pPr>
              <w:pStyle w:val="Tabletext"/>
              <w:rPr>
                <w:lang w:val="es-ES"/>
              </w:rPr>
            </w:pPr>
            <w:r w:rsidRPr="00441513">
              <w:rPr>
                <w:lang w:val="es-ES"/>
              </w:rPr>
              <w:t>Lleva a cabo la planificación de la transición y las medidas de implementación durante el per</w:t>
            </w:r>
            <w:r w:rsidR="00441513" w:rsidRPr="00441513">
              <w:rPr>
                <w:lang w:val="es-ES"/>
              </w:rPr>
              <w:t>i</w:t>
            </w:r>
            <w:r w:rsidRPr="00441513">
              <w:rPr>
                <w:lang w:val="es-ES"/>
              </w:rPr>
              <w:t>odo preparatorio previo a la exclusión de categoría en 2026.</w:t>
            </w:r>
          </w:p>
        </w:tc>
      </w:tr>
      <w:tr w:rsidR="00C910CE" w:rsidRPr="00441513" w14:paraId="677488D6" w14:textId="77777777" w:rsidTr="0020469F">
        <w:trPr>
          <w:trHeight w:val="300"/>
        </w:trPr>
        <w:tc>
          <w:tcPr>
            <w:tcW w:w="2832" w:type="dxa"/>
            <w:vAlign w:val="center"/>
          </w:tcPr>
          <w:p w14:paraId="135F7495" w14:textId="77777777" w:rsidR="00C910CE" w:rsidRPr="00441513" w:rsidRDefault="00C910CE" w:rsidP="00C910CE">
            <w:pPr>
              <w:pStyle w:val="Tabletext"/>
              <w:rPr>
                <w:lang w:val="es-ES"/>
              </w:rPr>
            </w:pPr>
            <w:r w:rsidRPr="00441513">
              <w:rPr>
                <w:lang w:val="es-ES"/>
              </w:rPr>
              <w:t>Islas Salomón (2027)</w:t>
            </w:r>
          </w:p>
        </w:tc>
        <w:tc>
          <w:tcPr>
            <w:tcW w:w="6663" w:type="dxa"/>
            <w:vAlign w:val="center"/>
          </w:tcPr>
          <w:p w14:paraId="50083F63" w14:textId="69E19D71" w:rsidR="00C910CE" w:rsidRPr="00441513" w:rsidRDefault="00C910CE" w:rsidP="00C910CE">
            <w:pPr>
              <w:pStyle w:val="Tabletext"/>
              <w:rPr>
                <w:lang w:val="es-ES"/>
              </w:rPr>
            </w:pPr>
            <w:r w:rsidRPr="00441513">
              <w:rPr>
                <w:lang w:val="es-ES"/>
              </w:rPr>
              <w:t>Se ha ampliado el per</w:t>
            </w:r>
            <w:r w:rsidR="00441513" w:rsidRPr="00441513">
              <w:rPr>
                <w:lang w:val="es-ES"/>
              </w:rPr>
              <w:t>i</w:t>
            </w:r>
            <w:r w:rsidRPr="00441513">
              <w:rPr>
                <w:lang w:val="es-ES"/>
              </w:rPr>
              <w:t>odo preparatorio para fomentar la resiliencia y una transición sostenible, y la exclusión de categoría está prevista para 2027.</w:t>
            </w:r>
          </w:p>
        </w:tc>
      </w:tr>
      <w:tr w:rsidR="00C910CE" w:rsidRPr="00441513" w14:paraId="5F495EA7" w14:textId="77777777" w:rsidTr="0020469F">
        <w:trPr>
          <w:trHeight w:val="300"/>
        </w:trPr>
        <w:tc>
          <w:tcPr>
            <w:tcW w:w="2832" w:type="dxa"/>
            <w:vAlign w:val="center"/>
          </w:tcPr>
          <w:p w14:paraId="7CB26BB4" w14:textId="77777777" w:rsidR="00C910CE" w:rsidRPr="00441513" w:rsidRDefault="00C910CE" w:rsidP="00C910CE">
            <w:pPr>
              <w:pStyle w:val="Tabletext"/>
              <w:rPr>
                <w:lang w:val="es-ES"/>
              </w:rPr>
            </w:pPr>
            <w:r w:rsidRPr="00441513">
              <w:rPr>
                <w:lang w:val="es-ES"/>
              </w:rPr>
              <w:t>Camboya (2029)</w:t>
            </w:r>
          </w:p>
        </w:tc>
        <w:tc>
          <w:tcPr>
            <w:tcW w:w="6663" w:type="dxa"/>
            <w:vAlign w:val="center"/>
          </w:tcPr>
          <w:p w14:paraId="63DAE328" w14:textId="3BFF2CFA" w:rsidR="00C910CE" w:rsidRPr="00441513" w:rsidRDefault="00C910CE" w:rsidP="00C910CE">
            <w:pPr>
              <w:pStyle w:val="Tabletext"/>
              <w:rPr>
                <w:lang w:val="es-ES"/>
              </w:rPr>
            </w:pPr>
            <w:r w:rsidRPr="00441513">
              <w:rPr>
                <w:lang w:val="es-ES"/>
              </w:rPr>
              <w:t>Tras la resolución de la Asamblea General, el país se encuentra en un per</w:t>
            </w:r>
            <w:r w:rsidR="00441513" w:rsidRPr="00441513">
              <w:rPr>
                <w:lang w:val="es-ES"/>
              </w:rPr>
              <w:t>i</w:t>
            </w:r>
            <w:r w:rsidRPr="00441513">
              <w:rPr>
                <w:lang w:val="es-ES"/>
              </w:rPr>
              <w:t>odo preparatorio prolongado para garantizar una transición fluida antes de la exclusión de categoría en 2029.</w:t>
            </w:r>
          </w:p>
        </w:tc>
      </w:tr>
      <w:tr w:rsidR="00C910CE" w:rsidRPr="00441513" w14:paraId="78BAE9D1" w14:textId="77777777" w:rsidTr="0020469F">
        <w:trPr>
          <w:trHeight w:val="945"/>
        </w:trPr>
        <w:tc>
          <w:tcPr>
            <w:tcW w:w="2832" w:type="dxa"/>
            <w:vAlign w:val="center"/>
          </w:tcPr>
          <w:p w14:paraId="1CC126CE" w14:textId="77777777" w:rsidR="00C910CE" w:rsidRPr="00441513" w:rsidRDefault="00C910CE" w:rsidP="00C910CE">
            <w:pPr>
              <w:pStyle w:val="Tabletext"/>
              <w:rPr>
                <w:lang w:val="es-ES"/>
              </w:rPr>
            </w:pPr>
            <w:r w:rsidRPr="00441513">
              <w:rPr>
                <w:lang w:val="es-ES"/>
              </w:rPr>
              <w:t>Senegal (2029)</w:t>
            </w:r>
          </w:p>
        </w:tc>
        <w:tc>
          <w:tcPr>
            <w:tcW w:w="6663" w:type="dxa"/>
            <w:vAlign w:val="center"/>
          </w:tcPr>
          <w:p w14:paraId="38FA6329" w14:textId="457F13F3" w:rsidR="00C910CE" w:rsidRPr="00441513" w:rsidRDefault="00C910CE" w:rsidP="00C910CE">
            <w:pPr>
              <w:pStyle w:val="Tabletext"/>
              <w:rPr>
                <w:lang w:val="es-ES"/>
              </w:rPr>
            </w:pPr>
            <w:r w:rsidRPr="00441513">
              <w:rPr>
                <w:lang w:val="es-ES"/>
              </w:rPr>
              <w:t>Actualmente en fase de preparación de la exclusión de categoría, con un per</w:t>
            </w:r>
            <w:r w:rsidR="00441513" w:rsidRPr="00441513">
              <w:rPr>
                <w:lang w:val="es-ES"/>
              </w:rPr>
              <w:t>i</w:t>
            </w:r>
            <w:r w:rsidRPr="00441513">
              <w:rPr>
                <w:lang w:val="es-ES"/>
              </w:rPr>
              <w:t>odo preparatorio ampliado de cinco años aprobado por las Naciones Unidas; dicha exclusión de categoría está prevista para 2029.</w:t>
            </w:r>
          </w:p>
        </w:tc>
      </w:tr>
    </w:tbl>
    <w:p w14:paraId="0176E703" w14:textId="66555118" w:rsidR="00036172" w:rsidRPr="00441513" w:rsidRDefault="00C910CE" w:rsidP="00441513">
      <w:pPr>
        <w:pStyle w:val="Headingb"/>
        <w:keepNext/>
        <w:keepLines/>
        <w:rPr>
          <w:lang w:val="es-ES"/>
        </w:rPr>
      </w:pPr>
      <w:r w:rsidRPr="00441513">
        <w:rPr>
          <w:lang w:val="es-ES"/>
        </w:rPr>
        <w:lastRenderedPageBreak/>
        <w:t>Aspectos que afectan a los plazos de exclusión de categoría</w:t>
      </w:r>
    </w:p>
    <w:p w14:paraId="72150668" w14:textId="746D7358" w:rsidR="00C910CE" w:rsidRPr="00441513" w:rsidRDefault="00C910CE" w:rsidP="00441513">
      <w:pPr>
        <w:pStyle w:val="Normalaftertitle"/>
        <w:rPr>
          <w:lang w:val="es-ES"/>
        </w:rPr>
      </w:pPr>
      <w:r w:rsidRPr="00441513">
        <w:rPr>
          <w:lang w:val="es-ES"/>
        </w:rPr>
        <w:t>Si bien la exclusión de categoría refleja un progreso sostenido en relación con los criterios establecidos, los plazos pueden ajustarse en función de crisis externas, incluidas catástrofes naturales y fenómenos climáticos. Los países con una mayor vulnerabilidad estructural, en particular los pequeños Estados insulares en desarrollo y los países en desarrollo sin litoral, pueden enfrentarse a limitaciones adicionales que afectan a su preparación para la transición de categoría. Este es especialmente el caso de los países que se ajustan al mismo tiempo a la condición de PMA y de PEID, o de países en desarrollo sin litoral, en los que las desventajas estructurales son acumulativas y no aditivas, lo que requiere marcos de transición pormenorizadamente gestionados y la adopción de medidas de apoyo internacionales sostenidas.</w:t>
      </w:r>
    </w:p>
    <w:p w14:paraId="25EEE065" w14:textId="13E861DD" w:rsidR="00C910CE" w:rsidRPr="00441513" w:rsidRDefault="00C910CE" w:rsidP="00C910CE">
      <w:pPr>
        <w:pStyle w:val="Headingb"/>
        <w:rPr>
          <w:rFonts w:eastAsiaTheme="minorEastAsia" w:cs="Calibri"/>
          <w:bCs/>
          <w:lang w:val="es-ES"/>
        </w:rPr>
      </w:pPr>
      <w:r w:rsidRPr="00441513">
        <w:rPr>
          <w:rFonts w:eastAsiaTheme="minorEastAsia" w:cs="Calibri"/>
          <w:bCs/>
          <w:lang w:val="es-ES"/>
        </w:rPr>
        <w:t>Superposición de vulnerabilidades estructurales</w:t>
      </w:r>
    </w:p>
    <w:p w14:paraId="54FF1C2C" w14:textId="6A269E73" w:rsidR="00C910CE" w:rsidRPr="00441513" w:rsidRDefault="00C910CE" w:rsidP="00441513">
      <w:pPr>
        <w:pStyle w:val="Normalaftertitle"/>
        <w:rPr>
          <w:lang w:val="es-ES"/>
        </w:rPr>
      </w:pPr>
      <w:r w:rsidRPr="00441513">
        <w:rPr>
          <w:lang w:val="es-ES"/>
        </w:rPr>
        <w:t>Los países que se ajustan simultáneamente en las categorías de PMA, PDSL y PEID afrontan factores estructurales más adversos. En particular:</w:t>
      </w:r>
    </w:p>
    <w:p w14:paraId="688A25DA" w14:textId="49DB9D9D" w:rsidR="00C910CE" w:rsidRPr="00441513" w:rsidRDefault="00C910CE" w:rsidP="00C910CE">
      <w:pPr>
        <w:pStyle w:val="enumlev1"/>
        <w:rPr>
          <w:lang w:val="es-ES"/>
        </w:rPr>
      </w:pPr>
      <w:r w:rsidRPr="00441513">
        <w:rPr>
          <w:lang w:val="es-ES"/>
        </w:rPr>
        <w:t>–</w:t>
      </w:r>
      <w:r w:rsidRPr="00441513">
        <w:rPr>
          <w:lang w:val="es-ES"/>
        </w:rPr>
        <w:tab/>
        <w:t>Los PMA se caracterizan por bajos niveles de ingresos y una limitación de recursos humanos.</w:t>
      </w:r>
    </w:p>
    <w:p w14:paraId="16DB0DF0" w14:textId="22249ABA" w:rsidR="00C910CE" w:rsidRPr="00441513" w:rsidRDefault="00C910CE" w:rsidP="00C910CE">
      <w:pPr>
        <w:pStyle w:val="enumlev1"/>
        <w:rPr>
          <w:lang w:val="es-ES"/>
        </w:rPr>
      </w:pPr>
      <w:r w:rsidRPr="00441513">
        <w:rPr>
          <w:lang w:val="es-ES"/>
        </w:rPr>
        <w:t>–</w:t>
      </w:r>
      <w:r w:rsidRPr="00441513">
        <w:rPr>
          <w:lang w:val="es-ES"/>
        </w:rPr>
        <w:tab/>
        <w:t>Los PDSL se enfrentan a elevados costos comerciales y de transporte debido a la falta de acceso marítimo.</w:t>
      </w:r>
    </w:p>
    <w:p w14:paraId="669993AB" w14:textId="3E5C91DC" w:rsidR="00C910CE" w:rsidRPr="00441513" w:rsidRDefault="00C910CE" w:rsidP="00C910CE">
      <w:pPr>
        <w:pStyle w:val="enumlev1"/>
        <w:rPr>
          <w:lang w:val="es-ES"/>
        </w:rPr>
      </w:pPr>
      <w:r w:rsidRPr="00441513">
        <w:rPr>
          <w:lang w:val="es-ES"/>
        </w:rPr>
        <w:t>–</w:t>
      </w:r>
      <w:r w:rsidRPr="00441513">
        <w:rPr>
          <w:lang w:val="es-ES"/>
        </w:rPr>
        <w:tab/>
        <w:t>Los PEID padecen aislamiento geográfico, restricciones económicas de base y una gran vulnerabilidad climática.</w:t>
      </w:r>
    </w:p>
    <w:p w14:paraId="293D4751" w14:textId="1DC5F9EF" w:rsidR="00036172" w:rsidRPr="00441513" w:rsidRDefault="00C910CE" w:rsidP="00F82C65">
      <w:pPr>
        <w:rPr>
          <w:rFonts w:eastAsiaTheme="minorEastAsia" w:cs="Calibri"/>
          <w:lang w:val="es-ES"/>
        </w:rPr>
      </w:pPr>
      <w:r w:rsidRPr="00441513">
        <w:rPr>
          <w:rFonts w:eastAsiaTheme="minorEastAsia" w:cs="Calibri"/>
          <w:lang w:val="es-ES"/>
        </w:rPr>
        <w:t>Si estas clasificaciones se solapan, las vulnerabilidades se agravan en lugar de repercutir de forma independiente. La limitación de la capacidad productiva puede verse ampliada por restricciones logísticas, al tiempo que la exposición a crisis climáticas puede revertir sustancialmente los avances registrados en materia de desarrollo. El limitado margen fiscal, la dependencia de sectores exportadores restringidos y la mayor exposición a crisis externas subrayan la necesidad de adoptar medidas de apoyo internacional adaptadas a tenor de retos estructurales acumulativos.</w:t>
      </w:r>
    </w:p>
    <w:p w14:paraId="4F120E6E" w14:textId="0413C24B" w:rsidR="00C910CE" w:rsidRPr="00441513" w:rsidRDefault="00C910CE" w:rsidP="00C910CE">
      <w:pPr>
        <w:pStyle w:val="Headingb"/>
        <w:rPr>
          <w:rFonts w:eastAsiaTheme="minorEastAsia" w:cs="Calibri"/>
          <w:lang w:val="es-ES"/>
        </w:rPr>
      </w:pPr>
      <w:r w:rsidRPr="00441513">
        <w:rPr>
          <w:rFonts w:eastAsiaTheme="minorEastAsia" w:cs="Calibri"/>
          <w:lang w:val="es-ES"/>
        </w:rPr>
        <w:t>Conectividad digital y vías para la exclusión de categoría</w:t>
      </w:r>
    </w:p>
    <w:p w14:paraId="4EFA66E5" w14:textId="77777777" w:rsidR="00C910CE" w:rsidRPr="00441513" w:rsidRDefault="00C910CE" w:rsidP="00441513">
      <w:pPr>
        <w:pStyle w:val="Normalaftertitle"/>
        <w:rPr>
          <w:lang w:val="es-ES"/>
        </w:rPr>
      </w:pPr>
      <w:r w:rsidRPr="00441513">
        <w:rPr>
          <w:lang w:val="es-ES"/>
        </w:rPr>
        <w:t>Los datos estadísticos sobre conectividad de la UIT ponen de manifiesto que la utilización de Internet ha aumentado notablemente durante los ciclos de exclusión de categoría, lo que confirma la estrecha relación entre conectividad digital y los criterios fundamentales para la exclusión de categoría, en particular el aumento de ingresos, los resultados educativos y la resiliencia económica.</w:t>
      </w:r>
    </w:p>
    <w:p w14:paraId="2B02C880" w14:textId="774A46F7" w:rsidR="00C910CE" w:rsidRPr="00441513" w:rsidRDefault="00C910CE" w:rsidP="00C910CE">
      <w:pPr>
        <w:rPr>
          <w:rFonts w:eastAsiaTheme="minorEastAsia" w:cs="Calibri"/>
          <w:lang w:val="es-ES"/>
        </w:rPr>
      </w:pPr>
      <w:r w:rsidRPr="00441513">
        <w:rPr>
          <w:rFonts w:eastAsiaTheme="minorEastAsia" w:cs="Calibri"/>
          <w:lang w:val="es-ES"/>
        </w:rPr>
        <w:t>En los países recientemente excluidos de categoría o en proceso de exclusión de la misma, la utilización de Internet ha aumentado con arreglo a un factor superior al doble durante las actividades encaminadas a esa exclusión, lo que refleja una adopción digital acelerada y una transformación socioeconómica mayor. Esa pauta confirma que la ampliación de conectividad y el desarrollo del ecosistema de las TIC actúan como facilitadores clave del cambio estructural y del logro de avances.</w:t>
      </w:r>
    </w:p>
    <w:p w14:paraId="3E9C269F" w14:textId="4F6AC0E3" w:rsidR="00C910CE" w:rsidRPr="00441513" w:rsidRDefault="00C910CE" w:rsidP="00F82C65">
      <w:pPr>
        <w:rPr>
          <w:rFonts w:eastAsiaTheme="minorEastAsia" w:cs="Calibri"/>
          <w:lang w:val="es-ES"/>
        </w:rPr>
      </w:pPr>
      <w:r w:rsidRPr="00441513">
        <w:rPr>
          <w:rFonts w:eastAsiaTheme="minorEastAsia" w:cs="Calibri"/>
          <w:lang w:val="es-ES"/>
        </w:rPr>
        <w:t xml:space="preserve">Dichos datos ponen de manifiesto que la conectividad digital y la innovación en las TIC actúan como aceleradores de la transformación relativa a la exclusión de categoría, en particular en relación con el </w:t>
      </w:r>
      <w:r w:rsidRPr="00441513">
        <w:rPr>
          <w:rFonts w:eastAsiaTheme="minorEastAsia" w:cs="Calibri"/>
          <w:b/>
          <w:bCs/>
          <w:lang w:val="es-ES"/>
        </w:rPr>
        <w:t>Programa de Acción de Doha (2022-2031) para los PMA, el Programa de Acción de Awaza (2024-2034) para los PDSL y la Agenda de Antigua y Barbuda para los PEID (2024-2034).</w:t>
      </w:r>
    </w:p>
    <w:p w14:paraId="337098C2" w14:textId="1D68E053" w:rsidR="00C910CE" w:rsidRPr="00441513" w:rsidRDefault="00711E8B" w:rsidP="00F82C65">
      <w:pPr>
        <w:rPr>
          <w:rFonts w:eastAsiaTheme="minorEastAsia" w:cs="Calibri"/>
          <w:lang w:val="es-ES"/>
        </w:rPr>
      </w:pPr>
      <w:r w:rsidRPr="00441513">
        <w:rPr>
          <w:rFonts w:eastAsiaTheme="minorEastAsia" w:cs="Calibri"/>
          <w:lang w:val="es-ES"/>
        </w:rPr>
        <w:lastRenderedPageBreak/>
        <w:t>La exclusión de países de la categoría de País Menos Adelantado (PMA) subraya el papel fundamental del desarrollo digital para facilitar la transformación estructural. En algunos países en proceso de exclusión de categoría, la ampliación del acceso a la banda ancha y a servicios públicos digitales contribuyeron a fomentar los ingresos, el capital humano y la resiliencia, criterios fundamentales para la exclusión de la categoría de PMA. Las inversiones en infraestructuras de TIC y administración electrónica mejoraron la prestación de servicio en zonas lejanas y facilitaron la inclusión financiera y los resultados en el plano educativo. La conectividad digital aumentó la eficiencia administrativa, la preparación frente a catástrofes y la participación en actividades económicas basadas en servicios. El aumento de la utilización de Internet durante los ciclos de exclusión de categoría, que pasó de niveles bajos en 2014 a un índice de utilización del 60 % a comienzos del decenio de 2020, guarda relación con avances logrados en el plano educativo, la capacidad institucional y la diversificación económica. Por lo general, la experiencia de los países que han pasado a estar excluidos de la categoría de PMA demuestran que la conectividad digital, el desarrollo de competencias y los marcos de gobernanza son factores clave para abandonar la categoría de PMA, y esenciales para mantener los avances en materia de desarrollo después de abandonar dicha categoría.</w:t>
      </w:r>
    </w:p>
    <w:p w14:paraId="1AADEF1F" w14:textId="5520328C" w:rsidR="00C910CE" w:rsidRPr="00441513" w:rsidRDefault="00711E8B" w:rsidP="00711E8B">
      <w:pPr>
        <w:pStyle w:val="Headingb"/>
        <w:rPr>
          <w:lang w:val="es-ES"/>
        </w:rPr>
      </w:pPr>
      <w:r w:rsidRPr="00441513">
        <w:rPr>
          <w:lang w:val="es-ES"/>
        </w:rPr>
        <w:t>Supervisión de los facilitadores digitales</w:t>
      </w:r>
    </w:p>
    <w:p w14:paraId="0E373994" w14:textId="77777777" w:rsidR="00711E8B" w:rsidRPr="00441513" w:rsidRDefault="00711E8B" w:rsidP="00441513">
      <w:pPr>
        <w:pStyle w:val="Normalaftertitle"/>
        <w:rPr>
          <w:lang w:val="es-ES"/>
        </w:rPr>
      </w:pPr>
      <w:r w:rsidRPr="00441513">
        <w:rPr>
          <w:lang w:val="es-ES"/>
        </w:rPr>
        <w:t>La supervisión de los facilitadores digitales constituye un factor destacado del apoyo de la UIT a los países a lo largo del proceso de exclusión de categoría. Ello incluye la integración de indicadores de conectividad, asequibilidad, calidad de acceso y competencias digitales en las medidas de apoyo analítico de la UIT a los procesos de exclusión de categoría, a fin de fortalecer el asesoramiento normativo basado en datos empíricos e identificar tempranamente riesgos de retroceso en cuanto a los avances logrados.</w:t>
      </w:r>
    </w:p>
    <w:p w14:paraId="77A8A6B9" w14:textId="77777777" w:rsidR="00711E8B" w:rsidRPr="00441513" w:rsidRDefault="00711E8B" w:rsidP="00711E8B">
      <w:pPr>
        <w:rPr>
          <w:lang w:val="es-ES"/>
        </w:rPr>
      </w:pPr>
      <w:r w:rsidRPr="00441513">
        <w:rPr>
          <w:lang w:val="es-ES"/>
        </w:rPr>
        <w:t>La BDT tiene previsto seguir armonizando las intervenciones digitales con los avances a escala nacional en materia de exclusión de categoría y con las estrategias de resiliencia en los PMA, los PDSL y los PEID. Ello incluye el apoyo a la ampliación de conectividad, los ecosistemas de innovación y el establecimiento de marcos reglamentarios propicios que fomenten la diversificación económica y la resiliencia climática. Las medidas complementarias posteriores a la exclusión de categoría serán fundamentales para mantener el impulso de la inversión en infraestructura digital y evitar la pérdida de los avances logrados en el plano digital una vez que se abandone la condición de PMA.</w:t>
      </w:r>
    </w:p>
    <w:p w14:paraId="4F4009CA" w14:textId="52E349A6" w:rsidR="00711E8B" w:rsidRPr="00441513" w:rsidRDefault="00711E8B" w:rsidP="00711E8B">
      <w:pPr>
        <w:rPr>
          <w:lang w:val="es-ES"/>
        </w:rPr>
      </w:pPr>
      <w:r w:rsidRPr="00441513">
        <w:rPr>
          <w:lang w:val="es-ES"/>
        </w:rPr>
        <w:t>Con respecto al futuro, la BDT fortalecerá su función de apoyo a los países a lo largo del proceso de exclusión de categoría mediante:</w:t>
      </w:r>
    </w:p>
    <w:p w14:paraId="1F61F521" w14:textId="445586C9" w:rsidR="00711E8B" w:rsidRPr="00441513" w:rsidRDefault="00711E8B" w:rsidP="00711E8B">
      <w:pPr>
        <w:pStyle w:val="enumlev1"/>
        <w:rPr>
          <w:lang w:val="es-ES"/>
        </w:rPr>
      </w:pPr>
      <w:r w:rsidRPr="00441513">
        <w:rPr>
          <w:lang w:val="es-ES"/>
        </w:rPr>
        <w:t>–</w:t>
      </w:r>
      <w:r w:rsidRPr="00441513">
        <w:rPr>
          <w:lang w:val="es-ES"/>
        </w:rPr>
        <w:tab/>
        <w:t>La supervisión de la transformación digital con arreglo a los hitos relativos a la exclusión de categoría;</w:t>
      </w:r>
    </w:p>
    <w:p w14:paraId="0C05B18F" w14:textId="58F9054C" w:rsidR="00711E8B" w:rsidRPr="00441513" w:rsidRDefault="00711E8B" w:rsidP="00711E8B">
      <w:pPr>
        <w:pStyle w:val="enumlev1"/>
        <w:rPr>
          <w:lang w:val="es-ES"/>
        </w:rPr>
      </w:pPr>
      <w:r w:rsidRPr="00441513">
        <w:rPr>
          <w:lang w:val="es-ES"/>
        </w:rPr>
        <w:t>–</w:t>
      </w:r>
      <w:r w:rsidRPr="00441513">
        <w:rPr>
          <w:lang w:val="es-ES"/>
        </w:rPr>
        <w:tab/>
        <w:t>La identificación de los facilitadores digitales del cambio estructural</w:t>
      </w:r>
      <w:r w:rsidR="00441513" w:rsidRPr="00441513">
        <w:rPr>
          <w:lang w:val="es-ES"/>
        </w:rPr>
        <w:t>,</w:t>
      </w:r>
      <w:r w:rsidRPr="00441513">
        <w:rPr>
          <w:lang w:val="es-ES"/>
        </w:rPr>
        <w:t xml:space="preserve"> y</w:t>
      </w:r>
    </w:p>
    <w:p w14:paraId="748D4728" w14:textId="19D8217D" w:rsidR="00711E8B" w:rsidRPr="00441513" w:rsidRDefault="00711E8B" w:rsidP="00711E8B">
      <w:pPr>
        <w:pStyle w:val="enumlev1"/>
        <w:rPr>
          <w:lang w:val="es-ES"/>
        </w:rPr>
      </w:pPr>
      <w:r w:rsidRPr="00441513">
        <w:rPr>
          <w:lang w:val="es-ES"/>
        </w:rPr>
        <w:t>–</w:t>
      </w:r>
      <w:r w:rsidRPr="00441513">
        <w:rPr>
          <w:lang w:val="es-ES"/>
        </w:rPr>
        <w:tab/>
        <w:t>El apoyo a medidas complementarias para fomentar la sostenibilidad tras el abandono de categoría.</w:t>
      </w:r>
    </w:p>
    <w:p w14:paraId="13897E19" w14:textId="30DF4E8C" w:rsidR="00711E8B" w:rsidRPr="00441513" w:rsidRDefault="00711E8B" w:rsidP="00711E8B">
      <w:pPr>
        <w:pStyle w:val="Heading1"/>
        <w:rPr>
          <w:lang w:val="es-ES"/>
        </w:rPr>
      </w:pPr>
      <w:r w:rsidRPr="00441513">
        <w:rPr>
          <w:lang w:val="es-ES"/>
        </w:rPr>
        <w:t>11</w:t>
      </w:r>
      <w:r w:rsidRPr="00441513">
        <w:rPr>
          <w:lang w:val="es-ES"/>
        </w:rPr>
        <w:tab/>
        <w:t>Contribución de la UIT a las Conferencias de las Naciones Unidas sobre Desarrollo y programas adoptados</w:t>
      </w:r>
    </w:p>
    <w:p w14:paraId="7172C247" w14:textId="77777777" w:rsidR="00711E8B" w:rsidRPr="00441513" w:rsidRDefault="00711E8B" w:rsidP="00441513">
      <w:pPr>
        <w:pStyle w:val="Normalaftertitle"/>
        <w:rPr>
          <w:lang w:val="es-ES"/>
        </w:rPr>
      </w:pPr>
      <w:r w:rsidRPr="00441513">
        <w:rPr>
          <w:lang w:val="es-ES"/>
        </w:rPr>
        <w:t>Más allá de su participación activa en las citadas conferencias, la UIT sigue contribuyendo a la fase de aplicación de los correspondientes programas mediante la prestación de apoyo específico en materia de análisis, coordinación y asociación.</w:t>
      </w:r>
    </w:p>
    <w:p w14:paraId="5A9424F6" w14:textId="77777777" w:rsidR="00711E8B" w:rsidRPr="00441513" w:rsidRDefault="00711E8B" w:rsidP="00711E8B">
      <w:pPr>
        <w:rPr>
          <w:lang w:val="es-ES"/>
        </w:rPr>
      </w:pPr>
      <w:r w:rsidRPr="00441513">
        <w:rPr>
          <w:lang w:val="es-ES"/>
        </w:rPr>
        <w:lastRenderedPageBreak/>
        <w:t>En el contexto del Programa de Acción de Doha para los PMA, la UIT ha logrado avances en los preparativos de una propuesta de edición para 2027 sobre hechos y cifras, con hincapié en los países menos adelantados. Dicha edición contribuiría a evaluar los avances registrados en los cuatro primeros años de aplicación de dicho Programa de Acción, daría seguimiento de las tendencias de la transformación digital en los PMA y ofrecería recomendaciones basadas en datos empíricos para establecer las prioridades de la segunda mitad del decenio. La publicación tiene por objeto servir de aportación analítica fundamental para la revisión intermedia del Programa de Acción de Doha. En virtud de la Resolución 80/150 de la Asamblea General de las Naciones Unidas se decidió que la revisión intermedia de dicho Programa tenga lugar en Doha (Qatar) del 25 al 27 de marzo de 2027 y que se adopte una declaración política negociada intergubernamental.</w:t>
      </w:r>
    </w:p>
    <w:p w14:paraId="005AE549" w14:textId="77777777" w:rsidR="00711E8B" w:rsidRPr="00441513" w:rsidRDefault="00711E8B" w:rsidP="00711E8B">
      <w:pPr>
        <w:rPr>
          <w:lang w:val="es-ES"/>
        </w:rPr>
      </w:pPr>
      <w:r w:rsidRPr="00441513">
        <w:rPr>
          <w:lang w:val="es-ES"/>
        </w:rPr>
        <w:t>A través de la P2C, la UIT contribuye directamente al llamamiento del Programa de Acción de Doha para fortalecer las asociaciones entre varias partes interesadas, la coordinación y los mecanismos de rendición de cuentas.</w:t>
      </w:r>
    </w:p>
    <w:p w14:paraId="3A1AD4EC" w14:textId="77777777" w:rsidR="00711E8B" w:rsidRPr="00441513" w:rsidRDefault="00711E8B" w:rsidP="00711E8B">
      <w:pPr>
        <w:rPr>
          <w:lang w:val="es-ES"/>
        </w:rPr>
      </w:pPr>
      <w:r w:rsidRPr="00441513">
        <w:rPr>
          <w:lang w:val="es-ES"/>
        </w:rPr>
        <w:t>En la aplicación del Programa de Antigua y Barbuda para los PEID (ABAS), la UIT ha contribuido al desarrollo del mecanismo de supervisión y evaluación al proponer un conjunto de indicadores para medir el desarrollo digital, y tiene previsto seguir aplicando los objetivos de desarrollo digital recogidos en dicho Programa para los PEID.</w:t>
      </w:r>
    </w:p>
    <w:p w14:paraId="3F9CD1BF" w14:textId="32672C71" w:rsidR="00036172" w:rsidRPr="00441513" w:rsidRDefault="00711E8B" w:rsidP="00711E8B">
      <w:pPr>
        <w:rPr>
          <w:lang w:val="es-ES"/>
        </w:rPr>
      </w:pPr>
      <w:r w:rsidRPr="00441513">
        <w:rPr>
          <w:lang w:val="es-ES"/>
        </w:rPr>
        <w:t>En su conjunto, estas acciones ponen de relieve la función ininterrumpida de la UIT como contribuyente a la conferencia y en calidad de asociado activo en la transformación de los programas de desarrollo mundial para los PMA, los PDSL y los PEID para que redunden en resultados medibles en cuanto a transformación digital.</w:t>
      </w:r>
    </w:p>
    <w:p w14:paraId="6FECE1E5" w14:textId="6C76C8FF" w:rsidR="00711E8B" w:rsidRPr="00441513" w:rsidRDefault="00711E8B" w:rsidP="00711E8B">
      <w:pPr>
        <w:pStyle w:val="Heading1"/>
        <w:rPr>
          <w:lang w:val="es-ES"/>
        </w:rPr>
      </w:pPr>
      <w:r w:rsidRPr="00441513">
        <w:rPr>
          <w:lang w:val="es-ES"/>
        </w:rPr>
        <w:t>12</w:t>
      </w:r>
      <w:r w:rsidRPr="00441513">
        <w:rPr>
          <w:lang w:val="es-ES"/>
        </w:rPr>
        <w:tab/>
        <w:t>Medidas futuras: de la estrategia a la acción</w:t>
      </w:r>
    </w:p>
    <w:p w14:paraId="7A3B9252" w14:textId="77777777" w:rsidR="00711E8B" w:rsidRPr="00441513" w:rsidRDefault="00711E8B" w:rsidP="00441513">
      <w:pPr>
        <w:pStyle w:val="Normalaftertitle"/>
        <w:rPr>
          <w:lang w:val="es-ES"/>
        </w:rPr>
      </w:pPr>
      <w:r w:rsidRPr="00441513">
        <w:rPr>
          <w:lang w:val="es-ES"/>
        </w:rPr>
        <w:t>El Plan de Acción de Bakú establece las prioridades estratégicas por las que se rige el apoyo de la UIT-D a los PMA, los PDSL y los PEID. La implantación sobre el terreno de estas prioridades se lleva a cabo mediante la aplicación de actividades y proyectos del plan operacional. Esa armonización garantiza la continuidad entre la dirección estratégica, los mecanismos de implementación y los resultados medibles.</w:t>
      </w:r>
    </w:p>
    <w:p w14:paraId="5A693CB0" w14:textId="77777777" w:rsidR="00711E8B" w:rsidRPr="00441513" w:rsidRDefault="00711E8B" w:rsidP="00711E8B">
      <w:pPr>
        <w:rPr>
          <w:lang w:val="es-ES"/>
        </w:rPr>
      </w:pPr>
      <w:r w:rsidRPr="00441513">
        <w:rPr>
          <w:lang w:val="es-ES"/>
        </w:rPr>
        <w:t>En la CMDT-25 se presentó un informe sobre las actividades de la BDT en apoyo de los PMA, los PDSL y los PEID. En él se detalla el conjunto de actividades y proyectos del plan operacional que se habían llevado a cabo en los PMA, los PDSL y los PEID en esferas clave como las telecomunicaciones de emergencia, la transformación digital, la conectividad, la ciberseguridad, la inclusión digital y la capacitación. Con respecto al futuro, la implementación prevé seguir abordando las necesidades específicas de los PMA, los PDSL y los PEID mediante actividades y proyectos concretos del Plan operacional, en consonancia con las iniciativas regionales de la CMDT-25 y las Resoluciones pertinentes. En particular, esferas clave como las comunicaciones de emergencia y la resiliencia frente a catástrofes, destacadas por los miembros como fundamentales para los países vulnerables, seguirán siendo fundamentales para esos esfuerzos, aun en el marco de iniciativas como los sistemas de alerta temprana, la recuperación de la conectividad y las infraestructuras digitales resilientes.</w:t>
      </w:r>
    </w:p>
    <w:p w14:paraId="124A112B" w14:textId="77777777" w:rsidR="00711E8B" w:rsidRPr="00441513" w:rsidRDefault="00711E8B" w:rsidP="00711E8B">
      <w:pPr>
        <w:rPr>
          <w:lang w:val="es-ES"/>
        </w:rPr>
      </w:pPr>
      <w:r w:rsidRPr="00441513">
        <w:rPr>
          <w:lang w:val="es-ES"/>
        </w:rPr>
        <w:t xml:space="preserve">La movilización de recursos se fortaleció a través de la coalición Partner2Connect, que dio lugar a destacados compromisos financieros destinados a los PMA, los PDSL y los PEID. Por lo general, cabe destacar una transición actual de la asistencia centrada en infraestructuras al aumento del apoyo integrado a la transformación digital, respaldada por la armonización de políticas a escala </w:t>
      </w:r>
      <w:r w:rsidRPr="00441513">
        <w:rPr>
          <w:lang w:val="es-ES"/>
        </w:rPr>
        <w:lastRenderedPageBreak/>
        <w:t>mundial, una mayor coordinación y un efecto específico para los países con necesidades específicas.</w:t>
      </w:r>
    </w:p>
    <w:p w14:paraId="7023338B" w14:textId="4DF2D9D3" w:rsidR="00711E8B" w:rsidRPr="00441513" w:rsidRDefault="00711E8B" w:rsidP="00711E8B">
      <w:pPr>
        <w:rPr>
          <w:lang w:val="es-ES"/>
        </w:rPr>
      </w:pPr>
      <w:r w:rsidRPr="00441513">
        <w:rPr>
          <w:lang w:val="es-ES"/>
        </w:rPr>
        <w:t xml:space="preserve">La ejecución se fortalecerá aún más mediante la evolución del conjunto de proyectos y asociaciones. Ello incluye tanto la continuación y la ampliación de las iniciativas en curso como el desarrollo de nuevos proyectos que respondan a las necesidades incipientes identificadas por los miembros. A tal efecto, los nuevos proyectos observarán las prioridades establecidas en el marco del Plan de Acción de Bakú para el próximo </w:t>
      </w:r>
      <w:r w:rsidR="00441513" w:rsidRPr="00441513">
        <w:rPr>
          <w:lang w:val="es-ES"/>
        </w:rPr>
        <w:t>periodo</w:t>
      </w:r>
      <w:r w:rsidRPr="00441513">
        <w:rPr>
          <w:lang w:val="es-ES"/>
        </w:rPr>
        <w:t>. En su conjunto, esos elementos ponen claramente de relieve las prioridades estratégicas y su implementación, así como los resultados logrados hasta la fecha y los previstos para brindar apoyo a los PMA, los PDSL y los PEID.</w:t>
      </w:r>
    </w:p>
    <w:p w14:paraId="11C64D42" w14:textId="1136460B" w:rsidR="00711E8B" w:rsidRPr="00441513" w:rsidRDefault="00711E8B" w:rsidP="00711E8B">
      <w:pPr>
        <w:pStyle w:val="Heading1"/>
        <w:rPr>
          <w:lang w:val="es-ES"/>
        </w:rPr>
      </w:pPr>
      <w:r w:rsidRPr="00441513">
        <w:rPr>
          <w:lang w:val="es-ES"/>
        </w:rPr>
        <w:t>13</w:t>
      </w:r>
      <w:r w:rsidRPr="00441513">
        <w:rPr>
          <w:lang w:val="es-ES"/>
        </w:rPr>
        <w:tab/>
        <w:t>Conclusión</w:t>
      </w:r>
    </w:p>
    <w:p w14:paraId="374A175D" w14:textId="77777777" w:rsidR="00711E8B" w:rsidRPr="00441513" w:rsidRDefault="00711E8B" w:rsidP="00711E8B">
      <w:pPr>
        <w:rPr>
          <w:lang w:val="es-ES"/>
        </w:rPr>
      </w:pPr>
      <w:r w:rsidRPr="00441513">
        <w:rPr>
          <w:lang w:val="es-ES"/>
        </w:rPr>
        <w:t>Los resultados de la CMDT-25 proporcionan un mandato claro y fortalecido para que el UIT-D preste un apoyo específico, mensurable y basado en la colaboración a los PMA, los PDSL y los PEID. Mediante la aplicación de la Declaración de Bakú, el Plan de Acción de Bakú, las iniciativas regionales, los proyectos y el Plan Operacional para 2026-2029, la BDT transformará ese mandato en medidas específicas basadas en infraestructuras resilientes, una conectividad asequible y significativa, tecnologías incipientes, políticas basadas en datos empíricos e inclusión digital. Se seguirá haciendo hincapié en las telecomunicaciones de emergencia, la reducción de los costos de conectividad y las cuestiones regionales de interconexión y tránsito que afectan a los PEID del Pacífico y a determinados PDSL, en particular Paraguay y Bolivia.</w:t>
      </w:r>
    </w:p>
    <w:p w14:paraId="306F1830" w14:textId="790CCB89" w:rsidR="00711E8B" w:rsidRPr="00441513" w:rsidRDefault="00711E8B" w:rsidP="00711E8B">
      <w:pPr>
        <w:rPr>
          <w:lang w:val="es-ES"/>
        </w:rPr>
      </w:pPr>
      <w:r w:rsidRPr="00441513">
        <w:rPr>
          <w:lang w:val="es-ES"/>
        </w:rPr>
        <w:t xml:space="preserve">El conjunto de proyectos pone aún más de relieve la manera en que el UIT-D prevé ampliar las actividades de implementación, fortalecer las asociaciones y satisfacer las necesidades incipientes de los PMA, los PDSL y los PEID para el próximo </w:t>
      </w:r>
      <w:r w:rsidR="00441513" w:rsidRPr="00441513">
        <w:rPr>
          <w:lang w:val="es-ES"/>
        </w:rPr>
        <w:t>periodo</w:t>
      </w:r>
      <w:r w:rsidRPr="00441513">
        <w:rPr>
          <w:lang w:val="es-ES"/>
        </w:rPr>
        <w:t>. Ese enfoque integral facilita la continuidad entre los logros alcanzados y los resultados previstos, al tiempo que fortalece el apoyo orientado a los resultados del UIT-D a esos países vulnerables.</w:t>
      </w:r>
    </w:p>
    <w:p w14:paraId="30FFB544" w14:textId="77777777" w:rsidR="00711E8B" w:rsidRPr="00441513" w:rsidRDefault="00711E8B" w:rsidP="00711E8B">
      <w:pPr>
        <w:rPr>
          <w:lang w:val="es-ES"/>
        </w:rPr>
      </w:pPr>
      <w:r w:rsidRPr="00441513">
        <w:rPr>
          <w:lang w:val="es-ES"/>
        </w:rPr>
        <w:t>Con objeto de alcanzar esas ambiciosas metas será necesario el compromiso continuado de los Estados Miembros, Miembros de Sector, bancos de desarrollo, asociados de las Naciones Unidas y la comunidad en su conjunto, a fin de movilizar recursos, compartir conocimientos especializados y mejorar los resultados.</w:t>
      </w:r>
    </w:p>
    <w:p w14:paraId="5CD9C4A6" w14:textId="77777777" w:rsidR="00711E8B" w:rsidRPr="00441513" w:rsidRDefault="00711E8B" w:rsidP="00711E8B">
      <w:pPr>
        <w:rPr>
          <w:lang w:val="es-ES"/>
        </w:rPr>
      </w:pPr>
      <w:r w:rsidRPr="00441513">
        <w:rPr>
          <w:lang w:val="es-ES"/>
        </w:rPr>
        <w:t>El UIT-D contará con la orientación ininterrumpida del GADT y el apoyo activo de los asociados para garantizar que los PMA, los PDSL y los PEID no solo estén conectados, sino que posean la capacitación necesaria para participar plenamente en la economía digital, fortalecer la resiliencia y promover el desarrollo sostenible en consonancia con las agendas de desarrollo a escalas mundial y regional.</w:t>
      </w:r>
    </w:p>
    <w:p w14:paraId="2959F111" w14:textId="77777777" w:rsidR="00711E8B" w:rsidRPr="00441513" w:rsidRDefault="00711E8B" w:rsidP="00711E8B">
      <w:pPr>
        <w:rPr>
          <w:lang w:val="es-ES"/>
        </w:rPr>
      </w:pPr>
      <w:r w:rsidRPr="00441513">
        <w:rPr>
          <w:lang w:val="es-ES"/>
        </w:rPr>
        <w:t>Con respecto al futuro, será fundamental hacer hincapié de manera concertada en la conectividad, los marcos normativos, el desarrollo de competencias digitales, la resiliencia climática y la financiación sostenible con miras a acelerar la transformación digital en esos grupos de países.</w:t>
      </w:r>
    </w:p>
    <w:p w14:paraId="23DF0544" w14:textId="7A81EE11" w:rsidR="00711E8B" w:rsidRPr="00441513" w:rsidRDefault="00711E8B" w:rsidP="00711E8B">
      <w:pPr>
        <w:rPr>
          <w:lang w:val="es-ES"/>
        </w:rPr>
      </w:pPr>
      <w:r w:rsidRPr="00441513">
        <w:rPr>
          <w:lang w:val="es-ES"/>
        </w:rPr>
        <w:t>Se invita al GADT a tomar nota de este informe y a proporcionar orientación sobre medidas futuras, según proceda.</w:t>
      </w:r>
    </w:p>
    <w:p w14:paraId="492D695F" w14:textId="77777777" w:rsidR="00036172" w:rsidRPr="00441513" w:rsidRDefault="00036172" w:rsidP="00F82C65">
      <w:pPr>
        <w:rPr>
          <w:lang w:val="es-ES"/>
        </w:rPr>
      </w:pPr>
    </w:p>
    <w:p w14:paraId="70790A5A" w14:textId="735C5FDA" w:rsidR="00B06557" w:rsidRPr="00441513" w:rsidRDefault="00B06557">
      <w:pPr>
        <w:jc w:val="center"/>
        <w:rPr>
          <w:lang w:val="es-ES"/>
        </w:rPr>
      </w:pPr>
      <w:r w:rsidRPr="00441513">
        <w:rPr>
          <w:lang w:val="es-ES"/>
        </w:rPr>
        <w:t>______________</w:t>
      </w:r>
    </w:p>
    <w:sectPr w:rsidR="00B06557" w:rsidRPr="00441513" w:rsidSect="0081159E">
      <w:headerReference w:type="default" r:id="rId20"/>
      <w:footerReference w:type="first" r:id="rId21"/>
      <w:pgSz w:w="11907" w:h="16840" w:code="9"/>
      <w:pgMar w:top="1418"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B7578" w14:textId="77777777" w:rsidR="00030D2A" w:rsidRDefault="00030D2A">
      <w:r>
        <w:separator/>
      </w:r>
    </w:p>
    <w:p w14:paraId="5846249B" w14:textId="77777777" w:rsidR="00030D2A" w:rsidRDefault="00030D2A"/>
  </w:endnote>
  <w:endnote w:type="continuationSeparator" w:id="0">
    <w:p w14:paraId="45C662BD" w14:textId="77777777" w:rsidR="00030D2A" w:rsidRDefault="00030D2A">
      <w:r>
        <w:continuationSeparator/>
      </w:r>
    </w:p>
    <w:p w14:paraId="66C6C539" w14:textId="77777777" w:rsidR="00030D2A" w:rsidRDefault="00030D2A"/>
  </w:endnote>
  <w:endnote w:type="continuationNotice" w:id="1">
    <w:p w14:paraId="0F45DF3C" w14:textId="77777777" w:rsidR="00030D2A" w:rsidRDefault="00030D2A">
      <w:pPr>
        <w:spacing w:before="0"/>
      </w:pPr>
    </w:p>
    <w:p w14:paraId="0691C8A8" w14:textId="77777777" w:rsidR="00030D2A" w:rsidRDefault="00030D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GulimChe">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Layout w:type="fixed"/>
      <w:tblLook w:val="04A0" w:firstRow="1" w:lastRow="0" w:firstColumn="1" w:lastColumn="0" w:noHBand="0" w:noVBand="1"/>
    </w:tblPr>
    <w:tblGrid>
      <w:gridCol w:w="1526"/>
      <w:gridCol w:w="2524"/>
      <w:gridCol w:w="5873"/>
    </w:tblGrid>
    <w:tr w:rsidR="00B51670" w:rsidRPr="00B51670" w14:paraId="0250776B" w14:textId="77777777" w:rsidTr="00B51670">
      <w:tc>
        <w:tcPr>
          <w:tcW w:w="1526" w:type="dxa"/>
          <w:tcBorders>
            <w:top w:val="single" w:sz="4" w:space="0" w:color="000000"/>
          </w:tcBorders>
        </w:tcPr>
        <w:p w14:paraId="7B97426B" w14:textId="6F8D125A" w:rsidR="00B51670" w:rsidRPr="00F42215" w:rsidRDefault="00B51670" w:rsidP="00B51670">
          <w:pPr>
            <w:pStyle w:val="FirstFooter"/>
            <w:tabs>
              <w:tab w:val="left" w:pos="2302"/>
            </w:tabs>
            <w:ind w:left="2302" w:hanging="2302"/>
            <w:rPr>
              <w:sz w:val="18"/>
              <w:szCs w:val="18"/>
              <w:lang w:val="es-ES"/>
            </w:rPr>
          </w:pPr>
          <w:r w:rsidRPr="00F42215">
            <w:rPr>
              <w:sz w:val="18"/>
              <w:szCs w:val="18"/>
              <w:lang w:val="es-ES"/>
            </w:rPr>
            <w:t>Contacto:</w:t>
          </w:r>
        </w:p>
      </w:tc>
      <w:tc>
        <w:tcPr>
          <w:tcW w:w="2524" w:type="dxa"/>
          <w:tcBorders>
            <w:top w:val="single" w:sz="4" w:space="0" w:color="000000"/>
          </w:tcBorders>
        </w:tcPr>
        <w:p w14:paraId="74DBEBFE" w14:textId="3F1BB88F" w:rsidR="00B51670" w:rsidRPr="00F42215" w:rsidRDefault="00B51670" w:rsidP="00B51670">
          <w:pPr>
            <w:pStyle w:val="FirstFooter"/>
            <w:tabs>
              <w:tab w:val="left" w:pos="2302"/>
            </w:tabs>
            <w:ind w:left="2302" w:hanging="2302"/>
            <w:rPr>
              <w:sz w:val="18"/>
              <w:szCs w:val="18"/>
              <w:lang w:val="es-ES"/>
            </w:rPr>
          </w:pPr>
          <w:r w:rsidRPr="00F42215">
            <w:rPr>
              <w:sz w:val="18"/>
              <w:szCs w:val="18"/>
              <w:lang w:val="es-ES"/>
            </w:rPr>
            <w:t>Nombre/Organización/Entidad:</w:t>
          </w:r>
        </w:p>
      </w:tc>
      <w:tc>
        <w:tcPr>
          <w:tcW w:w="5873" w:type="dxa"/>
          <w:tcBorders>
            <w:top w:val="single" w:sz="4" w:space="0" w:color="000000"/>
          </w:tcBorders>
        </w:tcPr>
        <w:p w14:paraId="1FCC2892" w14:textId="0AAA0B75" w:rsidR="00B51670" w:rsidRPr="00F42215" w:rsidRDefault="00B51670" w:rsidP="00B51670">
          <w:pPr>
            <w:pStyle w:val="FirstFooter"/>
            <w:tabs>
              <w:tab w:val="left" w:pos="2302"/>
            </w:tabs>
            <w:rPr>
              <w:sz w:val="18"/>
              <w:szCs w:val="18"/>
              <w:lang w:val="es-ES"/>
            </w:rPr>
          </w:pPr>
          <w:r w:rsidRPr="00466727">
            <w:rPr>
              <w:rFonts w:cstheme="minorHAnsi"/>
              <w:sz w:val="18"/>
              <w:szCs w:val="18"/>
              <w:lang w:val="es-ES"/>
            </w:rPr>
            <w:t>Sra. Archana Gulati, Directora Adjunta, Oficina de Desarrollo de las Telecomunicaciones</w:t>
          </w:r>
        </w:p>
      </w:tc>
      <w:bookmarkStart w:id="10" w:name="OrgName"/>
      <w:bookmarkEnd w:id="10"/>
    </w:tr>
    <w:tr w:rsidR="00B51670" w:rsidRPr="004D495C" w14:paraId="5230281A" w14:textId="77777777" w:rsidTr="00B51670">
      <w:tc>
        <w:tcPr>
          <w:tcW w:w="1526" w:type="dxa"/>
        </w:tcPr>
        <w:p w14:paraId="6401EE47" w14:textId="77777777" w:rsidR="00B51670" w:rsidRPr="00F42215" w:rsidRDefault="00B51670" w:rsidP="00B51670">
          <w:pPr>
            <w:pStyle w:val="FirstFooter"/>
            <w:tabs>
              <w:tab w:val="left" w:pos="1559"/>
              <w:tab w:val="left" w:pos="3828"/>
            </w:tabs>
            <w:rPr>
              <w:sz w:val="18"/>
              <w:szCs w:val="18"/>
              <w:lang w:val="es-ES"/>
            </w:rPr>
          </w:pPr>
        </w:p>
      </w:tc>
      <w:tc>
        <w:tcPr>
          <w:tcW w:w="2524" w:type="dxa"/>
        </w:tcPr>
        <w:p w14:paraId="391F12A8" w14:textId="33C02653" w:rsidR="00B51670" w:rsidRPr="00F42215" w:rsidRDefault="00B51670" w:rsidP="00B51670">
          <w:pPr>
            <w:pStyle w:val="FirstFooter"/>
            <w:tabs>
              <w:tab w:val="left" w:pos="2302"/>
            </w:tabs>
            <w:ind w:left="2302" w:hanging="2302"/>
            <w:rPr>
              <w:sz w:val="18"/>
              <w:szCs w:val="18"/>
              <w:lang w:val="es-ES"/>
            </w:rPr>
          </w:pPr>
          <w:r w:rsidRPr="00F42215">
            <w:rPr>
              <w:sz w:val="18"/>
              <w:szCs w:val="18"/>
              <w:lang w:val="es-ES"/>
            </w:rPr>
            <w:t>Teléfono:</w:t>
          </w:r>
        </w:p>
      </w:tc>
      <w:tc>
        <w:tcPr>
          <w:tcW w:w="5873" w:type="dxa"/>
        </w:tcPr>
        <w:p w14:paraId="23954D71" w14:textId="38864E89" w:rsidR="00B51670" w:rsidRPr="00F42215" w:rsidRDefault="00B51670" w:rsidP="00B51670">
          <w:pPr>
            <w:pStyle w:val="FirstFooter"/>
            <w:tabs>
              <w:tab w:val="left" w:pos="2302"/>
            </w:tabs>
            <w:rPr>
              <w:sz w:val="18"/>
              <w:szCs w:val="18"/>
              <w:lang w:val="es-ES"/>
            </w:rPr>
          </w:pPr>
          <w:r w:rsidRPr="004F2FAA">
            <w:rPr>
              <w:rFonts w:cstheme="minorHAnsi"/>
              <w:sz w:val="18"/>
              <w:szCs w:val="18"/>
            </w:rPr>
            <w:t>+41 22 730 6475</w:t>
          </w:r>
        </w:p>
      </w:tc>
      <w:bookmarkStart w:id="11" w:name="PhoneNo"/>
      <w:bookmarkEnd w:id="11"/>
    </w:tr>
    <w:tr w:rsidR="00B51670" w:rsidRPr="004D495C" w14:paraId="75C00FB1" w14:textId="77777777" w:rsidTr="00B51670">
      <w:tc>
        <w:tcPr>
          <w:tcW w:w="1526" w:type="dxa"/>
        </w:tcPr>
        <w:p w14:paraId="1C7F3E4C" w14:textId="77777777" w:rsidR="00B51670" w:rsidRPr="00F42215" w:rsidRDefault="00B51670" w:rsidP="00B51670">
          <w:pPr>
            <w:pStyle w:val="FirstFooter"/>
            <w:tabs>
              <w:tab w:val="left" w:pos="1559"/>
              <w:tab w:val="left" w:pos="3828"/>
            </w:tabs>
            <w:rPr>
              <w:sz w:val="18"/>
              <w:szCs w:val="18"/>
              <w:lang w:val="es-ES"/>
            </w:rPr>
          </w:pPr>
        </w:p>
      </w:tc>
      <w:tc>
        <w:tcPr>
          <w:tcW w:w="2524" w:type="dxa"/>
        </w:tcPr>
        <w:p w14:paraId="58859CB6" w14:textId="008C889C" w:rsidR="00B51670" w:rsidRPr="00F42215" w:rsidRDefault="00B51670" w:rsidP="00B51670">
          <w:pPr>
            <w:pStyle w:val="FirstFooter"/>
            <w:tabs>
              <w:tab w:val="left" w:pos="2302"/>
            </w:tabs>
            <w:ind w:left="2302" w:hanging="2302"/>
            <w:rPr>
              <w:sz w:val="18"/>
              <w:szCs w:val="18"/>
              <w:lang w:val="es-ES"/>
            </w:rPr>
          </w:pPr>
          <w:r w:rsidRPr="00F42215">
            <w:rPr>
              <w:sz w:val="18"/>
              <w:szCs w:val="18"/>
              <w:lang w:val="es-ES"/>
            </w:rPr>
            <w:t>Correo-e:</w:t>
          </w:r>
        </w:p>
      </w:tc>
      <w:tc>
        <w:tcPr>
          <w:tcW w:w="5873" w:type="dxa"/>
        </w:tcPr>
        <w:p w14:paraId="7D335FF6" w14:textId="137FBF1B" w:rsidR="00B51670" w:rsidRPr="00F42215" w:rsidRDefault="00B51670" w:rsidP="00B51670">
          <w:pPr>
            <w:pStyle w:val="FirstFooter"/>
            <w:tabs>
              <w:tab w:val="left" w:pos="2302"/>
            </w:tabs>
            <w:rPr>
              <w:sz w:val="18"/>
              <w:szCs w:val="18"/>
              <w:lang w:val="es-ES"/>
            </w:rPr>
          </w:pPr>
          <w:hyperlink r:id="rId1" w:history="1">
            <w:r w:rsidRPr="004F2FAA">
              <w:rPr>
                <w:rStyle w:val="Hyperlink"/>
                <w:rFonts w:cstheme="minorHAnsi"/>
                <w:sz w:val="18"/>
                <w:szCs w:val="18"/>
              </w:rPr>
              <w:t>archana.gulati@itu.int</w:t>
            </w:r>
          </w:hyperlink>
          <w:r w:rsidRPr="004F2FAA">
            <w:rPr>
              <w:rFonts w:cstheme="minorHAnsi"/>
              <w:sz w:val="18"/>
              <w:szCs w:val="18"/>
            </w:rPr>
            <w:t xml:space="preserve"> </w:t>
          </w:r>
        </w:p>
      </w:tc>
      <w:bookmarkStart w:id="12" w:name="Email"/>
      <w:bookmarkEnd w:id="12"/>
    </w:tr>
  </w:tbl>
  <w:p w14:paraId="4059E016" w14:textId="77777777" w:rsidR="00602CFD" w:rsidRPr="00602CFD" w:rsidRDefault="00602CFD" w:rsidP="00602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01D44" w14:textId="77777777" w:rsidR="00030D2A" w:rsidRPr="0054377E" w:rsidRDefault="00030D2A" w:rsidP="0054377E">
      <w:pPr>
        <w:spacing w:before="0"/>
      </w:pPr>
      <w:r w:rsidRPr="0054377E">
        <w:rPr>
          <w:b/>
        </w:rPr>
        <w:t>_______________</w:t>
      </w:r>
    </w:p>
  </w:footnote>
  <w:footnote w:type="continuationSeparator" w:id="0">
    <w:p w14:paraId="650EE2A2" w14:textId="77777777" w:rsidR="00030D2A" w:rsidRDefault="00030D2A" w:rsidP="0054377E">
      <w:pPr>
        <w:spacing w:before="0"/>
      </w:pPr>
      <w:r>
        <w:continuationSeparator/>
      </w:r>
    </w:p>
    <w:p w14:paraId="07195A2A" w14:textId="77777777" w:rsidR="00030D2A" w:rsidRDefault="00030D2A"/>
  </w:footnote>
  <w:footnote w:type="continuationNotice" w:id="1">
    <w:p w14:paraId="338D08ED" w14:textId="77777777" w:rsidR="00030D2A" w:rsidRDefault="00030D2A">
      <w:pPr>
        <w:spacing w:before="0"/>
      </w:pPr>
    </w:p>
    <w:p w14:paraId="449C3E4B" w14:textId="77777777" w:rsidR="00030D2A" w:rsidRDefault="00030D2A"/>
  </w:footnote>
  <w:footnote w:id="2">
    <w:p w14:paraId="4717ED65" w14:textId="0BD8BB60" w:rsidR="007F479E" w:rsidRPr="00F82C65" w:rsidRDefault="007F479E">
      <w:pPr>
        <w:pStyle w:val="FootnoteText"/>
        <w:rPr>
          <w:lang w:val="es-ES"/>
        </w:rPr>
      </w:pPr>
      <w:r w:rsidRPr="00F82C65">
        <w:rPr>
          <w:rStyle w:val="FootnoteReference"/>
          <w:lang w:val="es-ES"/>
        </w:rPr>
        <w:footnoteRef/>
      </w:r>
      <w:r w:rsidRPr="00F82C65">
        <w:rPr>
          <w:lang w:val="es-ES"/>
        </w:rPr>
        <w:t xml:space="preserve"> </w:t>
      </w:r>
      <w:r w:rsidRPr="00F82C65">
        <w:rPr>
          <w:i/>
          <w:iCs/>
          <w:lang w:val="es-ES"/>
        </w:rPr>
        <w:t>Resolución 8</w:t>
      </w:r>
      <w:r w:rsidR="0042371F" w:rsidRPr="00F82C65">
        <w:rPr>
          <w:i/>
          <w:iCs/>
          <w:lang w:val="es-ES"/>
        </w:rPr>
        <w:t>.</w:t>
      </w:r>
    </w:p>
  </w:footnote>
  <w:footnote w:id="3">
    <w:p w14:paraId="56FDB735" w14:textId="6CAB89F7" w:rsidR="007F479E" w:rsidRPr="00F82C65" w:rsidRDefault="007F479E">
      <w:pPr>
        <w:pStyle w:val="FootnoteText"/>
        <w:rPr>
          <w:i/>
          <w:iCs/>
          <w:lang w:val="es-ES"/>
        </w:rPr>
      </w:pPr>
      <w:r w:rsidRPr="00F82C65">
        <w:rPr>
          <w:rStyle w:val="FootnoteReference"/>
          <w:lang w:val="es-ES"/>
        </w:rPr>
        <w:footnoteRef/>
      </w:r>
      <w:r w:rsidRPr="00F82C65">
        <w:rPr>
          <w:lang w:val="es-ES"/>
        </w:rPr>
        <w:t xml:space="preserve"> </w:t>
      </w:r>
      <w:r w:rsidRPr="00F82C65">
        <w:rPr>
          <w:i/>
          <w:iCs/>
          <w:lang w:val="es-ES"/>
        </w:rPr>
        <w:t>Resoluciones 16 y 77</w:t>
      </w:r>
      <w:r w:rsidR="0042371F" w:rsidRPr="00F82C65">
        <w:rPr>
          <w:i/>
          <w:iCs/>
          <w:lang w:val="es-ES"/>
        </w:rPr>
        <w:t>.</w:t>
      </w:r>
    </w:p>
  </w:footnote>
  <w:footnote w:id="4">
    <w:p w14:paraId="542DFFBF" w14:textId="7DBDA8FE" w:rsidR="004C0D4B" w:rsidRPr="00F82C65" w:rsidRDefault="004C0D4B">
      <w:pPr>
        <w:pStyle w:val="FootnoteText"/>
        <w:rPr>
          <w:i/>
          <w:iCs/>
          <w:lang w:val="es-ES"/>
        </w:rPr>
      </w:pPr>
      <w:r w:rsidRPr="00F82C65">
        <w:rPr>
          <w:rStyle w:val="FootnoteReference"/>
          <w:lang w:val="es-ES"/>
        </w:rPr>
        <w:footnoteRef/>
      </w:r>
      <w:r w:rsidRPr="00F82C65">
        <w:rPr>
          <w:lang w:val="es-ES"/>
        </w:rPr>
        <w:t xml:space="preserve"> </w:t>
      </w:r>
      <w:r w:rsidRPr="00F82C65">
        <w:rPr>
          <w:i/>
          <w:iCs/>
          <w:lang w:val="es-ES"/>
        </w:rPr>
        <w:t>Resoluciones 34 y 93.</w:t>
      </w:r>
    </w:p>
  </w:footnote>
  <w:footnote w:id="5">
    <w:p w14:paraId="416942B6" w14:textId="1BD24EC6" w:rsidR="0005464B" w:rsidRPr="00F82C65" w:rsidRDefault="0005464B">
      <w:pPr>
        <w:pStyle w:val="FootnoteText"/>
        <w:rPr>
          <w:i/>
          <w:iCs/>
          <w:lang w:val="es-ES"/>
        </w:rPr>
      </w:pPr>
      <w:r w:rsidRPr="00F82C65">
        <w:rPr>
          <w:rStyle w:val="FootnoteReference"/>
          <w:lang w:val="es-ES"/>
        </w:rPr>
        <w:footnoteRef/>
      </w:r>
      <w:r w:rsidRPr="00F82C65">
        <w:rPr>
          <w:lang w:val="es-ES"/>
        </w:rPr>
        <w:t xml:space="preserve"> </w:t>
      </w:r>
      <w:r w:rsidR="00F82C65" w:rsidRPr="00F82C65">
        <w:rPr>
          <w:i/>
          <w:iCs/>
          <w:lang w:val="es-ES"/>
        </w:rPr>
        <w:t>Resolución 77.</w:t>
      </w:r>
    </w:p>
  </w:footnote>
  <w:footnote w:id="6">
    <w:p w14:paraId="23CBBA01" w14:textId="240FEFE9" w:rsidR="0005464B" w:rsidRPr="00F82C65" w:rsidRDefault="0005464B">
      <w:pPr>
        <w:pStyle w:val="FootnoteText"/>
        <w:rPr>
          <w:i/>
          <w:iCs/>
          <w:lang w:val="es-ES"/>
        </w:rPr>
      </w:pPr>
      <w:r w:rsidRPr="00F82C65">
        <w:rPr>
          <w:rStyle w:val="FootnoteReference"/>
          <w:lang w:val="es-ES"/>
        </w:rPr>
        <w:footnoteRef/>
      </w:r>
      <w:r w:rsidRPr="00F82C65">
        <w:rPr>
          <w:lang w:val="es-ES"/>
        </w:rPr>
        <w:t xml:space="preserve"> </w:t>
      </w:r>
      <w:r w:rsidR="00F82C65" w:rsidRPr="00F82C65">
        <w:rPr>
          <w:i/>
          <w:iCs/>
          <w:lang w:val="es-ES"/>
        </w:rPr>
        <w:t>Resolución 16.</w:t>
      </w:r>
    </w:p>
  </w:footnote>
  <w:footnote w:id="7">
    <w:p w14:paraId="0C15DFF2" w14:textId="3ADAAD2B" w:rsidR="00C249C4" w:rsidRPr="00C249C4" w:rsidRDefault="00C249C4">
      <w:pPr>
        <w:pStyle w:val="FootnoteText"/>
        <w:rPr>
          <w:lang w:val="es-ES"/>
        </w:rPr>
      </w:pPr>
      <w:r>
        <w:rPr>
          <w:rStyle w:val="FootnoteReference"/>
        </w:rPr>
        <w:footnoteRef/>
      </w:r>
      <w:r w:rsidRPr="00C249C4">
        <w:rPr>
          <w:lang w:val="es-ES"/>
        </w:rPr>
        <w:t xml:space="preserve"> </w:t>
      </w:r>
      <w:r w:rsidRPr="00C249C4">
        <w:rPr>
          <w:i/>
          <w:iCs/>
          <w:lang w:val="es-ES"/>
        </w:rPr>
        <w:t xml:space="preserve">Para ampliar información sobre los proyectos del UIT-D, consúltese </w:t>
      </w:r>
      <w:hyperlink r:id="rId1" w:anchor="/es" w:history="1">
        <w:r w:rsidRPr="00C249C4">
          <w:rPr>
            <w:rStyle w:val="Hyperlink"/>
            <w:i/>
            <w:iCs/>
            <w:lang w:val="es-ES"/>
          </w:rPr>
          <w:t>https://www.itu.int/itu-d/sites/projects/home/projects</w:t>
        </w:r>
      </w:hyperlink>
    </w:p>
  </w:footnote>
  <w:footnote w:id="8">
    <w:p w14:paraId="2CBD7B60" w14:textId="0FEAE5E5" w:rsidR="00C249C4" w:rsidRPr="00C249C4" w:rsidRDefault="00C249C4" w:rsidP="00C249C4">
      <w:pPr>
        <w:pStyle w:val="FootnoteText"/>
        <w:rPr>
          <w:i/>
          <w:iCs/>
          <w:lang w:val="es-ES"/>
        </w:rPr>
      </w:pPr>
      <w:r>
        <w:rPr>
          <w:rStyle w:val="FootnoteReference"/>
        </w:rPr>
        <w:footnoteRef/>
      </w:r>
      <w:r w:rsidRPr="00C249C4">
        <w:rPr>
          <w:lang w:val="es-ES"/>
        </w:rPr>
        <w:t xml:space="preserve"> </w:t>
      </w:r>
      <w:r w:rsidRPr="00C249C4">
        <w:rPr>
          <w:i/>
          <w:iCs/>
          <w:lang w:val="es-ES"/>
        </w:rPr>
        <w:t xml:space="preserve">Para ampliar información sobre los proyectos del UIT-D, consúltese </w:t>
      </w:r>
      <w:hyperlink r:id="rId2" w:anchor="/es" w:history="1">
        <w:r w:rsidRPr="00C249C4">
          <w:rPr>
            <w:rStyle w:val="Hyperlink"/>
            <w:i/>
            <w:iCs/>
            <w:lang w:val="es-ES"/>
          </w:rPr>
          <w:t>https://www.itu.int/itu-d/sites/projects/home/projects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91B53" w14:textId="4332D828" w:rsidR="00636181" w:rsidRPr="00B41165" w:rsidRDefault="00636181" w:rsidP="00B41165">
    <w:pPr>
      <w:tabs>
        <w:tab w:val="clear" w:pos="1134"/>
        <w:tab w:val="clear" w:pos="1871"/>
        <w:tab w:val="clear" w:pos="2268"/>
        <w:tab w:val="center" w:pos="4820"/>
        <w:tab w:val="right" w:pos="14003"/>
      </w:tabs>
      <w:ind w:right="1"/>
      <w:rPr>
        <w:smallCaps/>
        <w:spacing w:val="24"/>
        <w:sz w:val="22"/>
        <w:szCs w:val="22"/>
        <w:lang w:val="es-ES_tradnl"/>
      </w:rPr>
    </w:pPr>
    <w:r w:rsidRPr="004D495C">
      <w:rPr>
        <w:sz w:val="22"/>
        <w:szCs w:val="22"/>
      </w:rPr>
      <w:tab/>
    </w:r>
    <w:r>
      <w:rPr>
        <w:sz w:val="22"/>
        <w:szCs w:val="22"/>
        <w:lang w:val="es-ES_tradnl"/>
      </w:rPr>
      <w:t>TDAG-2</w:t>
    </w:r>
    <w:r w:rsidR="00EF4D25">
      <w:rPr>
        <w:sz w:val="22"/>
        <w:szCs w:val="22"/>
        <w:lang w:val="es-ES_tradnl"/>
      </w:rPr>
      <w:t>6</w:t>
    </w:r>
    <w:r w:rsidRPr="00FF089C">
      <w:rPr>
        <w:sz w:val="22"/>
        <w:szCs w:val="22"/>
        <w:lang w:val="es-ES_tradnl"/>
      </w:rPr>
      <w:t>/</w:t>
    </w:r>
    <w:r w:rsidR="007F479E">
      <w:rPr>
        <w:sz w:val="22"/>
        <w:szCs w:val="22"/>
        <w:lang w:val="es-ES_tradnl"/>
      </w:rPr>
      <w:t>22</w:t>
    </w:r>
    <w:r w:rsidRPr="00FF089C">
      <w:rPr>
        <w:sz w:val="22"/>
        <w:szCs w:val="22"/>
        <w:lang w:val="es-ES_tradnl"/>
      </w:rPr>
      <w:t>-</w:t>
    </w:r>
    <w:r w:rsidR="00357049">
      <w:rPr>
        <w:sz w:val="22"/>
        <w:szCs w:val="22"/>
        <w:lang w:val="es-ES_tradnl"/>
      </w:rPr>
      <w:t>S</w:t>
    </w:r>
    <w:r w:rsidRPr="00FF089C">
      <w:rPr>
        <w:sz w:val="22"/>
        <w:szCs w:val="22"/>
        <w:lang w:val="es-ES_tradnl"/>
      </w:rPr>
      <w:tab/>
      <w:t>P</w:t>
    </w:r>
    <w:r w:rsidR="00357049">
      <w:rPr>
        <w:sz w:val="22"/>
        <w:szCs w:val="22"/>
        <w:lang w:val="es-ES_tradnl"/>
      </w:rPr>
      <w:t>ágina</w:t>
    </w:r>
    <w:r w:rsidRPr="00FF089C">
      <w:rPr>
        <w:sz w:val="22"/>
        <w:szCs w:val="22"/>
        <w:lang w:val="es-ES_tradnl"/>
      </w:rPr>
      <w:t xml:space="preserv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893B2C">
      <w:rPr>
        <w:noProof/>
        <w:sz w:val="22"/>
        <w:szCs w:val="22"/>
        <w:lang w:val="es-ES_tradnl"/>
      </w:rPr>
      <w:t>19</w:t>
    </w:r>
    <w:r w:rsidRPr="004D495C">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881657E8"/>
    <w:lvl w:ilvl="0">
      <w:start w:val="1"/>
      <w:numFmt w:val="decimal"/>
      <w:lvlText w:val="%1."/>
      <w:lvlJc w:val="left"/>
      <w:pPr>
        <w:tabs>
          <w:tab w:val="num" w:pos="360"/>
        </w:tabs>
        <w:ind w:left="360" w:hanging="360"/>
      </w:pPr>
    </w:lvl>
  </w:abstractNum>
  <w:abstractNum w:abstractNumId="1" w15:restartNumberingAfterBreak="0">
    <w:nsid w:val="FFFFFFFE"/>
    <w:multiLevelType w:val="singleLevel"/>
    <w:tmpl w:val="B39284A0"/>
    <w:lvl w:ilvl="0">
      <w:numFmt w:val="decimal"/>
      <w:lvlText w:val="*"/>
      <w:lvlJc w:val="left"/>
    </w:lvl>
  </w:abstractNum>
  <w:abstractNum w:abstractNumId="2" w15:restartNumberingAfterBreak="0">
    <w:nsid w:val="019C7575"/>
    <w:multiLevelType w:val="hybridMultilevel"/>
    <w:tmpl w:val="D910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130A1"/>
    <w:multiLevelType w:val="hybridMultilevel"/>
    <w:tmpl w:val="A456110E"/>
    <w:lvl w:ilvl="0" w:tplc="AA003B62">
      <w:numFmt w:val="bullet"/>
      <w:lvlText w:val="-"/>
      <w:lvlJc w:val="left"/>
      <w:pPr>
        <w:ind w:left="644" w:hanging="360"/>
      </w:pPr>
      <w:rPr>
        <w:rFonts w:ascii="Calibri" w:eastAsia="Times New Roman" w:hAnsi="Calibri"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0C235FC0"/>
    <w:multiLevelType w:val="multilevel"/>
    <w:tmpl w:val="B38C87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C5D002E"/>
    <w:multiLevelType w:val="hybridMultilevel"/>
    <w:tmpl w:val="2F74F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A151C"/>
    <w:multiLevelType w:val="hybridMultilevel"/>
    <w:tmpl w:val="BAA4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9787A"/>
    <w:multiLevelType w:val="hybridMultilevel"/>
    <w:tmpl w:val="5AEEB62A"/>
    <w:lvl w:ilvl="0" w:tplc="0409000F">
      <w:start w:val="1"/>
      <w:numFmt w:val="decimal"/>
      <w:lvlText w:val="%1."/>
      <w:lvlJc w:val="left"/>
      <w:pPr>
        <w:ind w:left="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15:restartNumberingAfterBreak="0">
    <w:nsid w:val="11AE7C98"/>
    <w:multiLevelType w:val="hybridMultilevel"/>
    <w:tmpl w:val="3A38FFDC"/>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C92716"/>
    <w:multiLevelType w:val="hybridMultilevel"/>
    <w:tmpl w:val="CF6048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B91A61"/>
    <w:multiLevelType w:val="multilevel"/>
    <w:tmpl w:val="2A0EB1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4EB0E89"/>
    <w:multiLevelType w:val="hybridMultilevel"/>
    <w:tmpl w:val="A216BE10"/>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7859BE"/>
    <w:multiLevelType w:val="hybridMultilevel"/>
    <w:tmpl w:val="4AC2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C9554F"/>
    <w:multiLevelType w:val="multilevel"/>
    <w:tmpl w:val="2A0EB1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3C526F"/>
    <w:multiLevelType w:val="hybridMultilevel"/>
    <w:tmpl w:val="5AEEB62A"/>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15" w15:restartNumberingAfterBreak="0">
    <w:nsid w:val="36AC2AF5"/>
    <w:multiLevelType w:val="hybridMultilevel"/>
    <w:tmpl w:val="5AEEB62A"/>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16" w15:restartNumberingAfterBreak="0">
    <w:nsid w:val="3D245CDC"/>
    <w:multiLevelType w:val="hybridMultilevel"/>
    <w:tmpl w:val="45681C7A"/>
    <w:lvl w:ilvl="0" w:tplc="E6528D8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A51160"/>
    <w:multiLevelType w:val="hybridMultilevel"/>
    <w:tmpl w:val="A5565226"/>
    <w:lvl w:ilvl="0" w:tplc="58D4582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3FCA6F8F"/>
    <w:multiLevelType w:val="hybridMultilevel"/>
    <w:tmpl w:val="23C0C3CA"/>
    <w:lvl w:ilvl="0" w:tplc="5DC840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1761F30"/>
    <w:multiLevelType w:val="hybridMultilevel"/>
    <w:tmpl w:val="5F5E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1350A7"/>
    <w:multiLevelType w:val="hybridMultilevel"/>
    <w:tmpl w:val="F7425BB4"/>
    <w:lvl w:ilvl="0" w:tplc="58D4582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5C13579"/>
    <w:multiLevelType w:val="hybridMultilevel"/>
    <w:tmpl w:val="5AC8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113DBD"/>
    <w:multiLevelType w:val="hybridMultilevel"/>
    <w:tmpl w:val="66B00604"/>
    <w:lvl w:ilvl="0" w:tplc="101C4DB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1E0686"/>
    <w:multiLevelType w:val="multilevel"/>
    <w:tmpl w:val="D388BB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710DF7"/>
    <w:multiLevelType w:val="multilevel"/>
    <w:tmpl w:val="30547854"/>
    <w:lvl w:ilvl="0">
      <w:start w:val="4"/>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50CD1421"/>
    <w:multiLevelType w:val="hybridMultilevel"/>
    <w:tmpl w:val="C0762ACE"/>
    <w:lvl w:ilvl="0" w:tplc="10F85E9E">
      <w:numFmt w:val="bullet"/>
      <w:lvlText w:val="–"/>
      <w:lvlJc w:val="left"/>
      <w:pPr>
        <w:ind w:left="720" w:hanging="360"/>
      </w:pPr>
      <w:rPr>
        <w:rFonts w:ascii="Calibri" w:eastAsia="Batang"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88098E"/>
    <w:multiLevelType w:val="hybridMultilevel"/>
    <w:tmpl w:val="8AEC2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1F7CEF"/>
    <w:multiLevelType w:val="hybridMultilevel"/>
    <w:tmpl w:val="3258B99E"/>
    <w:lvl w:ilvl="0" w:tplc="E84429C0">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DA06AE"/>
    <w:multiLevelType w:val="hybridMultilevel"/>
    <w:tmpl w:val="E7DE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FB1BF0"/>
    <w:multiLevelType w:val="hybridMultilevel"/>
    <w:tmpl w:val="741CDA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31" w15:restartNumberingAfterBreak="0">
    <w:nsid w:val="5E7A37EA"/>
    <w:multiLevelType w:val="hybridMultilevel"/>
    <w:tmpl w:val="8ABE06AE"/>
    <w:lvl w:ilvl="0" w:tplc="D8AA70EE">
      <w:start w:val="1"/>
      <w:numFmt w:val="bullet"/>
      <w:lvlText w:val=""/>
      <w:lvlJc w:val="left"/>
      <w:pPr>
        <w:tabs>
          <w:tab w:val="num" w:pos="360"/>
        </w:tabs>
        <w:ind w:left="360" w:hanging="360"/>
      </w:pPr>
      <w:rPr>
        <w:rFonts w:ascii="Symbol" w:hAnsi="Symbol" w:hint="default"/>
      </w:rPr>
    </w:lvl>
    <w:lvl w:ilvl="1" w:tplc="6CF218A8">
      <w:start w:val="1"/>
      <w:numFmt w:val="bullet"/>
      <w:lvlText w:val=""/>
      <w:lvlJc w:val="left"/>
      <w:pPr>
        <w:tabs>
          <w:tab w:val="num" w:pos="1080"/>
        </w:tabs>
        <w:ind w:left="1080" w:hanging="360"/>
      </w:pPr>
      <w:rPr>
        <w:rFonts w:ascii="Wingdings" w:hAnsi="Wingdings" w:hint="default"/>
      </w:rPr>
    </w:lvl>
    <w:lvl w:ilvl="2" w:tplc="4922195A" w:tentative="1">
      <w:start w:val="1"/>
      <w:numFmt w:val="bullet"/>
      <w:lvlText w:val=""/>
      <w:lvlJc w:val="left"/>
      <w:pPr>
        <w:tabs>
          <w:tab w:val="num" w:pos="1800"/>
        </w:tabs>
        <w:ind w:left="1800" w:hanging="360"/>
      </w:pPr>
      <w:rPr>
        <w:rFonts w:ascii="Wingdings" w:hAnsi="Wingdings" w:hint="default"/>
      </w:rPr>
    </w:lvl>
    <w:lvl w:ilvl="3" w:tplc="01B83F3E" w:tentative="1">
      <w:start w:val="1"/>
      <w:numFmt w:val="bullet"/>
      <w:lvlText w:val=""/>
      <w:lvlJc w:val="left"/>
      <w:pPr>
        <w:tabs>
          <w:tab w:val="num" w:pos="2520"/>
        </w:tabs>
        <w:ind w:left="2520" w:hanging="360"/>
      </w:pPr>
      <w:rPr>
        <w:rFonts w:ascii="Wingdings" w:hAnsi="Wingdings" w:hint="default"/>
      </w:rPr>
    </w:lvl>
    <w:lvl w:ilvl="4" w:tplc="94AE58FC" w:tentative="1">
      <w:start w:val="1"/>
      <w:numFmt w:val="bullet"/>
      <w:lvlText w:val=""/>
      <w:lvlJc w:val="left"/>
      <w:pPr>
        <w:tabs>
          <w:tab w:val="num" w:pos="3240"/>
        </w:tabs>
        <w:ind w:left="3240" w:hanging="360"/>
      </w:pPr>
      <w:rPr>
        <w:rFonts w:ascii="Wingdings" w:hAnsi="Wingdings" w:hint="default"/>
      </w:rPr>
    </w:lvl>
    <w:lvl w:ilvl="5" w:tplc="55D41062" w:tentative="1">
      <w:start w:val="1"/>
      <w:numFmt w:val="bullet"/>
      <w:lvlText w:val=""/>
      <w:lvlJc w:val="left"/>
      <w:pPr>
        <w:tabs>
          <w:tab w:val="num" w:pos="3960"/>
        </w:tabs>
        <w:ind w:left="3960" w:hanging="360"/>
      </w:pPr>
      <w:rPr>
        <w:rFonts w:ascii="Wingdings" w:hAnsi="Wingdings" w:hint="default"/>
      </w:rPr>
    </w:lvl>
    <w:lvl w:ilvl="6" w:tplc="BF3882EE" w:tentative="1">
      <w:start w:val="1"/>
      <w:numFmt w:val="bullet"/>
      <w:lvlText w:val=""/>
      <w:lvlJc w:val="left"/>
      <w:pPr>
        <w:tabs>
          <w:tab w:val="num" w:pos="4680"/>
        </w:tabs>
        <w:ind w:left="4680" w:hanging="360"/>
      </w:pPr>
      <w:rPr>
        <w:rFonts w:ascii="Wingdings" w:hAnsi="Wingdings" w:hint="default"/>
      </w:rPr>
    </w:lvl>
    <w:lvl w:ilvl="7" w:tplc="785CEF80" w:tentative="1">
      <w:start w:val="1"/>
      <w:numFmt w:val="bullet"/>
      <w:lvlText w:val=""/>
      <w:lvlJc w:val="left"/>
      <w:pPr>
        <w:tabs>
          <w:tab w:val="num" w:pos="5400"/>
        </w:tabs>
        <w:ind w:left="5400" w:hanging="360"/>
      </w:pPr>
      <w:rPr>
        <w:rFonts w:ascii="Wingdings" w:hAnsi="Wingdings" w:hint="default"/>
      </w:rPr>
    </w:lvl>
    <w:lvl w:ilvl="8" w:tplc="812AC026"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36C7BFC"/>
    <w:multiLevelType w:val="hybridMultilevel"/>
    <w:tmpl w:val="9D5C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B44F9C"/>
    <w:multiLevelType w:val="multilevel"/>
    <w:tmpl w:val="3918D7F8"/>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7BF5915"/>
    <w:multiLevelType w:val="hybridMultilevel"/>
    <w:tmpl w:val="8E8AC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3963B4"/>
    <w:multiLevelType w:val="hybridMultilevel"/>
    <w:tmpl w:val="8F369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042CAE"/>
    <w:multiLevelType w:val="hybridMultilevel"/>
    <w:tmpl w:val="BB6A7126"/>
    <w:lvl w:ilvl="0" w:tplc="2542BA0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F567739"/>
    <w:multiLevelType w:val="hybridMultilevel"/>
    <w:tmpl w:val="7A069DA6"/>
    <w:lvl w:ilvl="0" w:tplc="04090001">
      <w:start w:val="1"/>
      <w:numFmt w:val="bullet"/>
      <w:lvlText w:val=""/>
      <w:lvlJc w:val="left"/>
      <w:pPr>
        <w:ind w:left="1080" w:hanging="360"/>
      </w:pPr>
      <w:rPr>
        <w:rFonts w:ascii="Symbol" w:hAnsi="Symbol" w:hint="default"/>
        <w:b/>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0D7479A"/>
    <w:multiLevelType w:val="hybridMultilevel"/>
    <w:tmpl w:val="5FEC3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0754E3"/>
    <w:multiLevelType w:val="hybridMultilevel"/>
    <w:tmpl w:val="20BC0F08"/>
    <w:lvl w:ilvl="0" w:tplc="FFFFFFFF">
      <w:start w:val="1"/>
      <w:numFmt w:val="decimal"/>
      <w:lvlText w:val="%1."/>
      <w:lvlJc w:val="left"/>
      <w:pPr>
        <w:ind w:left="799" w:hanging="360"/>
      </w:pPr>
    </w:lvl>
    <w:lvl w:ilvl="1" w:tplc="FFFFFFFF">
      <w:start w:val="1"/>
      <w:numFmt w:val="lowerLetter"/>
      <w:lvlText w:val="%2."/>
      <w:lvlJc w:val="left"/>
      <w:pPr>
        <w:ind w:left="1519" w:hanging="360"/>
      </w:pPr>
    </w:lvl>
    <w:lvl w:ilvl="2" w:tplc="FFFFFFFF" w:tentative="1">
      <w:start w:val="1"/>
      <w:numFmt w:val="lowerRoman"/>
      <w:lvlText w:val="%3."/>
      <w:lvlJc w:val="right"/>
      <w:pPr>
        <w:ind w:left="2239" w:hanging="180"/>
      </w:pPr>
    </w:lvl>
    <w:lvl w:ilvl="3" w:tplc="FFFFFFFF" w:tentative="1">
      <w:start w:val="1"/>
      <w:numFmt w:val="decimal"/>
      <w:lvlText w:val="%4."/>
      <w:lvlJc w:val="left"/>
      <w:pPr>
        <w:ind w:left="2959" w:hanging="360"/>
      </w:pPr>
    </w:lvl>
    <w:lvl w:ilvl="4" w:tplc="FFFFFFFF" w:tentative="1">
      <w:start w:val="1"/>
      <w:numFmt w:val="lowerLetter"/>
      <w:lvlText w:val="%5."/>
      <w:lvlJc w:val="left"/>
      <w:pPr>
        <w:ind w:left="3679" w:hanging="360"/>
      </w:pPr>
    </w:lvl>
    <w:lvl w:ilvl="5" w:tplc="FFFFFFFF" w:tentative="1">
      <w:start w:val="1"/>
      <w:numFmt w:val="lowerRoman"/>
      <w:lvlText w:val="%6."/>
      <w:lvlJc w:val="right"/>
      <w:pPr>
        <w:ind w:left="4399" w:hanging="180"/>
      </w:pPr>
    </w:lvl>
    <w:lvl w:ilvl="6" w:tplc="FFFFFFFF" w:tentative="1">
      <w:start w:val="1"/>
      <w:numFmt w:val="decimal"/>
      <w:lvlText w:val="%7."/>
      <w:lvlJc w:val="left"/>
      <w:pPr>
        <w:ind w:left="5119" w:hanging="360"/>
      </w:pPr>
    </w:lvl>
    <w:lvl w:ilvl="7" w:tplc="FFFFFFFF" w:tentative="1">
      <w:start w:val="1"/>
      <w:numFmt w:val="lowerLetter"/>
      <w:lvlText w:val="%8."/>
      <w:lvlJc w:val="left"/>
      <w:pPr>
        <w:ind w:left="5839" w:hanging="360"/>
      </w:pPr>
    </w:lvl>
    <w:lvl w:ilvl="8" w:tplc="FFFFFFFF" w:tentative="1">
      <w:start w:val="1"/>
      <w:numFmt w:val="lowerRoman"/>
      <w:lvlText w:val="%9."/>
      <w:lvlJc w:val="right"/>
      <w:pPr>
        <w:ind w:left="6559" w:hanging="180"/>
      </w:pPr>
    </w:lvl>
  </w:abstractNum>
  <w:abstractNum w:abstractNumId="40" w15:restartNumberingAfterBreak="0">
    <w:nsid w:val="785B1AAF"/>
    <w:multiLevelType w:val="hybridMultilevel"/>
    <w:tmpl w:val="C89C861E"/>
    <w:lvl w:ilvl="0" w:tplc="10F85E9E">
      <w:numFmt w:val="bullet"/>
      <w:lvlText w:val="–"/>
      <w:lvlJc w:val="left"/>
      <w:pPr>
        <w:ind w:left="360" w:hanging="360"/>
      </w:pPr>
      <w:rPr>
        <w:rFonts w:ascii="Calibri" w:eastAsia="Batang"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9155DC9"/>
    <w:multiLevelType w:val="hybridMultilevel"/>
    <w:tmpl w:val="87C4D738"/>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9CC5F32"/>
    <w:multiLevelType w:val="hybridMultilevel"/>
    <w:tmpl w:val="ACAA88E8"/>
    <w:lvl w:ilvl="0" w:tplc="58D4582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3A6D1D"/>
    <w:multiLevelType w:val="hybridMultilevel"/>
    <w:tmpl w:val="033A0A38"/>
    <w:lvl w:ilvl="0" w:tplc="DAF21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38"/>
  </w:num>
  <w:num w:numId="4">
    <w:abstractNumId w:val="3"/>
  </w:num>
  <w:num w:numId="5">
    <w:abstractNumId w:val="30"/>
  </w:num>
  <w:num w:numId="6">
    <w:abstractNumId w:val="36"/>
  </w:num>
  <w:num w:numId="7">
    <w:abstractNumId w:val="4"/>
  </w:num>
  <w:num w:numId="8">
    <w:abstractNumId w:val="13"/>
  </w:num>
  <w:num w:numId="9">
    <w:abstractNumId w:val="6"/>
  </w:num>
  <w:num w:numId="10">
    <w:abstractNumId w:val="12"/>
  </w:num>
  <w:num w:numId="11">
    <w:abstractNumId w:val="28"/>
  </w:num>
  <w:num w:numId="12">
    <w:abstractNumId w:val="35"/>
  </w:num>
  <w:num w:numId="13">
    <w:abstractNumId w:val="2"/>
  </w:num>
  <w:num w:numId="14">
    <w:abstractNumId w:val="5"/>
  </w:num>
  <w:num w:numId="15">
    <w:abstractNumId w:val="11"/>
  </w:num>
  <w:num w:numId="16">
    <w:abstractNumId w:val="8"/>
  </w:num>
  <w:num w:numId="17">
    <w:abstractNumId w:val="41"/>
  </w:num>
  <w:num w:numId="18">
    <w:abstractNumId w:val="33"/>
  </w:num>
  <w:num w:numId="19">
    <w:abstractNumId w:val="17"/>
  </w:num>
  <w:num w:numId="20">
    <w:abstractNumId w:val="27"/>
  </w:num>
  <w:num w:numId="21">
    <w:abstractNumId w:val="26"/>
  </w:num>
  <w:num w:numId="22">
    <w:abstractNumId w:val="42"/>
  </w:num>
  <w:num w:numId="23">
    <w:abstractNumId w:val="22"/>
  </w:num>
  <w:num w:numId="24">
    <w:abstractNumId w:val="16"/>
  </w:num>
  <w:num w:numId="25">
    <w:abstractNumId w:val="19"/>
  </w:num>
  <w:num w:numId="26">
    <w:abstractNumId w:val="20"/>
  </w:num>
  <w:num w:numId="27">
    <w:abstractNumId w:val="23"/>
  </w:num>
  <w:num w:numId="28">
    <w:abstractNumId w:val="10"/>
  </w:num>
  <w:num w:numId="29">
    <w:abstractNumId w:val="24"/>
  </w:num>
  <w:num w:numId="30">
    <w:abstractNumId w:val="40"/>
  </w:num>
  <w:num w:numId="31">
    <w:abstractNumId w:val="25"/>
  </w:num>
  <w:num w:numId="32">
    <w:abstractNumId w:val="31"/>
  </w:num>
  <w:num w:numId="33">
    <w:abstractNumId w:val="18"/>
  </w:num>
  <w:num w:numId="34">
    <w:abstractNumId w:val="9"/>
  </w:num>
  <w:num w:numId="35">
    <w:abstractNumId w:val="34"/>
  </w:num>
  <w:num w:numId="36">
    <w:abstractNumId w:val="21"/>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37"/>
  </w:num>
  <w:num w:numId="40">
    <w:abstractNumId w:val="7"/>
  </w:num>
  <w:num w:numId="41">
    <w:abstractNumId w:val="43"/>
  </w:num>
  <w:num w:numId="42">
    <w:abstractNumId w:val="15"/>
  </w:num>
  <w:num w:numId="43">
    <w:abstractNumId w:val="14"/>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2BBA"/>
    <w:rsid w:val="000041EA"/>
    <w:rsid w:val="00004EB7"/>
    <w:rsid w:val="00005A53"/>
    <w:rsid w:val="00005FBD"/>
    <w:rsid w:val="000072B5"/>
    <w:rsid w:val="00011ECB"/>
    <w:rsid w:val="000150B0"/>
    <w:rsid w:val="00015E52"/>
    <w:rsid w:val="000227EF"/>
    <w:rsid w:val="00022A29"/>
    <w:rsid w:val="00025801"/>
    <w:rsid w:val="00025926"/>
    <w:rsid w:val="00025965"/>
    <w:rsid w:val="00030D2A"/>
    <w:rsid w:val="000355FD"/>
    <w:rsid w:val="0003589F"/>
    <w:rsid w:val="00036172"/>
    <w:rsid w:val="0005184F"/>
    <w:rsid w:val="00051E39"/>
    <w:rsid w:val="00053725"/>
    <w:rsid w:val="0005464B"/>
    <w:rsid w:val="00054B72"/>
    <w:rsid w:val="0005581A"/>
    <w:rsid w:val="0005619C"/>
    <w:rsid w:val="0005747E"/>
    <w:rsid w:val="000604E5"/>
    <w:rsid w:val="000617DF"/>
    <w:rsid w:val="0006550B"/>
    <w:rsid w:val="0007000B"/>
    <w:rsid w:val="000735FD"/>
    <w:rsid w:val="00074109"/>
    <w:rsid w:val="00074C4D"/>
    <w:rsid w:val="00075C63"/>
    <w:rsid w:val="00076288"/>
    <w:rsid w:val="00077239"/>
    <w:rsid w:val="000778CA"/>
    <w:rsid w:val="000805BB"/>
    <w:rsid w:val="00080905"/>
    <w:rsid w:val="00081C9D"/>
    <w:rsid w:val="000822BE"/>
    <w:rsid w:val="000829BB"/>
    <w:rsid w:val="00082B11"/>
    <w:rsid w:val="000840A7"/>
    <w:rsid w:val="00085C6A"/>
    <w:rsid w:val="00086491"/>
    <w:rsid w:val="000904F9"/>
    <w:rsid w:val="000909ED"/>
    <w:rsid w:val="00091346"/>
    <w:rsid w:val="00091C80"/>
    <w:rsid w:val="0009581F"/>
    <w:rsid w:val="00095901"/>
    <w:rsid w:val="00097074"/>
    <w:rsid w:val="000A3B54"/>
    <w:rsid w:val="000A59AE"/>
    <w:rsid w:val="000B738A"/>
    <w:rsid w:val="000C03F4"/>
    <w:rsid w:val="000C17EA"/>
    <w:rsid w:val="000C2592"/>
    <w:rsid w:val="000C42BA"/>
    <w:rsid w:val="000C4FD1"/>
    <w:rsid w:val="000D1759"/>
    <w:rsid w:val="000D38EB"/>
    <w:rsid w:val="000D4875"/>
    <w:rsid w:val="000D6891"/>
    <w:rsid w:val="000D6E8D"/>
    <w:rsid w:val="000E71F8"/>
    <w:rsid w:val="000F29EC"/>
    <w:rsid w:val="000F38EA"/>
    <w:rsid w:val="000F542E"/>
    <w:rsid w:val="000F641B"/>
    <w:rsid w:val="000F73FF"/>
    <w:rsid w:val="000F7F1C"/>
    <w:rsid w:val="00102175"/>
    <w:rsid w:val="00102343"/>
    <w:rsid w:val="001029B3"/>
    <w:rsid w:val="00105DCD"/>
    <w:rsid w:val="001066B3"/>
    <w:rsid w:val="001114AC"/>
    <w:rsid w:val="00114584"/>
    <w:rsid w:val="00114CF7"/>
    <w:rsid w:val="00115411"/>
    <w:rsid w:val="00115B33"/>
    <w:rsid w:val="00116B95"/>
    <w:rsid w:val="00117233"/>
    <w:rsid w:val="00123B68"/>
    <w:rsid w:val="00124AF4"/>
    <w:rsid w:val="00124CAA"/>
    <w:rsid w:val="00125E69"/>
    <w:rsid w:val="00126F2E"/>
    <w:rsid w:val="00127B8B"/>
    <w:rsid w:val="00127FC6"/>
    <w:rsid w:val="001424DC"/>
    <w:rsid w:val="00143A87"/>
    <w:rsid w:val="00144E69"/>
    <w:rsid w:val="00146F6F"/>
    <w:rsid w:val="0014714E"/>
    <w:rsid w:val="00147DA1"/>
    <w:rsid w:val="00152957"/>
    <w:rsid w:val="00166196"/>
    <w:rsid w:val="001664A7"/>
    <w:rsid w:val="00167327"/>
    <w:rsid w:val="00167A9D"/>
    <w:rsid w:val="00170C5A"/>
    <w:rsid w:val="00171758"/>
    <w:rsid w:val="0017500F"/>
    <w:rsid w:val="00176991"/>
    <w:rsid w:val="00180444"/>
    <w:rsid w:val="001832B9"/>
    <w:rsid w:val="00183CE2"/>
    <w:rsid w:val="00185737"/>
    <w:rsid w:val="00187BD9"/>
    <w:rsid w:val="0019060A"/>
    <w:rsid w:val="00190B55"/>
    <w:rsid w:val="00191F5C"/>
    <w:rsid w:val="00192FA9"/>
    <w:rsid w:val="00194CFB"/>
    <w:rsid w:val="001A1FFD"/>
    <w:rsid w:val="001A2AB4"/>
    <w:rsid w:val="001A3858"/>
    <w:rsid w:val="001A4BD2"/>
    <w:rsid w:val="001B2ED3"/>
    <w:rsid w:val="001B643A"/>
    <w:rsid w:val="001B6675"/>
    <w:rsid w:val="001B7EA3"/>
    <w:rsid w:val="001C3B5F"/>
    <w:rsid w:val="001C61EA"/>
    <w:rsid w:val="001D058F"/>
    <w:rsid w:val="001D2025"/>
    <w:rsid w:val="001D520B"/>
    <w:rsid w:val="001E0384"/>
    <w:rsid w:val="001E24AF"/>
    <w:rsid w:val="001E252D"/>
    <w:rsid w:val="001E43DC"/>
    <w:rsid w:val="002009EA"/>
    <w:rsid w:val="00202CA0"/>
    <w:rsid w:val="00207A5D"/>
    <w:rsid w:val="002154A6"/>
    <w:rsid w:val="002162CD"/>
    <w:rsid w:val="00216478"/>
    <w:rsid w:val="00220634"/>
    <w:rsid w:val="00221C1D"/>
    <w:rsid w:val="002226B9"/>
    <w:rsid w:val="00224B7C"/>
    <w:rsid w:val="00224CDD"/>
    <w:rsid w:val="002255B3"/>
    <w:rsid w:val="0023164A"/>
    <w:rsid w:val="002319F6"/>
    <w:rsid w:val="0023409C"/>
    <w:rsid w:val="002346C7"/>
    <w:rsid w:val="002351D4"/>
    <w:rsid w:val="00236E8A"/>
    <w:rsid w:val="00240BC8"/>
    <w:rsid w:val="002420D0"/>
    <w:rsid w:val="00242487"/>
    <w:rsid w:val="00243411"/>
    <w:rsid w:val="00246B32"/>
    <w:rsid w:val="00251A53"/>
    <w:rsid w:val="0025489C"/>
    <w:rsid w:val="0026406F"/>
    <w:rsid w:val="002653F2"/>
    <w:rsid w:val="00266589"/>
    <w:rsid w:val="00267792"/>
    <w:rsid w:val="002712A9"/>
    <w:rsid w:val="00271316"/>
    <w:rsid w:val="00272417"/>
    <w:rsid w:val="00274CC3"/>
    <w:rsid w:val="00276414"/>
    <w:rsid w:val="00283F74"/>
    <w:rsid w:val="00286C1D"/>
    <w:rsid w:val="00286C4C"/>
    <w:rsid w:val="00294BF6"/>
    <w:rsid w:val="00294D5A"/>
    <w:rsid w:val="002955DA"/>
    <w:rsid w:val="00295A71"/>
    <w:rsid w:val="00296313"/>
    <w:rsid w:val="00296DA0"/>
    <w:rsid w:val="00297006"/>
    <w:rsid w:val="002A0A7A"/>
    <w:rsid w:val="002A0D8C"/>
    <w:rsid w:val="002A27F8"/>
    <w:rsid w:val="002A51DF"/>
    <w:rsid w:val="002A684E"/>
    <w:rsid w:val="002B074A"/>
    <w:rsid w:val="002B10D5"/>
    <w:rsid w:val="002B3296"/>
    <w:rsid w:val="002B3C84"/>
    <w:rsid w:val="002B5490"/>
    <w:rsid w:val="002C12ED"/>
    <w:rsid w:val="002C49BA"/>
    <w:rsid w:val="002C4B75"/>
    <w:rsid w:val="002C73F6"/>
    <w:rsid w:val="002C7D5E"/>
    <w:rsid w:val="002D58BE"/>
    <w:rsid w:val="002D5E8D"/>
    <w:rsid w:val="002E4D1D"/>
    <w:rsid w:val="002E51E0"/>
    <w:rsid w:val="002E5411"/>
    <w:rsid w:val="002E7A84"/>
    <w:rsid w:val="002F1BD0"/>
    <w:rsid w:val="003013EE"/>
    <w:rsid w:val="00304031"/>
    <w:rsid w:val="00307A39"/>
    <w:rsid w:val="00311808"/>
    <w:rsid w:val="00311851"/>
    <w:rsid w:val="00311CD5"/>
    <w:rsid w:val="00316725"/>
    <w:rsid w:val="00316A69"/>
    <w:rsid w:val="003231C6"/>
    <w:rsid w:val="00323E49"/>
    <w:rsid w:val="003247A5"/>
    <w:rsid w:val="00325939"/>
    <w:rsid w:val="003273BC"/>
    <w:rsid w:val="00331F05"/>
    <w:rsid w:val="00335759"/>
    <w:rsid w:val="00337750"/>
    <w:rsid w:val="0034384D"/>
    <w:rsid w:val="00345D42"/>
    <w:rsid w:val="00346224"/>
    <w:rsid w:val="0034636C"/>
    <w:rsid w:val="0035089A"/>
    <w:rsid w:val="003511BC"/>
    <w:rsid w:val="00356083"/>
    <w:rsid w:val="00357049"/>
    <w:rsid w:val="00361609"/>
    <w:rsid w:val="00364098"/>
    <w:rsid w:val="00366978"/>
    <w:rsid w:val="0037003F"/>
    <w:rsid w:val="00372BCF"/>
    <w:rsid w:val="00373365"/>
    <w:rsid w:val="00377BD3"/>
    <w:rsid w:val="003807EA"/>
    <w:rsid w:val="003829D8"/>
    <w:rsid w:val="0038304D"/>
    <w:rsid w:val="00384088"/>
    <w:rsid w:val="0038489B"/>
    <w:rsid w:val="00384EDD"/>
    <w:rsid w:val="00385BE9"/>
    <w:rsid w:val="0039169B"/>
    <w:rsid w:val="00392277"/>
    <w:rsid w:val="00394B90"/>
    <w:rsid w:val="003968CC"/>
    <w:rsid w:val="003A03FF"/>
    <w:rsid w:val="003A04F5"/>
    <w:rsid w:val="003A22FC"/>
    <w:rsid w:val="003A5137"/>
    <w:rsid w:val="003A5C2C"/>
    <w:rsid w:val="003A6BAC"/>
    <w:rsid w:val="003A6BED"/>
    <w:rsid w:val="003A7F8C"/>
    <w:rsid w:val="003B08DA"/>
    <w:rsid w:val="003B11F9"/>
    <w:rsid w:val="003B2B56"/>
    <w:rsid w:val="003B532E"/>
    <w:rsid w:val="003B6306"/>
    <w:rsid w:val="003B6602"/>
    <w:rsid w:val="003B6F14"/>
    <w:rsid w:val="003B6F60"/>
    <w:rsid w:val="003C1870"/>
    <w:rsid w:val="003C6136"/>
    <w:rsid w:val="003D0F8B"/>
    <w:rsid w:val="003D39F2"/>
    <w:rsid w:val="003D5A63"/>
    <w:rsid w:val="003D6425"/>
    <w:rsid w:val="003D66A7"/>
    <w:rsid w:val="003D7EE8"/>
    <w:rsid w:val="003F0A6C"/>
    <w:rsid w:val="003F0F49"/>
    <w:rsid w:val="003F1363"/>
    <w:rsid w:val="00403C69"/>
    <w:rsid w:val="00405EC2"/>
    <w:rsid w:val="00406278"/>
    <w:rsid w:val="00406297"/>
    <w:rsid w:val="00412C81"/>
    <w:rsid w:val="004131D4"/>
    <w:rsid w:val="0041348E"/>
    <w:rsid w:val="00414895"/>
    <w:rsid w:val="004208C6"/>
    <w:rsid w:val="00421605"/>
    <w:rsid w:val="0042371F"/>
    <w:rsid w:val="00426222"/>
    <w:rsid w:val="004269E6"/>
    <w:rsid w:val="00433357"/>
    <w:rsid w:val="00435762"/>
    <w:rsid w:val="00435E45"/>
    <w:rsid w:val="004364D9"/>
    <w:rsid w:val="00437819"/>
    <w:rsid w:val="00437A8D"/>
    <w:rsid w:val="00440C4F"/>
    <w:rsid w:val="00441513"/>
    <w:rsid w:val="00441E8B"/>
    <w:rsid w:val="004445FD"/>
    <w:rsid w:val="00446FBA"/>
    <w:rsid w:val="00447308"/>
    <w:rsid w:val="00447990"/>
    <w:rsid w:val="004500BC"/>
    <w:rsid w:val="00451B1B"/>
    <w:rsid w:val="004552B4"/>
    <w:rsid w:val="00460CF8"/>
    <w:rsid w:val="00462253"/>
    <w:rsid w:val="00462CB2"/>
    <w:rsid w:val="004631CC"/>
    <w:rsid w:val="00467DB2"/>
    <w:rsid w:val="00472FC1"/>
    <w:rsid w:val="004755BA"/>
    <w:rsid w:val="004765FF"/>
    <w:rsid w:val="00481E58"/>
    <w:rsid w:val="0048520E"/>
    <w:rsid w:val="00486163"/>
    <w:rsid w:val="00492075"/>
    <w:rsid w:val="0049304E"/>
    <w:rsid w:val="00495290"/>
    <w:rsid w:val="004969AD"/>
    <w:rsid w:val="00496E2A"/>
    <w:rsid w:val="004A0244"/>
    <w:rsid w:val="004A3FF4"/>
    <w:rsid w:val="004A7674"/>
    <w:rsid w:val="004A783D"/>
    <w:rsid w:val="004B13CB"/>
    <w:rsid w:val="004B2466"/>
    <w:rsid w:val="004B2689"/>
    <w:rsid w:val="004B3C6F"/>
    <w:rsid w:val="004B4FDF"/>
    <w:rsid w:val="004B4FF2"/>
    <w:rsid w:val="004B5813"/>
    <w:rsid w:val="004B716F"/>
    <w:rsid w:val="004B7C16"/>
    <w:rsid w:val="004B7E77"/>
    <w:rsid w:val="004C0D4B"/>
    <w:rsid w:val="004C3355"/>
    <w:rsid w:val="004D04E2"/>
    <w:rsid w:val="004D4243"/>
    <w:rsid w:val="004D5D5C"/>
    <w:rsid w:val="004D752D"/>
    <w:rsid w:val="004D7763"/>
    <w:rsid w:val="004E27DE"/>
    <w:rsid w:val="004E2F10"/>
    <w:rsid w:val="004E3276"/>
    <w:rsid w:val="004E4F74"/>
    <w:rsid w:val="004E5959"/>
    <w:rsid w:val="004E704A"/>
    <w:rsid w:val="004F051F"/>
    <w:rsid w:val="004F3D95"/>
    <w:rsid w:val="004F660E"/>
    <w:rsid w:val="004F7270"/>
    <w:rsid w:val="005004A4"/>
    <w:rsid w:val="0050139F"/>
    <w:rsid w:val="0050712D"/>
    <w:rsid w:val="00510692"/>
    <w:rsid w:val="00510F4D"/>
    <w:rsid w:val="00516722"/>
    <w:rsid w:val="00517624"/>
    <w:rsid w:val="00520565"/>
    <w:rsid w:val="00521223"/>
    <w:rsid w:val="00523934"/>
    <w:rsid w:val="00523D3E"/>
    <w:rsid w:val="00524DF1"/>
    <w:rsid w:val="005252E6"/>
    <w:rsid w:val="0052716E"/>
    <w:rsid w:val="00531317"/>
    <w:rsid w:val="00533CBA"/>
    <w:rsid w:val="00536513"/>
    <w:rsid w:val="00536DB4"/>
    <w:rsid w:val="00541D24"/>
    <w:rsid w:val="00543159"/>
    <w:rsid w:val="0054377E"/>
    <w:rsid w:val="0054450F"/>
    <w:rsid w:val="00546D05"/>
    <w:rsid w:val="0055140B"/>
    <w:rsid w:val="00552F9E"/>
    <w:rsid w:val="00554C4F"/>
    <w:rsid w:val="00561D72"/>
    <w:rsid w:val="00564F36"/>
    <w:rsid w:val="00566EEB"/>
    <w:rsid w:val="00570FA3"/>
    <w:rsid w:val="00571767"/>
    <w:rsid w:val="00576FB4"/>
    <w:rsid w:val="00581664"/>
    <w:rsid w:val="00585238"/>
    <w:rsid w:val="005855FC"/>
    <w:rsid w:val="00586EB9"/>
    <w:rsid w:val="00592321"/>
    <w:rsid w:val="005933B2"/>
    <w:rsid w:val="00593B87"/>
    <w:rsid w:val="005964AB"/>
    <w:rsid w:val="005A2BEB"/>
    <w:rsid w:val="005A3485"/>
    <w:rsid w:val="005A5E0C"/>
    <w:rsid w:val="005A6739"/>
    <w:rsid w:val="005B0278"/>
    <w:rsid w:val="005B25C3"/>
    <w:rsid w:val="005B2DD6"/>
    <w:rsid w:val="005B41B7"/>
    <w:rsid w:val="005B44F5"/>
    <w:rsid w:val="005B6D88"/>
    <w:rsid w:val="005C099A"/>
    <w:rsid w:val="005C116F"/>
    <w:rsid w:val="005C13B5"/>
    <w:rsid w:val="005C26D1"/>
    <w:rsid w:val="005C3173"/>
    <w:rsid w:val="005C31A5"/>
    <w:rsid w:val="005C3248"/>
    <w:rsid w:val="005C33FB"/>
    <w:rsid w:val="005C3F17"/>
    <w:rsid w:val="005C4740"/>
    <w:rsid w:val="005D0BEA"/>
    <w:rsid w:val="005D4916"/>
    <w:rsid w:val="005E0641"/>
    <w:rsid w:val="005E0D2B"/>
    <w:rsid w:val="005E10C9"/>
    <w:rsid w:val="005E61DD"/>
    <w:rsid w:val="005E6321"/>
    <w:rsid w:val="005E7201"/>
    <w:rsid w:val="005F5413"/>
    <w:rsid w:val="00600B9C"/>
    <w:rsid w:val="006023DF"/>
    <w:rsid w:val="00602CFD"/>
    <w:rsid w:val="0060693B"/>
    <w:rsid w:val="006117C6"/>
    <w:rsid w:val="00611CD2"/>
    <w:rsid w:val="00615AB9"/>
    <w:rsid w:val="00617602"/>
    <w:rsid w:val="006178FD"/>
    <w:rsid w:val="00620ECD"/>
    <w:rsid w:val="00621FDD"/>
    <w:rsid w:val="00622B63"/>
    <w:rsid w:val="00624A81"/>
    <w:rsid w:val="0062697F"/>
    <w:rsid w:val="00627881"/>
    <w:rsid w:val="00636181"/>
    <w:rsid w:val="00637E99"/>
    <w:rsid w:val="006422AD"/>
    <w:rsid w:val="006430DA"/>
    <w:rsid w:val="0064322F"/>
    <w:rsid w:val="006449A5"/>
    <w:rsid w:val="00644F99"/>
    <w:rsid w:val="006463EE"/>
    <w:rsid w:val="00657DE0"/>
    <w:rsid w:val="006608C4"/>
    <w:rsid w:val="006612C2"/>
    <w:rsid w:val="00661FB8"/>
    <w:rsid w:val="00665B75"/>
    <w:rsid w:val="00667F38"/>
    <w:rsid w:val="0067199F"/>
    <w:rsid w:val="006747D8"/>
    <w:rsid w:val="00674AEF"/>
    <w:rsid w:val="00675DB5"/>
    <w:rsid w:val="00676ED7"/>
    <w:rsid w:val="00677048"/>
    <w:rsid w:val="00680225"/>
    <w:rsid w:val="00685313"/>
    <w:rsid w:val="00690B44"/>
    <w:rsid w:val="006912F3"/>
    <w:rsid w:val="00696E7A"/>
    <w:rsid w:val="006A0D14"/>
    <w:rsid w:val="006A47E5"/>
    <w:rsid w:val="006A6E9B"/>
    <w:rsid w:val="006A747C"/>
    <w:rsid w:val="006A7603"/>
    <w:rsid w:val="006B1038"/>
    <w:rsid w:val="006B502E"/>
    <w:rsid w:val="006B73C2"/>
    <w:rsid w:val="006B7C2A"/>
    <w:rsid w:val="006C03CD"/>
    <w:rsid w:val="006C23DA"/>
    <w:rsid w:val="006C7898"/>
    <w:rsid w:val="006C7CA9"/>
    <w:rsid w:val="006D2DD5"/>
    <w:rsid w:val="006D4843"/>
    <w:rsid w:val="006D6130"/>
    <w:rsid w:val="006D6DDA"/>
    <w:rsid w:val="006E099C"/>
    <w:rsid w:val="006E3D45"/>
    <w:rsid w:val="006E64F1"/>
    <w:rsid w:val="006E7629"/>
    <w:rsid w:val="006F0C99"/>
    <w:rsid w:val="006F1889"/>
    <w:rsid w:val="006F7874"/>
    <w:rsid w:val="006F7BD3"/>
    <w:rsid w:val="007034D9"/>
    <w:rsid w:val="00705932"/>
    <w:rsid w:val="00711E8B"/>
    <w:rsid w:val="007149F9"/>
    <w:rsid w:val="0071531C"/>
    <w:rsid w:val="0071541F"/>
    <w:rsid w:val="007167D5"/>
    <w:rsid w:val="00720DD1"/>
    <w:rsid w:val="007265FE"/>
    <w:rsid w:val="00730009"/>
    <w:rsid w:val="00733A30"/>
    <w:rsid w:val="007372E2"/>
    <w:rsid w:val="007379E5"/>
    <w:rsid w:val="00743072"/>
    <w:rsid w:val="00745AEE"/>
    <w:rsid w:val="00747028"/>
    <w:rsid w:val="007479EA"/>
    <w:rsid w:val="00747A98"/>
    <w:rsid w:val="00750F10"/>
    <w:rsid w:val="0075242F"/>
    <w:rsid w:val="00756ADC"/>
    <w:rsid w:val="00761CEF"/>
    <w:rsid w:val="007654FE"/>
    <w:rsid w:val="00765BA5"/>
    <w:rsid w:val="007664D4"/>
    <w:rsid w:val="00770D7E"/>
    <w:rsid w:val="007742CA"/>
    <w:rsid w:val="0077509B"/>
    <w:rsid w:val="00776DB1"/>
    <w:rsid w:val="0077768B"/>
    <w:rsid w:val="0077794B"/>
    <w:rsid w:val="00792DB8"/>
    <w:rsid w:val="00793BB0"/>
    <w:rsid w:val="00794ABD"/>
    <w:rsid w:val="00795C00"/>
    <w:rsid w:val="0079605E"/>
    <w:rsid w:val="007A4097"/>
    <w:rsid w:val="007A7FAF"/>
    <w:rsid w:val="007B12EB"/>
    <w:rsid w:val="007B2EB6"/>
    <w:rsid w:val="007B3BF6"/>
    <w:rsid w:val="007B4578"/>
    <w:rsid w:val="007C0A4D"/>
    <w:rsid w:val="007C2360"/>
    <w:rsid w:val="007C5A7B"/>
    <w:rsid w:val="007D06F0"/>
    <w:rsid w:val="007D35D0"/>
    <w:rsid w:val="007D3C25"/>
    <w:rsid w:val="007D45E3"/>
    <w:rsid w:val="007D5320"/>
    <w:rsid w:val="007D714B"/>
    <w:rsid w:val="007E065B"/>
    <w:rsid w:val="007E0A1D"/>
    <w:rsid w:val="007E28A9"/>
    <w:rsid w:val="007E713F"/>
    <w:rsid w:val="007E7819"/>
    <w:rsid w:val="007E799D"/>
    <w:rsid w:val="007F236E"/>
    <w:rsid w:val="007F2668"/>
    <w:rsid w:val="007F26E3"/>
    <w:rsid w:val="007F479E"/>
    <w:rsid w:val="007F535C"/>
    <w:rsid w:val="007F54EB"/>
    <w:rsid w:val="007F735C"/>
    <w:rsid w:val="00800972"/>
    <w:rsid w:val="00804475"/>
    <w:rsid w:val="0081159E"/>
    <w:rsid w:val="00811633"/>
    <w:rsid w:val="008143C2"/>
    <w:rsid w:val="00814C00"/>
    <w:rsid w:val="00821CEF"/>
    <w:rsid w:val="00823BDC"/>
    <w:rsid w:val="00832828"/>
    <w:rsid w:val="008334AF"/>
    <w:rsid w:val="0083645A"/>
    <w:rsid w:val="0083797D"/>
    <w:rsid w:val="00837AB9"/>
    <w:rsid w:val="00840B0F"/>
    <w:rsid w:val="00840FD0"/>
    <w:rsid w:val="0084590A"/>
    <w:rsid w:val="00845C0D"/>
    <w:rsid w:val="008529D3"/>
    <w:rsid w:val="00854840"/>
    <w:rsid w:val="0085555B"/>
    <w:rsid w:val="00855FDC"/>
    <w:rsid w:val="00860F8A"/>
    <w:rsid w:val="0086299C"/>
    <w:rsid w:val="00863096"/>
    <w:rsid w:val="00863578"/>
    <w:rsid w:val="00863FC4"/>
    <w:rsid w:val="00864A15"/>
    <w:rsid w:val="00867B8E"/>
    <w:rsid w:val="008711AE"/>
    <w:rsid w:val="00872FC8"/>
    <w:rsid w:val="00874817"/>
    <w:rsid w:val="00877397"/>
    <w:rsid w:val="00877D80"/>
    <w:rsid w:val="008801D3"/>
    <w:rsid w:val="00880325"/>
    <w:rsid w:val="008806F3"/>
    <w:rsid w:val="00881DBB"/>
    <w:rsid w:val="00882996"/>
    <w:rsid w:val="00883866"/>
    <w:rsid w:val="008845D0"/>
    <w:rsid w:val="0089151A"/>
    <w:rsid w:val="00893B2C"/>
    <w:rsid w:val="00894F96"/>
    <w:rsid w:val="008A0BFE"/>
    <w:rsid w:val="008A2753"/>
    <w:rsid w:val="008A3933"/>
    <w:rsid w:val="008A7165"/>
    <w:rsid w:val="008B20A4"/>
    <w:rsid w:val="008B3713"/>
    <w:rsid w:val="008B43F2"/>
    <w:rsid w:val="008B54AB"/>
    <w:rsid w:val="008B54D9"/>
    <w:rsid w:val="008B61EA"/>
    <w:rsid w:val="008B63AA"/>
    <w:rsid w:val="008B6CFF"/>
    <w:rsid w:val="008C28A0"/>
    <w:rsid w:val="008C3D02"/>
    <w:rsid w:val="008C4544"/>
    <w:rsid w:val="008C4ADD"/>
    <w:rsid w:val="008D06CB"/>
    <w:rsid w:val="008D279B"/>
    <w:rsid w:val="008D2B46"/>
    <w:rsid w:val="008D678E"/>
    <w:rsid w:val="008E33DA"/>
    <w:rsid w:val="008E6B36"/>
    <w:rsid w:val="008E7DF8"/>
    <w:rsid w:val="008F04EE"/>
    <w:rsid w:val="008F238A"/>
    <w:rsid w:val="008F3284"/>
    <w:rsid w:val="008F36FB"/>
    <w:rsid w:val="009006A0"/>
    <w:rsid w:val="00900E22"/>
    <w:rsid w:val="009023DF"/>
    <w:rsid w:val="0090293E"/>
    <w:rsid w:val="0091016B"/>
    <w:rsid w:val="00910408"/>
    <w:rsid w:val="00910B26"/>
    <w:rsid w:val="00912004"/>
    <w:rsid w:val="009238B9"/>
    <w:rsid w:val="009274B4"/>
    <w:rsid w:val="00934743"/>
    <w:rsid w:val="00934EA2"/>
    <w:rsid w:val="009373C9"/>
    <w:rsid w:val="00941B98"/>
    <w:rsid w:val="00942FC1"/>
    <w:rsid w:val="00943545"/>
    <w:rsid w:val="00944A5C"/>
    <w:rsid w:val="00944A99"/>
    <w:rsid w:val="00951816"/>
    <w:rsid w:val="00952A66"/>
    <w:rsid w:val="00953C32"/>
    <w:rsid w:val="00964C68"/>
    <w:rsid w:val="009737F9"/>
    <w:rsid w:val="00980AD1"/>
    <w:rsid w:val="00980AD6"/>
    <w:rsid w:val="009828A4"/>
    <w:rsid w:val="00985001"/>
    <w:rsid w:val="00986EBB"/>
    <w:rsid w:val="009907F3"/>
    <w:rsid w:val="00990A55"/>
    <w:rsid w:val="00992F9A"/>
    <w:rsid w:val="009944BE"/>
    <w:rsid w:val="00996913"/>
    <w:rsid w:val="00996ACA"/>
    <w:rsid w:val="00997678"/>
    <w:rsid w:val="009A04EC"/>
    <w:rsid w:val="009A234F"/>
    <w:rsid w:val="009A291A"/>
    <w:rsid w:val="009B28F2"/>
    <w:rsid w:val="009B5126"/>
    <w:rsid w:val="009B71C3"/>
    <w:rsid w:val="009B75FF"/>
    <w:rsid w:val="009C39A2"/>
    <w:rsid w:val="009C4D44"/>
    <w:rsid w:val="009C56E5"/>
    <w:rsid w:val="009C6F7B"/>
    <w:rsid w:val="009D3343"/>
    <w:rsid w:val="009D3429"/>
    <w:rsid w:val="009E3F7C"/>
    <w:rsid w:val="009E5FC8"/>
    <w:rsid w:val="009E687A"/>
    <w:rsid w:val="009E72E7"/>
    <w:rsid w:val="009F1542"/>
    <w:rsid w:val="00A00AC6"/>
    <w:rsid w:val="00A03C5C"/>
    <w:rsid w:val="00A04FB0"/>
    <w:rsid w:val="00A066F1"/>
    <w:rsid w:val="00A1280A"/>
    <w:rsid w:val="00A141AF"/>
    <w:rsid w:val="00A15958"/>
    <w:rsid w:val="00A16D29"/>
    <w:rsid w:val="00A20E5E"/>
    <w:rsid w:val="00A2101B"/>
    <w:rsid w:val="00A21E18"/>
    <w:rsid w:val="00A235FD"/>
    <w:rsid w:val="00A2618D"/>
    <w:rsid w:val="00A27146"/>
    <w:rsid w:val="00A30305"/>
    <w:rsid w:val="00A31315"/>
    <w:rsid w:val="00A31D2D"/>
    <w:rsid w:val="00A32267"/>
    <w:rsid w:val="00A32291"/>
    <w:rsid w:val="00A33D45"/>
    <w:rsid w:val="00A34772"/>
    <w:rsid w:val="00A35D6D"/>
    <w:rsid w:val="00A4049B"/>
    <w:rsid w:val="00A43642"/>
    <w:rsid w:val="00A44D51"/>
    <w:rsid w:val="00A4600A"/>
    <w:rsid w:val="00A524E6"/>
    <w:rsid w:val="00A538A6"/>
    <w:rsid w:val="00A54C25"/>
    <w:rsid w:val="00A56C71"/>
    <w:rsid w:val="00A612BB"/>
    <w:rsid w:val="00A62F73"/>
    <w:rsid w:val="00A67FB8"/>
    <w:rsid w:val="00A710E7"/>
    <w:rsid w:val="00A7140C"/>
    <w:rsid w:val="00A7372E"/>
    <w:rsid w:val="00A74739"/>
    <w:rsid w:val="00A76372"/>
    <w:rsid w:val="00A76BD5"/>
    <w:rsid w:val="00A77E25"/>
    <w:rsid w:val="00A80D65"/>
    <w:rsid w:val="00A81F59"/>
    <w:rsid w:val="00A83E00"/>
    <w:rsid w:val="00A853F5"/>
    <w:rsid w:val="00A9323C"/>
    <w:rsid w:val="00A93364"/>
    <w:rsid w:val="00A93B85"/>
    <w:rsid w:val="00A96F7D"/>
    <w:rsid w:val="00AA05FD"/>
    <w:rsid w:val="00AA0B18"/>
    <w:rsid w:val="00AA4774"/>
    <w:rsid w:val="00AA666F"/>
    <w:rsid w:val="00AA7A11"/>
    <w:rsid w:val="00AB15BE"/>
    <w:rsid w:val="00AB4006"/>
    <w:rsid w:val="00AB4927"/>
    <w:rsid w:val="00AB4EF9"/>
    <w:rsid w:val="00AC007A"/>
    <w:rsid w:val="00AC034F"/>
    <w:rsid w:val="00AC1A8E"/>
    <w:rsid w:val="00AC4C17"/>
    <w:rsid w:val="00AC4DB5"/>
    <w:rsid w:val="00AD0AEB"/>
    <w:rsid w:val="00AD4C7B"/>
    <w:rsid w:val="00AF17A2"/>
    <w:rsid w:val="00AF2081"/>
    <w:rsid w:val="00AF2664"/>
    <w:rsid w:val="00AF57EF"/>
    <w:rsid w:val="00B004E5"/>
    <w:rsid w:val="00B00A85"/>
    <w:rsid w:val="00B053F3"/>
    <w:rsid w:val="00B06557"/>
    <w:rsid w:val="00B10A09"/>
    <w:rsid w:val="00B124F9"/>
    <w:rsid w:val="00B13FFC"/>
    <w:rsid w:val="00B15F9D"/>
    <w:rsid w:val="00B17325"/>
    <w:rsid w:val="00B17BDC"/>
    <w:rsid w:val="00B20035"/>
    <w:rsid w:val="00B20480"/>
    <w:rsid w:val="00B20F6D"/>
    <w:rsid w:val="00B21BEA"/>
    <w:rsid w:val="00B2212C"/>
    <w:rsid w:val="00B232A2"/>
    <w:rsid w:val="00B247C3"/>
    <w:rsid w:val="00B27180"/>
    <w:rsid w:val="00B27EA8"/>
    <w:rsid w:val="00B30ECC"/>
    <w:rsid w:val="00B35A1C"/>
    <w:rsid w:val="00B35BC5"/>
    <w:rsid w:val="00B36A3C"/>
    <w:rsid w:val="00B4012B"/>
    <w:rsid w:val="00B41165"/>
    <w:rsid w:val="00B41367"/>
    <w:rsid w:val="00B423AE"/>
    <w:rsid w:val="00B43D73"/>
    <w:rsid w:val="00B44083"/>
    <w:rsid w:val="00B441B1"/>
    <w:rsid w:val="00B45C98"/>
    <w:rsid w:val="00B50520"/>
    <w:rsid w:val="00B51670"/>
    <w:rsid w:val="00B5544A"/>
    <w:rsid w:val="00B639E9"/>
    <w:rsid w:val="00B6598C"/>
    <w:rsid w:val="00B66F17"/>
    <w:rsid w:val="00B71863"/>
    <w:rsid w:val="00B7345F"/>
    <w:rsid w:val="00B817CD"/>
    <w:rsid w:val="00B81D00"/>
    <w:rsid w:val="00B825BC"/>
    <w:rsid w:val="00B830CC"/>
    <w:rsid w:val="00B850F8"/>
    <w:rsid w:val="00B86916"/>
    <w:rsid w:val="00B87DA1"/>
    <w:rsid w:val="00B9105F"/>
    <w:rsid w:val="00B911B2"/>
    <w:rsid w:val="00B917E9"/>
    <w:rsid w:val="00B92195"/>
    <w:rsid w:val="00B92520"/>
    <w:rsid w:val="00B951D0"/>
    <w:rsid w:val="00B95DA2"/>
    <w:rsid w:val="00B97C6E"/>
    <w:rsid w:val="00BA231A"/>
    <w:rsid w:val="00BA2D00"/>
    <w:rsid w:val="00BA2FE8"/>
    <w:rsid w:val="00BB1F53"/>
    <w:rsid w:val="00BB29C8"/>
    <w:rsid w:val="00BB3A95"/>
    <w:rsid w:val="00BB42AD"/>
    <w:rsid w:val="00BB4491"/>
    <w:rsid w:val="00BB66DD"/>
    <w:rsid w:val="00BB6DD0"/>
    <w:rsid w:val="00BC00FB"/>
    <w:rsid w:val="00BC0382"/>
    <w:rsid w:val="00BC1DBF"/>
    <w:rsid w:val="00BC31AC"/>
    <w:rsid w:val="00BC401E"/>
    <w:rsid w:val="00BC6488"/>
    <w:rsid w:val="00BD11D6"/>
    <w:rsid w:val="00BD239D"/>
    <w:rsid w:val="00BD31E7"/>
    <w:rsid w:val="00BD50BD"/>
    <w:rsid w:val="00BD618D"/>
    <w:rsid w:val="00BD62C6"/>
    <w:rsid w:val="00BE34A3"/>
    <w:rsid w:val="00BE7042"/>
    <w:rsid w:val="00BE7870"/>
    <w:rsid w:val="00BF095D"/>
    <w:rsid w:val="00BF3618"/>
    <w:rsid w:val="00BF4F16"/>
    <w:rsid w:val="00BF65C9"/>
    <w:rsid w:val="00C0018F"/>
    <w:rsid w:val="00C02828"/>
    <w:rsid w:val="00C03779"/>
    <w:rsid w:val="00C05634"/>
    <w:rsid w:val="00C07B4E"/>
    <w:rsid w:val="00C10393"/>
    <w:rsid w:val="00C14872"/>
    <w:rsid w:val="00C14874"/>
    <w:rsid w:val="00C166D0"/>
    <w:rsid w:val="00C16D39"/>
    <w:rsid w:val="00C20466"/>
    <w:rsid w:val="00C214ED"/>
    <w:rsid w:val="00C227EF"/>
    <w:rsid w:val="00C234E6"/>
    <w:rsid w:val="00C249C4"/>
    <w:rsid w:val="00C24E20"/>
    <w:rsid w:val="00C324A8"/>
    <w:rsid w:val="00C349B4"/>
    <w:rsid w:val="00C35C13"/>
    <w:rsid w:val="00C36662"/>
    <w:rsid w:val="00C40DF2"/>
    <w:rsid w:val="00C54517"/>
    <w:rsid w:val="00C55DBA"/>
    <w:rsid w:val="00C56E3C"/>
    <w:rsid w:val="00C60AEF"/>
    <w:rsid w:val="00C6240E"/>
    <w:rsid w:val="00C6439C"/>
    <w:rsid w:val="00C64CD8"/>
    <w:rsid w:val="00C720B0"/>
    <w:rsid w:val="00C73347"/>
    <w:rsid w:val="00C75E0E"/>
    <w:rsid w:val="00C75FF8"/>
    <w:rsid w:val="00C76A6C"/>
    <w:rsid w:val="00C80652"/>
    <w:rsid w:val="00C80A64"/>
    <w:rsid w:val="00C87447"/>
    <w:rsid w:val="00C90579"/>
    <w:rsid w:val="00C910CE"/>
    <w:rsid w:val="00C976EE"/>
    <w:rsid w:val="00C97C68"/>
    <w:rsid w:val="00CA18A2"/>
    <w:rsid w:val="00CA1A47"/>
    <w:rsid w:val="00CA36C5"/>
    <w:rsid w:val="00CA48CF"/>
    <w:rsid w:val="00CB1404"/>
    <w:rsid w:val="00CB1D84"/>
    <w:rsid w:val="00CB3537"/>
    <w:rsid w:val="00CB40E5"/>
    <w:rsid w:val="00CB615D"/>
    <w:rsid w:val="00CB6664"/>
    <w:rsid w:val="00CC247A"/>
    <w:rsid w:val="00CC41F6"/>
    <w:rsid w:val="00CC5CD7"/>
    <w:rsid w:val="00CD2733"/>
    <w:rsid w:val="00CD2A68"/>
    <w:rsid w:val="00CD2BC1"/>
    <w:rsid w:val="00CD3139"/>
    <w:rsid w:val="00CD4117"/>
    <w:rsid w:val="00CD7BC2"/>
    <w:rsid w:val="00CD7EC4"/>
    <w:rsid w:val="00CE5ACA"/>
    <w:rsid w:val="00CE5E47"/>
    <w:rsid w:val="00CE7A25"/>
    <w:rsid w:val="00CF020F"/>
    <w:rsid w:val="00CF269A"/>
    <w:rsid w:val="00CF2A29"/>
    <w:rsid w:val="00CF2B5B"/>
    <w:rsid w:val="00CF33C0"/>
    <w:rsid w:val="00CF4A84"/>
    <w:rsid w:val="00D00E2A"/>
    <w:rsid w:val="00D0723D"/>
    <w:rsid w:val="00D10D23"/>
    <w:rsid w:val="00D12A27"/>
    <w:rsid w:val="00D14CE0"/>
    <w:rsid w:val="00D217E0"/>
    <w:rsid w:val="00D233CB"/>
    <w:rsid w:val="00D27D0F"/>
    <w:rsid w:val="00D33DC1"/>
    <w:rsid w:val="00D36333"/>
    <w:rsid w:val="00D42CDE"/>
    <w:rsid w:val="00D42FEE"/>
    <w:rsid w:val="00D44DE2"/>
    <w:rsid w:val="00D45A9C"/>
    <w:rsid w:val="00D53EAE"/>
    <w:rsid w:val="00D541E4"/>
    <w:rsid w:val="00D5651D"/>
    <w:rsid w:val="00D56836"/>
    <w:rsid w:val="00D61378"/>
    <w:rsid w:val="00D62D8E"/>
    <w:rsid w:val="00D634E2"/>
    <w:rsid w:val="00D67A2E"/>
    <w:rsid w:val="00D71278"/>
    <w:rsid w:val="00D724BE"/>
    <w:rsid w:val="00D73CFE"/>
    <w:rsid w:val="00D74898"/>
    <w:rsid w:val="00D75941"/>
    <w:rsid w:val="00D75EB3"/>
    <w:rsid w:val="00D801ED"/>
    <w:rsid w:val="00D83BF5"/>
    <w:rsid w:val="00D8609B"/>
    <w:rsid w:val="00D864B0"/>
    <w:rsid w:val="00D87035"/>
    <w:rsid w:val="00D87E9C"/>
    <w:rsid w:val="00D91F0E"/>
    <w:rsid w:val="00D925C2"/>
    <w:rsid w:val="00D936BC"/>
    <w:rsid w:val="00D95534"/>
    <w:rsid w:val="00D9621A"/>
    <w:rsid w:val="00D96530"/>
    <w:rsid w:val="00D96B4B"/>
    <w:rsid w:val="00DA2345"/>
    <w:rsid w:val="00DA273A"/>
    <w:rsid w:val="00DA3AC1"/>
    <w:rsid w:val="00DA3AC4"/>
    <w:rsid w:val="00DA453A"/>
    <w:rsid w:val="00DA561A"/>
    <w:rsid w:val="00DA5C6F"/>
    <w:rsid w:val="00DA6B46"/>
    <w:rsid w:val="00DA7078"/>
    <w:rsid w:val="00DB1086"/>
    <w:rsid w:val="00DB2FB8"/>
    <w:rsid w:val="00DB4598"/>
    <w:rsid w:val="00DB4E0A"/>
    <w:rsid w:val="00DB6C72"/>
    <w:rsid w:val="00DB71F7"/>
    <w:rsid w:val="00DB750F"/>
    <w:rsid w:val="00DC19DC"/>
    <w:rsid w:val="00DC2A65"/>
    <w:rsid w:val="00DC3758"/>
    <w:rsid w:val="00DC3FC1"/>
    <w:rsid w:val="00DC574F"/>
    <w:rsid w:val="00DC6EEA"/>
    <w:rsid w:val="00DD08B4"/>
    <w:rsid w:val="00DD44AF"/>
    <w:rsid w:val="00DE0D75"/>
    <w:rsid w:val="00DE2AC3"/>
    <w:rsid w:val="00DE434C"/>
    <w:rsid w:val="00DE5692"/>
    <w:rsid w:val="00DE5E67"/>
    <w:rsid w:val="00DE7766"/>
    <w:rsid w:val="00DE79F1"/>
    <w:rsid w:val="00DF02A0"/>
    <w:rsid w:val="00DF1E46"/>
    <w:rsid w:val="00DF21DF"/>
    <w:rsid w:val="00DF2D60"/>
    <w:rsid w:val="00DF6F8E"/>
    <w:rsid w:val="00E02014"/>
    <w:rsid w:val="00E03C94"/>
    <w:rsid w:val="00E03CF8"/>
    <w:rsid w:val="00E06603"/>
    <w:rsid w:val="00E06AEA"/>
    <w:rsid w:val="00E07105"/>
    <w:rsid w:val="00E11115"/>
    <w:rsid w:val="00E12074"/>
    <w:rsid w:val="00E1307C"/>
    <w:rsid w:val="00E17BAD"/>
    <w:rsid w:val="00E21B22"/>
    <w:rsid w:val="00E239BD"/>
    <w:rsid w:val="00E241C9"/>
    <w:rsid w:val="00E26226"/>
    <w:rsid w:val="00E31B77"/>
    <w:rsid w:val="00E36E67"/>
    <w:rsid w:val="00E378D8"/>
    <w:rsid w:val="00E4021C"/>
    <w:rsid w:val="00E4059F"/>
    <w:rsid w:val="00E4165C"/>
    <w:rsid w:val="00E422AC"/>
    <w:rsid w:val="00E425D0"/>
    <w:rsid w:val="00E45D05"/>
    <w:rsid w:val="00E528F8"/>
    <w:rsid w:val="00E5442B"/>
    <w:rsid w:val="00E55816"/>
    <w:rsid w:val="00E55AEF"/>
    <w:rsid w:val="00E61442"/>
    <w:rsid w:val="00E64B4B"/>
    <w:rsid w:val="00E66A93"/>
    <w:rsid w:val="00E71B64"/>
    <w:rsid w:val="00E81961"/>
    <w:rsid w:val="00E82877"/>
    <w:rsid w:val="00E83BBB"/>
    <w:rsid w:val="00E84088"/>
    <w:rsid w:val="00E90BE9"/>
    <w:rsid w:val="00E976C1"/>
    <w:rsid w:val="00EA025D"/>
    <w:rsid w:val="00EA07F0"/>
    <w:rsid w:val="00EA12E5"/>
    <w:rsid w:val="00EA2136"/>
    <w:rsid w:val="00EA36A2"/>
    <w:rsid w:val="00EA3D99"/>
    <w:rsid w:val="00EA66A4"/>
    <w:rsid w:val="00EB00F7"/>
    <w:rsid w:val="00EB0E5E"/>
    <w:rsid w:val="00EB2238"/>
    <w:rsid w:val="00EB4C45"/>
    <w:rsid w:val="00EC00DF"/>
    <w:rsid w:val="00EC0FC2"/>
    <w:rsid w:val="00EC3585"/>
    <w:rsid w:val="00EC6B65"/>
    <w:rsid w:val="00ED29AB"/>
    <w:rsid w:val="00ED335C"/>
    <w:rsid w:val="00ED44A8"/>
    <w:rsid w:val="00ED5AAF"/>
    <w:rsid w:val="00EE3198"/>
    <w:rsid w:val="00EE4646"/>
    <w:rsid w:val="00EE67EC"/>
    <w:rsid w:val="00EF33D5"/>
    <w:rsid w:val="00EF481F"/>
    <w:rsid w:val="00EF4D25"/>
    <w:rsid w:val="00F000EA"/>
    <w:rsid w:val="00F02766"/>
    <w:rsid w:val="00F03EB7"/>
    <w:rsid w:val="00F04067"/>
    <w:rsid w:val="00F0520E"/>
    <w:rsid w:val="00F05BD4"/>
    <w:rsid w:val="00F07F46"/>
    <w:rsid w:val="00F11A98"/>
    <w:rsid w:val="00F13242"/>
    <w:rsid w:val="00F1463E"/>
    <w:rsid w:val="00F15368"/>
    <w:rsid w:val="00F15E05"/>
    <w:rsid w:val="00F16F35"/>
    <w:rsid w:val="00F20CA2"/>
    <w:rsid w:val="00F21A1D"/>
    <w:rsid w:val="00F22683"/>
    <w:rsid w:val="00F277F9"/>
    <w:rsid w:val="00F339E3"/>
    <w:rsid w:val="00F340C8"/>
    <w:rsid w:val="00F349CB"/>
    <w:rsid w:val="00F354F7"/>
    <w:rsid w:val="00F357E0"/>
    <w:rsid w:val="00F42215"/>
    <w:rsid w:val="00F45892"/>
    <w:rsid w:val="00F53615"/>
    <w:rsid w:val="00F579D6"/>
    <w:rsid w:val="00F61818"/>
    <w:rsid w:val="00F623D9"/>
    <w:rsid w:val="00F64274"/>
    <w:rsid w:val="00F64DBC"/>
    <w:rsid w:val="00F659A6"/>
    <w:rsid w:val="00F65C19"/>
    <w:rsid w:val="00F6660F"/>
    <w:rsid w:val="00F66B3A"/>
    <w:rsid w:val="00F67276"/>
    <w:rsid w:val="00F7338B"/>
    <w:rsid w:val="00F7440E"/>
    <w:rsid w:val="00F76603"/>
    <w:rsid w:val="00F772D4"/>
    <w:rsid w:val="00F808C6"/>
    <w:rsid w:val="00F82C65"/>
    <w:rsid w:val="00F83F60"/>
    <w:rsid w:val="00F8476E"/>
    <w:rsid w:val="00F848EE"/>
    <w:rsid w:val="00F84DF8"/>
    <w:rsid w:val="00F91898"/>
    <w:rsid w:val="00F94FEF"/>
    <w:rsid w:val="00F971FB"/>
    <w:rsid w:val="00FA4CD4"/>
    <w:rsid w:val="00FA579C"/>
    <w:rsid w:val="00FA668B"/>
    <w:rsid w:val="00FB20E0"/>
    <w:rsid w:val="00FB34B9"/>
    <w:rsid w:val="00FC0BEF"/>
    <w:rsid w:val="00FC24DA"/>
    <w:rsid w:val="00FC4678"/>
    <w:rsid w:val="00FC6545"/>
    <w:rsid w:val="00FD0183"/>
    <w:rsid w:val="00FD037B"/>
    <w:rsid w:val="00FD2546"/>
    <w:rsid w:val="00FD772E"/>
    <w:rsid w:val="00FE3346"/>
    <w:rsid w:val="00FE3926"/>
    <w:rsid w:val="00FE48BE"/>
    <w:rsid w:val="00FE7205"/>
    <w:rsid w:val="00FE78C7"/>
    <w:rsid w:val="00FF21ED"/>
    <w:rsid w:val="00FF2A26"/>
    <w:rsid w:val="00FF3D55"/>
    <w:rsid w:val="00FF43AC"/>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2024FD"/>
  <w15:docId w15:val="{2B1DDD2B-189C-45BE-AE9C-2EE3A3BA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Batang"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CB3537"/>
    <w:pPr>
      <w:keepNext/>
      <w:keepLines/>
      <w:spacing w:before="280"/>
      <w:ind w:left="1134" w:hanging="1134"/>
      <w:outlineLvl w:val="0"/>
    </w:pPr>
    <w:rPr>
      <w:b/>
      <w:sz w:val="28"/>
    </w:rPr>
  </w:style>
  <w:style w:type="paragraph" w:styleId="Heading2">
    <w:name w:val="heading 2"/>
    <w:basedOn w:val="Heading1"/>
    <w:next w:val="Normal"/>
    <w:qFormat/>
    <w:rsid w:val="00CB3537"/>
    <w:pPr>
      <w:spacing w:before="200"/>
      <w:outlineLvl w:val="1"/>
    </w:pPr>
    <w:rPr>
      <w:sz w:val="24"/>
    </w:rPr>
  </w:style>
  <w:style w:type="paragraph" w:styleId="Heading3">
    <w:name w:val="heading 3"/>
    <w:basedOn w:val="Heading1"/>
    <w:next w:val="Normal"/>
    <w:qFormat/>
    <w:rsid w:val="00CB3537"/>
    <w:pPr>
      <w:tabs>
        <w:tab w:val="clear" w:pos="1134"/>
      </w:tabs>
      <w:spacing w:before="200"/>
      <w:outlineLvl w:val="2"/>
    </w:pPr>
    <w:rPr>
      <w:sz w:val="24"/>
    </w:rPr>
  </w:style>
  <w:style w:type="paragraph" w:styleId="Heading4">
    <w:name w:val="heading 4"/>
    <w:basedOn w:val="Heading3"/>
    <w:next w:val="Normal"/>
    <w:qFormat/>
    <w:rsid w:val="00CB3537"/>
    <w:pPr>
      <w:outlineLvl w:val="3"/>
    </w:pPr>
  </w:style>
  <w:style w:type="paragraph" w:styleId="Heading5">
    <w:name w:val="heading 5"/>
    <w:basedOn w:val="Heading4"/>
    <w:next w:val="Normal"/>
    <w:qFormat/>
    <w:rsid w:val="00CB3537"/>
    <w:pPr>
      <w:outlineLvl w:val="4"/>
    </w:pPr>
  </w:style>
  <w:style w:type="paragraph" w:styleId="Heading6">
    <w:name w:val="heading 6"/>
    <w:basedOn w:val="Heading4"/>
    <w:next w:val="Normal"/>
    <w:qFormat/>
    <w:rsid w:val="00CB3537"/>
    <w:pPr>
      <w:outlineLvl w:val="5"/>
    </w:pPr>
  </w:style>
  <w:style w:type="paragraph" w:styleId="Heading7">
    <w:name w:val="heading 7"/>
    <w:basedOn w:val="Heading6"/>
    <w:next w:val="Normal"/>
    <w:qFormat/>
    <w:rsid w:val="00CB3537"/>
    <w:pPr>
      <w:outlineLvl w:val="6"/>
    </w:pPr>
  </w:style>
  <w:style w:type="paragraph" w:styleId="Heading8">
    <w:name w:val="heading 8"/>
    <w:basedOn w:val="Heading6"/>
    <w:next w:val="Normal"/>
    <w:qFormat/>
    <w:rsid w:val="00CB3537"/>
    <w:pPr>
      <w:outlineLvl w:val="7"/>
    </w:pPr>
  </w:style>
  <w:style w:type="paragraph" w:styleId="Heading9">
    <w:name w:val="heading 9"/>
    <w:basedOn w:val="Heading6"/>
    <w:next w:val="Normal"/>
    <w:qFormat/>
    <w:rsid w:val="00CB353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rsid w:val="00745AEE"/>
    <w:rPr>
      <w:rFonts w:ascii="Times New Roman" w:hAnsi="Times New Roman"/>
      <w:caps/>
      <w:noProof/>
      <w:sz w:val="16"/>
      <w:lang w:val="en-GB" w:eastAsia="en-US"/>
    </w:rPr>
  </w:style>
  <w:style w:type="paragraph" w:customStyle="1" w:styleId="FirstFooter">
    <w:name w:val="FirstFooter"/>
    <w:basedOn w:val="Footer"/>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qFormat/>
    <w:rsid w:val="002154A6"/>
    <w:rPr>
      <w:rFonts w:asciiTheme="minorHAnsi" w:hAnsiTheme="minorHAnsi"/>
      <w:position w:val="6"/>
      <w:sz w:val="18"/>
    </w:r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FT"/>
    <w:basedOn w:val="Normal"/>
    <w:link w:val="FootnoteTextChar"/>
    <w:qFormat/>
    <w:rsid w:val="00745AEE"/>
    <w:pPr>
      <w:keepLines/>
      <w:tabs>
        <w:tab w:val="left" w:pos="255"/>
      </w:tabs>
    </w:p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FT Char"/>
    <w:basedOn w:val="DefaultParagraphFont"/>
    <w:link w:val="FootnoteText"/>
    <w:qFormat/>
    <w:rsid w:val="00745AEE"/>
    <w:rPr>
      <w:rFonts w:ascii="Times New Roman" w:hAnsi="Times New Roman"/>
      <w:sz w:val="24"/>
      <w:lang w:val="en-GB" w:eastAsia="en-US"/>
    </w:rPr>
  </w:style>
  <w:style w:type="paragraph" w:styleId="Header">
    <w:name w:val="header"/>
    <w:basedOn w:val="Normal"/>
    <w:link w:val="HeaderChar"/>
    <w:rsid w:val="00745AEE"/>
    <w:pPr>
      <w:spacing w:before="0"/>
      <w:jc w:val="center"/>
    </w:pPr>
    <w:rPr>
      <w:sz w:val="18"/>
    </w:rPr>
  </w:style>
  <w:style w:type="character" w:customStyle="1" w:styleId="HeaderChar">
    <w:name w:val="Header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qFormat/>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Normal"/>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rsid w:val="00DE2AC3"/>
  </w:style>
  <w:style w:type="paragraph" w:customStyle="1" w:styleId="Restitle">
    <w:name w:val="Res_title"/>
    <w:basedOn w:val="Rectitle"/>
    <w:next w:val="Normal"/>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aliases w:val="List Paragraph1,Recommendation,List Paragraph11,O5,Para_sk,Resume Title,- Bullets,Equipment,Numbered Indented Text,Figure_name,Bulleted Para,CAB - List Bullet,CV text,Dot pt,F5 List Paragraph,FooterText,L,List Paragraph111,List Paragraph2"/>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rsid w:val="004131D4"/>
    <w:pPr>
      <w:spacing w:before="0"/>
    </w:pPr>
    <w:rPr>
      <w:rFonts w:ascii="Tahoma" w:hAnsi="Tahoma" w:cs="Tahoma"/>
      <w:sz w:val="16"/>
      <w:szCs w:val="16"/>
    </w:rPr>
  </w:style>
  <w:style w:type="character" w:customStyle="1" w:styleId="BalloonTextChar">
    <w:name w:val="Balloon Text Char"/>
    <w:basedOn w:val="DefaultParagraphFont"/>
    <w:link w:val="BalloonText"/>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超?级链,Style 58,超????,하이퍼링크2,超链接1,超?级链?,Style?,S,하이퍼링크21,ECC Hyperlink,超??级链Ú,fL????,fL?级,超??级链,超?级链ïÈ,õ±?级链,õ±链ïÈ1,õ±???,超?级链Ú,’´?级链,’´????,’´??级链Ú,’´??级"/>
    <w:uiPriority w:val="99"/>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5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List Paragraph1 Char,Recommendation Char,List Paragraph11 Char,O5 Char,Para_sk Char,Resume Title Char,- Bullets Char,Equipment Char,Numbered Indented Text Char,Figure_name Char,Bulleted Para Char,CAB - List Bullet Char,CV text Char"/>
    <w:link w:val="ListParagraph"/>
    <w:uiPriority w:val="34"/>
    <w:qFormat/>
    <w:rsid w:val="003F1363"/>
    <w:rPr>
      <w:rFonts w:asciiTheme="minorHAnsi" w:hAnsiTheme="minorHAnsi"/>
      <w:sz w:val="24"/>
      <w:lang w:val="en-GB" w:eastAsia="en-US"/>
    </w:rPr>
  </w:style>
  <w:style w:type="character" w:styleId="FollowedHyperlink">
    <w:name w:val="FollowedHyperlink"/>
    <w:basedOn w:val="DefaultParagraphFont"/>
    <w:semiHidden/>
    <w:unhideWhenUsed/>
    <w:rsid w:val="00412C81"/>
    <w:rPr>
      <w:color w:val="800080" w:themeColor="followedHyperlink"/>
      <w:u w:val="single"/>
    </w:rPr>
  </w:style>
  <w:style w:type="paragraph" w:customStyle="1" w:styleId="Default">
    <w:name w:val="Default"/>
    <w:rsid w:val="00DB4598"/>
    <w:pPr>
      <w:autoSpaceDE w:val="0"/>
      <w:autoSpaceDN w:val="0"/>
      <w:adjustRightInd w:val="0"/>
    </w:pPr>
    <w:rPr>
      <w:rFonts w:ascii="Verdana" w:hAnsi="Verdana" w:cs="Verdana"/>
      <w:color w:val="000000"/>
      <w:sz w:val="24"/>
      <w:szCs w:val="24"/>
      <w:lang w:val="en-GB"/>
    </w:rPr>
  </w:style>
  <w:style w:type="paragraph" w:customStyle="1" w:styleId="CEOcontributionStart">
    <w:name w:val="CEO_contributionStart"/>
    <w:basedOn w:val="Normal"/>
    <w:rsid w:val="003C1870"/>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styleId="CommentReference">
    <w:name w:val="annotation reference"/>
    <w:basedOn w:val="DefaultParagraphFont"/>
    <w:semiHidden/>
    <w:unhideWhenUsed/>
    <w:rsid w:val="006747D8"/>
    <w:rPr>
      <w:sz w:val="16"/>
      <w:szCs w:val="16"/>
    </w:rPr>
  </w:style>
  <w:style w:type="paragraph" w:styleId="CommentText">
    <w:name w:val="annotation text"/>
    <w:basedOn w:val="Normal"/>
    <w:link w:val="CommentTextChar"/>
    <w:unhideWhenUsed/>
    <w:rsid w:val="006747D8"/>
    <w:rPr>
      <w:sz w:val="20"/>
    </w:rPr>
  </w:style>
  <w:style w:type="character" w:customStyle="1" w:styleId="CommentTextChar">
    <w:name w:val="Comment Text Char"/>
    <w:basedOn w:val="DefaultParagraphFont"/>
    <w:link w:val="CommentText"/>
    <w:rsid w:val="006747D8"/>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6747D8"/>
    <w:rPr>
      <w:b/>
      <w:bCs/>
    </w:rPr>
  </w:style>
  <w:style w:type="character" w:customStyle="1" w:styleId="CommentSubjectChar">
    <w:name w:val="Comment Subject Char"/>
    <w:basedOn w:val="CommentTextChar"/>
    <w:link w:val="CommentSubject"/>
    <w:semiHidden/>
    <w:rsid w:val="006747D8"/>
    <w:rPr>
      <w:rFonts w:asciiTheme="minorHAnsi" w:hAnsiTheme="minorHAnsi"/>
      <w:b/>
      <w:bCs/>
      <w:lang w:val="en-GB" w:eastAsia="en-US"/>
    </w:rPr>
  </w:style>
  <w:style w:type="paragraph" w:styleId="Revision">
    <w:name w:val="Revision"/>
    <w:hidden/>
    <w:uiPriority w:val="99"/>
    <w:semiHidden/>
    <w:rsid w:val="006747D8"/>
    <w:rPr>
      <w:rFonts w:asciiTheme="minorHAnsi" w:hAnsiTheme="minorHAnsi"/>
      <w:sz w:val="24"/>
      <w:lang w:val="en-GB" w:eastAsia="en-US"/>
    </w:rPr>
  </w:style>
  <w:style w:type="character" w:customStyle="1" w:styleId="UnresolvedMention1">
    <w:name w:val="Unresolved Mention1"/>
    <w:basedOn w:val="DefaultParagraphFont"/>
    <w:uiPriority w:val="99"/>
    <w:semiHidden/>
    <w:unhideWhenUsed/>
    <w:rsid w:val="006449A5"/>
    <w:rPr>
      <w:color w:val="605E5C"/>
      <w:shd w:val="clear" w:color="auto" w:fill="E1DFDD"/>
    </w:rPr>
  </w:style>
  <w:style w:type="paragraph" w:customStyle="1" w:styleId="CEOAgendaItemN">
    <w:name w:val="CEO_AgendaItemN°"/>
    <w:basedOn w:val="Normal"/>
    <w:rsid w:val="00BF4F16"/>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character" w:customStyle="1" w:styleId="enumlev1Char">
    <w:name w:val="enumlev1 Char"/>
    <w:link w:val="enumlev1"/>
    <w:qFormat/>
    <w:rsid w:val="00A62F73"/>
    <w:rPr>
      <w:rFonts w:asciiTheme="minorHAnsi" w:hAnsiTheme="minorHAnsi"/>
      <w:sz w:val="24"/>
      <w:lang w:val="en-GB" w:eastAsia="en-US"/>
    </w:rPr>
  </w:style>
  <w:style w:type="character" w:customStyle="1" w:styleId="UnresolvedMention2">
    <w:name w:val="Unresolved Mention2"/>
    <w:basedOn w:val="DefaultParagraphFont"/>
    <w:uiPriority w:val="99"/>
    <w:semiHidden/>
    <w:unhideWhenUsed/>
    <w:rsid w:val="00B7345F"/>
    <w:rPr>
      <w:color w:val="605E5C"/>
      <w:shd w:val="clear" w:color="auto" w:fill="E1DFDD"/>
    </w:rPr>
  </w:style>
  <w:style w:type="paragraph" w:styleId="HTMLPreformatted">
    <w:name w:val="HTML Preformatted"/>
    <w:basedOn w:val="Normal"/>
    <w:link w:val="HTMLPreformattedChar"/>
    <w:uiPriority w:val="99"/>
    <w:unhideWhenUsed/>
    <w:qFormat/>
    <w:rsid w:val="00636181"/>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GulimChe" w:eastAsia="GulimChe" w:hAnsi="GulimChe"/>
      <w:szCs w:val="24"/>
      <w:lang w:val="zh-CN" w:eastAsia="zh-CN"/>
    </w:rPr>
  </w:style>
  <w:style w:type="character" w:customStyle="1" w:styleId="HTMLPreformattedChar">
    <w:name w:val="HTML Preformatted Char"/>
    <w:basedOn w:val="DefaultParagraphFont"/>
    <w:link w:val="HTMLPreformatted"/>
    <w:uiPriority w:val="99"/>
    <w:qFormat/>
    <w:rsid w:val="00636181"/>
    <w:rPr>
      <w:rFonts w:ascii="GulimChe" w:eastAsia="GulimChe" w:hAnsi="GulimChe"/>
      <w:sz w:val="24"/>
      <w:szCs w:val="24"/>
      <w:lang w:val="zh-CN"/>
    </w:rPr>
  </w:style>
  <w:style w:type="character" w:styleId="UnresolvedMention">
    <w:name w:val="Unresolved Mention"/>
    <w:basedOn w:val="DefaultParagraphFont"/>
    <w:uiPriority w:val="99"/>
    <w:semiHidden/>
    <w:unhideWhenUsed/>
    <w:rsid w:val="00D10D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06998">
      <w:bodyDiv w:val="1"/>
      <w:marLeft w:val="0"/>
      <w:marRight w:val="0"/>
      <w:marTop w:val="0"/>
      <w:marBottom w:val="0"/>
      <w:divBdr>
        <w:top w:val="none" w:sz="0" w:space="0" w:color="auto"/>
        <w:left w:val="none" w:sz="0" w:space="0" w:color="auto"/>
        <w:bottom w:val="none" w:sz="0" w:space="0" w:color="auto"/>
        <w:right w:val="none" w:sz="0" w:space="0" w:color="auto"/>
      </w:divBdr>
    </w:div>
    <w:div w:id="297612129">
      <w:bodyDiv w:val="1"/>
      <w:marLeft w:val="0"/>
      <w:marRight w:val="0"/>
      <w:marTop w:val="0"/>
      <w:marBottom w:val="0"/>
      <w:divBdr>
        <w:top w:val="none" w:sz="0" w:space="0" w:color="auto"/>
        <w:left w:val="none" w:sz="0" w:space="0" w:color="auto"/>
        <w:bottom w:val="none" w:sz="0" w:space="0" w:color="auto"/>
        <w:right w:val="none" w:sz="0" w:space="0" w:color="auto"/>
      </w:divBdr>
    </w:div>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452552559">
      <w:bodyDiv w:val="1"/>
      <w:marLeft w:val="0"/>
      <w:marRight w:val="0"/>
      <w:marTop w:val="0"/>
      <w:marBottom w:val="0"/>
      <w:divBdr>
        <w:top w:val="none" w:sz="0" w:space="0" w:color="auto"/>
        <w:left w:val="none" w:sz="0" w:space="0" w:color="auto"/>
        <w:bottom w:val="none" w:sz="0" w:space="0" w:color="auto"/>
        <w:right w:val="none" w:sz="0" w:space="0" w:color="auto"/>
      </w:divBdr>
    </w:div>
    <w:div w:id="452796831">
      <w:bodyDiv w:val="1"/>
      <w:marLeft w:val="0"/>
      <w:marRight w:val="0"/>
      <w:marTop w:val="0"/>
      <w:marBottom w:val="0"/>
      <w:divBdr>
        <w:top w:val="none" w:sz="0" w:space="0" w:color="auto"/>
        <w:left w:val="none" w:sz="0" w:space="0" w:color="auto"/>
        <w:bottom w:val="none" w:sz="0" w:space="0" w:color="auto"/>
        <w:right w:val="none" w:sz="0" w:space="0" w:color="auto"/>
      </w:divBdr>
    </w:div>
    <w:div w:id="667026217">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633516485">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 w:id="2000844044">
      <w:bodyDiv w:val="1"/>
      <w:marLeft w:val="0"/>
      <w:marRight w:val="0"/>
      <w:marTop w:val="0"/>
      <w:marBottom w:val="0"/>
      <w:divBdr>
        <w:top w:val="none" w:sz="0" w:space="0" w:color="auto"/>
        <w:left w:val="none" w:sz="0" w:space="0" w:color="auto"/>
        <w:bottom w:val="none" w:sz="0" w:space="0" w:color="auto"/>
        <w:right w:val="none" w:sz="0" w:space="0" w:color="auto"/>
      </w:divBdr>
    </w:div>
    <w:div w:id="210884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D22-WTDC25-C-0016/es" TargetMode="External"/><Relationship Id="rId18" Type="http://schemas.openxmlformats.org/officeDocument/2006/relationships/hyperlink" Target="https://www.itu.int/md/D26-TDAG33-C-0002/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itu.int/en/council/Documents/basic-texts-2023/RES-030-S.pdf" TargetMode="External"/><Relationship Id="rId17" Type="http://schemas.openxmlformats.org/officeDocument/2006/relationships/hyperlink" Target="https://www.itu.int/itu-d/meetings/wtdc25/wp-content/uploads/sites/29/2025/11/090-E.pdf" TargetMode="External"/><Relationship Id="rId2" Type="http://schemas.openxmlformats.org/officeDocument/2006/relationships/customXml" Target="../customXml/item2.xml"/><Relationship Id="rId16" Type="http://schemas.openxmlformats.org/officeDocument/2006/relationships/hyperlink" Target="https://view.officeapps.live.com/op/view.aspx?src=https%3A%2F%2Fwww.itu.int%2Fdms_pub%2Fitu-d%2Fmd%2F22%2Fwtdc25%2Fc%2FD22-WTDC25-C-0016!R1!MSW-S.docx&amp;wdOrigin=BROWSELI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view.officeapps.live.com/op/view.aspx?src=https%3A%2F%2Fwww.itu.int%2Fdms_pub%2Fitu-d%2Fmd%2F22%2Fwtdc25%2Fc%2FD22-WTDC25-C-0016!R1!MSW-S.docx&amp;wdOrigin=BROWSELIN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itu.int/md/D26-TDAG33-C-0008/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D22-WTDC25-C-0002/e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tu.int/itu-d/sites/projects/home/projects/" TargetMode="External"/><Relationship Id="rId1" Type="http://schemas.openxmlformats.org/officeDocument/2006/relationships/hyperlink" Target="https://www.itu.int/itu-d/sites/projects/home/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12A876-AB41-4784-9C7F-CAA56FAF5040}">
  <ds:schemaRefs>
    <ds:schemaRef ds:uri="http://schemas.openxmlformats.org/officeDocument/2006/bibliography"/>
  </ds:schemaRefs>
</ds:datastoreItem>
</file>

<file path=customXml/itemProps2.xml><?xml version="1.0" encoding="utf-8"?>
<ds:datastoreItem xmlns:ds="http://schemas.openxmlformats.org/officeDocument/2006/customXml" ds:itemID="{8A7C67D6-CEFE-4AFE-8EC3-4585BFEF5BAE}">
  <ds:schemaRefs>
    <ds:schemaRef ds:uri="http://schemas.microsoft.com/office/infopath/2007/PartnerControls"/>
    <ds:schemaRef ds:uri="http://www.w3.org/XML/1998/namespace"/>
    <ds:schemaRef ds:uri="http://schemas.microsoft.com/office/2006/metadata/properties"/>
    <ds:schemaRef ds:uri="29399490-13b9-4c73-b71e-403b715b75a7"/>
    <ds:schemaRef ds:uri="http://schemas.openxmlformats.org/package/2006/metadata/core-properties"/>
    <ds:schemaRef ds:uri="http://purl.org/dc/dcmitype/"/>
    <ds:schemaRef ds:uri="http://schemas.microsoft.com/office/2006/documentManagement/types"/>
    <ds:schemaRef ds:uri="http://purl.org/dc/terms/"/>
    <ds:schemaRef ds:uri="http://purl.org/dc/elements/1.1/"/>
    <ds:schemaRef ds:uri="d4ea696a-cca3-460b-a983-57ac2621983a"/>
  </ds:schemaRefs>
</ds:datastoreItem>
</file>

<file path=customXml/itemProps3.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4.xml><?xml version="1.0" encoding="utf-8"?>
<ds:datastoreItem xmlns:ds="http://schemas.openxmlformats.org/officeDocument/2006/customXml" ds:itemID="{8BE38F01-714C-463B-9700-C16DFC2B9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15</Pages>
  <Words>6981</Words>
  <Characters>38977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45867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Manias, Michel</dc:creator>
  <cp:lastModifiedBy>Spanish</cp:lastModifiedBy>
  <cp:revision>22</cp:revision>
  <cp:lastPrinted>2019-01-16T07:57:00Z</cp:lastPrinted>
  <dcterms:created xsi:type="dcterms:W3CDTF">2026-03-13T10:03:00Z</dcterms:created>
  <dcterms:modified xsi:type="dcterms:W3CDTF">2026-03-13T14:59:00Z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0x0101000421F7F6C5263B4B928A068E40912AB8</vt:lpwstr>
  </property>
  <property fmtid="{D5CDD505-2E9C-101B-9397-08002B2CF9AE}" pid="10" name="_dlc_DocIdItemGuid">
    <vt:lpwstr>1277586e-23f4-4a9c-8b22-c68c4fc349db</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vt:lpwstr>
  </property>
  <property fmtid="{D5CDD505-2E9C-101B-9397-08002B2CF9AE}" pid="13" name="Mendeley Recent Style Id 1_1">
    <vt:lpwstr>http://www.zotero.org/styles/american-political-science-association</vt:lpwstr>
  </property>
  <property fmtid="{D5CDD505-2E9C-101B-9397-08002B2CF9AE}" pid="14" name="Mendeley Recent Style Name 1_1">
    <vt:lpwstr>American Political Science Association</vt:lpwstr>
  </property>
  <property fmtid="{D5CDD505-2E9C-101B-9397-08002B2CF9AE}" pid="15" name="Mendeley Recent Style Id 2_1">
    <vt:lpwstr>http://www.zotero.org/styles/apa</vt:lpwstr>
  </property>
  <property fmtid="{D5CDD505-2E9C-101B-9397-08002B2CF9AE}" pid="16" name="Mendeley Recent Style Name 2_1">
    <vt:lpwstr>American Psychological Association 6th edition</vt:lpwstr>
  </property>
  <property fmtid="{D5CDD505-2E9C-101B-9397-08002B2CF9AE}" pid="17" name="Mendeley Recent Style Id 3_1">
    <vt:lpwstr>http://www.zotero.org/styles/american-sociological-association</vt:lpwstr>
  </property>
  <property fmtid="{D5CDD505-2E9C-101B-9397-08002B2CF9AE}" pid="18" name="Mendeley Recent Style Name 3_1">
    <vt:lpwstr>American Sociological Association</vt:lpwstr>
  </property>
  <property fmtid="{D5CDD505-2E9C-101B-9397-08002B2CF9AE}" pid="19" name="Mendeley Recent Style Id 4_1">
    <vt:lpwstr>http://www.zotero.org/styles/chicago-author-date</vt:lpwstr>
  </property>
  <property fmtid="{D5CDD505-2E9C-101B-9397-08002B2CF9AE}" pid="20" name="Mendeley Recent Style Name 4_1">
    <vt:lpwstr>Chicago Manual of Style 16th edition (author-date)</vt:lpwstr>
  </property>
  <property fmtid="{D5CDD505-2E9C-101B-9397-08002B2CF9AE}" pid="21" name="Mendeley Recent Style Id 5_1">
    <vt:lpwstr>http://www.zotero.org/styles/harvard1</vt:lpwstr>
  </property>
  <property fmtid="{D5CDD505-2E9C-101B-9397-08002B2CF9AE}" pid="22" name="Mendeley Recent Style Name 5_1">
    <vt:lpwstr>Harvard Reference format 1 (author-date)</vt:lpwstr>
  </property>
  <property fmtid="{D5CDD505-2E9C-101B-9397-08002B2CF9AE}" pid="23" name="Mendeley Recent Style Id 6_1">
    <vt:lpwstr>http://www.zotero.org/styles/ieee</vt:lpwstr>
  </property>
  <property fmtid="{D5CDD505-2E9C-101B-9397-08002B2CF9AE}" pid="24" name="Mendeley Recent Style Name 6_1">
    <vt:lpwstr>IEEE</vt:lpwstr>
  </property>
  <property fmtid="{D5CDD505-2E9C-101B-9397-08002B2CF9AE}" pid="25" name="Mendeley Recent Style Id 7_1">
    <vt:lpwstr>http://www.zotero.org/styles/modern-humanities-research-association</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Id 8_1">
    <vt:lpwstr>http://www.zotero.org/styles/modern-language-association</vt:lpwstr>
  </property>
  <property fmtid="{D5CDD505-2E9C-101B-9397-08002B2CF9AE}" pid="28" name="Mendeley Recent Style Name 8_1">
    <vt:lpwstr>Modern Language Association 7th edition</vt:lpwstr>
  </property>
  <property fmtid="{D5CDD505-2E9C-101B-9397-08002B2CF9AE}" pid="29" name="Mendeley Recent Style Id 9_1">
    <vt:lpwstr>http://www.zotero.org/styles/nature</vt:lpwstr>
  </property>
  <property fmtid="{D5CDD505-2E9C-101B-9397-08002B2CF9AE}" pid="30" name="Mendeley Recent Style Name 9_1">
    <vt:lpwstr>Nature</vt:lpwstr>
  </property>
  <property fmtid="{D5CDD505-2E9C-101B-9397-08002B2CF9AE}" pid="31" name="MediaServiceImageTags">
    <vt:lpwstr/>
  </property>
  <property fmtid="{D5CDD505-2E9C-101B-9397-08002B2CF9AE}" pid="32" name="docLang">
    <vt:lpwstr>en</vt:lpwstr>
  </property>
</Properties>
</file>