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1" w:rightFromText="181" w:horzAnchor="margin" w:tblpY="-492"/>
        <w:tblW w:w="10031" w:type="dxa"/>
        <w:tblLayout w:type="fixed"/>
        <w:tblLook w:val="0000" w:firstRow="0" w:lastRow="0" w:firstColumn="0" w:lastColumn="0" w:noHBand="0" w:noVBand="0"/>
      </w:tblPr>
      <w:tblGrid>
        <w:gridCol w:w="6663"/>
        <w:gridCol w:w="3368"/>
      </w:tblGrid>
      <w:tr w:rsidR="00294BF6" w:rsidRPr="00087C0D" w14:paraId="50B216AA" w14:textId="77777777" w:rsidTr="005C3173">
        <w:trPr>
          <w:cantSplit/>
          <w:trHeight w:val="1134"/>
        </w:trPr>
        <w:tc>
          <w:tcPr>
            <w:tcW w:w="6663" w:type="dxa"/>
          </w:tcPr>
          <w:p w14:paraId="6ABA2AC3" w14:textId="77777777" w:rsidR="00294BF6" w:rsidRPr="00087C0D" w:rsidRDefault="00025801" w:rsidP="00294BF6">
            <w:pPr>
              <w:ind w:left="34"/>
              <w:rPr>
                <w:b/>
                <w:bCs/>
                <w:sz w:val="32"/>
                <w:szCs w:val="32"/>
                <w:lang w:val="es-ES"/>
              </w:rPr>
            </w:pPr>
            <w:r w:rsidRPr="00087C0D">
              <w:rPr>
                <w:b/>
                <w:bCs/>
                <w:sz w:val="32"/>
                <w:szCs w:val="32"/>
                <w:lang w:val="es-ES"/>
              </w:rPr>
              <w:t>Grupo Asesor de Desarrollo de las</w:t>
            </w:r>
            <w:r w:rsidRPr="00087C0D">
              <w:rPr>
                <w:b/>
                <w:bCs/>
                <w:sz w:val="32"/>
                <w:szCs w:val="32"/>
                <w:lang w:val="es-ES"/>
              </w:rPr>
              <w:br/>
              <w:t>Telecomunicaciones</w:t>
            </w:r>
            <w:r w:rsidR="00294BF6" w:rsidRPr="00087C0D">
              <w:rPr>
                <w:b/>
                <w:bCs/>
                <w:sz w:val="32"/>
                <w:szCs w:val="32"/>
                <w:lang w:val="es-ES"/>
              </w:rPr>
              <w:t xml:space="preserve"> (</w:t>
            </w:r>
            <w:r w:rsidRPr="00087C0D">
              <w:rPr>
                <w:b/>
                <w:bCs/>
                <w:sz w:val="32"/>
                <w:szCs w:val="32"/>
                <w:lang w:val="es-ES"/>
              </w:rPr>
              <w:t>GADT</w:t>
            </w:r>
            <w:r w:rsidR="00294BF6" w:rsidRPr="00087C0D">
              <w:rPr>
                <w:b/>
                <w:bCs/>
                <w:sz w:val="32"/>
                <w:szCs w:val="32"/>
                <w:lang w:val="es-ES"/>
              </w:rPr>
              <w:t>)</w:t>
            </w:r>
          </w:p>
          <w:p w14:paraId="03077367" w14:textId="77777777" w:rsidR="00294BF6" w:rsidRPr="00087C0D" w:rsidRDefault="006A7603" w:rsidP="00426222">
            <w:pPr>
              <w:tabs>
                <w:tab w:val="clear" w:pos="1134"/>
              </w:tabs>
              <w:spacing w:after="48" w:line="240" w:lineRule="atLeast"/>
              <w:ind w:left="34"/>
              <w:rPr>
                <w:b/>
                <w:bCs/>
                <w:sz w:val="26"/>
                <w:szCs w:val="26"/>
                <w:lang w:val="es-ES"/>
              </w:rPr>
            </w:pPr>
            <w:r w:rsidRPr="00087C0D">
              <w:rPr>
                <w:b/>
                <w:bCs/>
                <w:sz w:val="26"/>
                <w:szCs w:val="26"/>
                <w:lang w:val="es-ES"/>
              </w:rPr>
              <w:t>33</w:t>
            </w:r>
            <w:r w:rsidR="00B06557" w:rsidRPr="00087C0D">
              <w:rPr>
                <w:b/>
                <w:bCs/>
                <w:sz w:val="26"/>
                <w:szCs w:val="26"/>
                <w:lang w:val="es-ES"/>
              </w:rPr>
              <w:t>.</w:t>
            </w:r>
            <w:r w:rsidRPr="00087C0D">
              <w:rPr>
                <w:b/>
                <w:bCs/>
                <w:sz w:val="26"/>
                <w:szCs w:val="26"/>
                <w:lang w:val="es-ES"/>
              </w:rPr>
              <w:t>ª reunión</w:t>
            </w:r>
            <w:r w:rsidR="00294BF6" w:rsidRPr="00087C0D">
              <w:rPr>
                <w:b/>
                <w:bCs/>
                <w:sz w:val="26"/>
                <w:szCs w:val="26"/>
                <w:lang w:val="es-ES"/>
              </w:rPr>
              <w:t>, G</w:t>
            </w:r>
            <w:r w:rsidRPr="00087C0D">
              <w:rPr>
                <w:b/>
                <w:bCs/>
                <w:sz w:val="26"/>
                <w:szCs w:val="26"/>
                <w:lang w:val="es-ES"/>
              </w:rPr>
              <w:t>inebra</w:t>
            </w:r>
            <w:r w:rsidR="00426222" w:rsidRPr="00087C0D">
              <w:rPr>
                <w:b/>
                <w:bCs/>
                <w:sz w:val="26"/>
                <w:szCs w:val="26"/>
                <w:lang w:val="es-ES"/>
              </w:rPr>
              <w:t xml:space="preserve"> </w:t>
            </w:r>
            <w:r w:rsidR="00B06557" w:rsidRPr="00087C0D">
              <w:rPr>
                <w:b/>
                <w:bCs/>
                <w:sz w:val="26"/>
                <w:szCs w:val="26"/>
                <w:lang w:val="es-ES"/>
              </w:rPr>
              <w:t>(</w:t>
            </w:r>
            <w:r w:rsidRPr="00087C0D">
              <w:rPr>
                <w:b/>
                <w:bCs/>
                <w:sz w:val="26"/>
                <w:szCs w:val="26"/>
                <w:lang w:val="es-ES"/>
              </w:rPr>
              <w:t>Suiza</w:t>
            </w:r>
            <w:r w:rsidR="00B06557" w:rsidRPr="00087C0D">
              <w:rPr>
                <w:b/>
                <w:bCs/>
                <w:sz w:val="26"/>
                <w:szCs w:val="26"/>
                <w:lang w:val="es-ES"/>
              </w:rPr>
              <w:t>)</w:t>
            </w:r>
            <w:r w:rsidR="00294BF6" w:rsidRPr="00087C0D">
              <w:rPr>
                <w:b/>
                <w:bCs/>
                <w:sz w:val="26"/>
                <w:szCs w:val="26"/>
                <w:lang w:val="es-ES"/>
              </w:rPr>
              <w:t xml:space="preserve">, </w:t>
            </w:r>
            <w:r w:rsidR="00EF4D25" w:rsidRPr="00087C0D">
              <w:rPr>
                <w:b/>
                <w:bCs/>
                <w:sz w:val="26"/>
                <w:szCs w:val="26"/>
                <w:lang w:val="es-ES"/>
              </w:rPr>
              <w:t>7</w:t>
            </w:r>
            <w:r w:rsidR="00294BF6" w:rsidRPr="00087C0D">
              <w:rPr>
                <w:b/>
                <w:bCs/>
                <w:sz w:val="26"/>
                <w:szCs w:val="26"/>
                <w:lang w:val="es-ES"/>
              </w:rPr>
              <w:t>-</w:t>
            </w:r>
            <w:r w:rsidR="00EF4D25" w:rsidRPr="00087C0D">
              <w:rPr>
                <w:b/>
                <w:bCs/>
                <w:sz w:val="26"/>
                <w:szCs w:val="26"/>
                <w:lang w:val="es-ES"/>
              </w:rPr>
              <w:t>10</w:t>
            </w:r>
            <w:r w:rsidR="00294BF6" w:rsidRPr="00087C0D">
              <w:rPr>
                <w:b/>
                <w:bCs/>
                <w:sz w:val="26"/>
                <w:szCs w:val="26"/>
                <w:lang w:val="es-ES"/>
              </w:rPr>
              <w:t xml:space="preserve"> </w:t>
            </w:r>
            <w:r w:rsidRPr="00087C0D">
              <w:rPr>
                <w:b/>
                <w:bCs/>
                <w:sz w:val="26"/>
                <w:szCs w:val="26"/>
                <w:lang w:val="es-ES"/>
              </w:rPr>
              <w:t>de abril de 2026</w:t>
            </w:r>
          </w:p>
        </w:tc>
        <w:tc>
          <w:tcPr>
            <w:tcW w:w="3368" w:type="dxa"/>
          </w:tcPr>
          <w:p w14:paraId="4FE2F3DC" w14:textId="77777777" w:rsidR="00294BF6" w:rsidRPr="00087C0D" w:rsidRDefault="00294BF6" w:rsidP="00294BF6">
            <w:pPr>
              <w:spacing w:line="240" w:lineRule="atLeast"/>
              <w:jc w:val="right"/>
              <w:rPr>
                <w:rFonts w:cstheme="minorHAnsi"/>
                <w:lang w:val="es-ES"/>
              </w:rPr>
            </w:pPr>
            <w:bookmarkStart w:id="0" w:name="ditulogo"/>
            <w:bookmarkEnd w:id="0"/>
            <w:r w:rsidRPr="00087C0D">
              <w:rPr>
                <w:noProof/>
                <w:lang w:val="es-ES" w:eastAsia="fr-FR"/>
              </w:rPr>
              <w:drawing>
                <wp:inline distT="0" distB="0" distL="0" distR="0" wp14:anchorId="300B09AA" wp14:editId="327E7CA6">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D83BF5" w:rsidRPr="00087C0D" w14:paraId="7BD14629" w14:textId="77777777" w:rsidTr="005C3173">
        <w:trPr>
          <w:cantSplit/>
        </w:trPr>
        <w:tc>
          <w:tcPr>
            <w:tcW w:w="6663" w:type="dxa"/>
            <w:tcBorders>
              <w:top w:val="single" w:sz="12" w:space="0" w:color="auto"/>
            </w:tcBorders>
          </w:tcPr>
          <w:p w14:paraId="5B1C5D22" w14:textId="77777777" w:rsidR="00D83BF5" w:rsidRPr="00087C0D" w:rsidRDefault="00D83BF5" w:rsidP="00B06557">
            <w:pPr>
              <w:spacing w:before="0"/>
              <w:rPr>
                <w:lang w:val="es-ES"/>
              </w:rPr>
            </w:pPr>
            <w:bookmarkStart w:id="1" w:name="dhead"/>
          </w:p>
        </w:tc>
        <w:tc>
          <w:tcPr>
            <w:tcW w:w="3368" w:type="dxa"/>
            <w:tcBorders>
              <w:top w:val="single" w:sz="12" w:space="0" w:color="auto"/>
            </w:tcBorders>
          </w:tcPr>
          <w:p w14:paraId="6A2DD856" w14:textId="77777777" w:rsidR="00D83BF5" w:rsidRPr="00087C0D" w:rsidRDefault="00D83BF5" w:rsidP="00B06557">
            <w:pPr>
              <w:spacing w:before="0"/>
              <w:rPr>
                <w:lang w:val="es-ES"/>
              </w:rPr>
            </w:pPr>
          </w:p>
        </w:tc>
      </w:tr>
      <w:tr w:rsidR="00D87035" w:rsidRPr="00087C0D" w14:paraId="5F07DAFB" w14:textId="77777777" w:rsidTr="005C3173">
        <w:trPr>
          <w:cantSplit/>
          <w:trHeight w:val="23"/>
        </w:trPr>
        <w:tc>
          <w:tcPr>
            <w:tcW w:w="6663" w:type="dxa"/>
          </w:tcPr>
          <w:p w14:paraId="267D9AD1" w14:textId="77777777" w:rsidR="00D87035" w:rsidRPr="00087C0D" w:rsidRDefault="00D87035" w:rsidP="00403C69">
            <w:pPr>
              <w:pStyle w:val="Committee"/>
              <w:framePr w:hSpace="0" w:wrap="auto" w:hAnchor="text" w:yAlign="inline"/>
              <w:rPr>
                <w:lang w:val="es-ES"/>
              </w:rPr>
            </w:pPr>
            <w:bookmarkStart w:id="2" w:name="dnum" w:colFirst="1" w:colLast="1"/>
            <w:bookmarkStart w:id="3" w:name="dmeeting" w:colFirst="0" w:colLast="0"/>
            <w:bookmarkEnd w:id="1"/>
          </w:p>
        </w:tc>
        <w:tc>
          <w:tcPr>
            <w:tcW w:w="3368" w:type="dxa"/>
          </w:tcPr>
          <w:p w14:paraId="3BA90A95" w14:textId="6B9D1757" w:rsidR="00D87035" w:rsidRPr="00087C0D" w:rsidRDefault="00D87035" w:rsidP="00403C69">
            <w:pPr>
              <w:tabs>
                <w:tab w:val="left" w:pos="851"/>
              </w:tabs>
              <w:spacing w:before="0" w:line="240" w:lineRule="atLeast"/>
              <w:rPr>
                <w:rFonts w:cstheme="minorHAnsi"/>
                <w:szCs w:val="24"/>
                <w:lang w:val="es-ES"/>
              </w:rPr>
            </w:pPr>
            <w:r w:rsidRPr="00087C0D">
              <w:rPr>
                <w:b/>
                <w:bCs/>
                <w:lang w:val="es-ES"/>
              </w:rPr>
              <w:t>Document</w:t>
            </w:r>
            <w:bookmarkStart w:id="4" w:name="DocRef1"/>
            <w:bookmarkEnd w:id="4"/>
            <w:r w:rsidR="006A7603" w:rsidRPr="00087C0D">
              <w:rPr>
                <w:b/>
                <w:bCs/>
                <w:lang w:val="es-ES"/>
              </w:rPr>
              <w:t>o</w:t>
            </w:r>
            <w:r w:rsidR="001A2AB4" w:rsidRPr="00087C0D">
              <w:rPr>
                <w:b/>
                <w:bCs/>
                <w:lang w:val="es-ES"/>
              </w:rPr>
              <w:t xml:space="preserve"> </w:t>
            </w:r>
            <w:r w:rsidRPr="00087C0D">
              <w:rPr>
                <w:b/>
                <w:bCs/>
                <w:lang w:val="es-ES"/>
              </w:rPr>
              <w:t>TDAG-</w:t>
            </w:r>
            <w:r w:rsidR="00523934" w:rsidRPr="00087C0D">
              <w:rPr>
                <w:b/>
                <w:bCs/>
                <w:lang w:val="es-ES"/>
              </w:rPr>
              <w:t>2</w:t>
            </w:r>
            <w:r w:rsidR="00EF4D25" w:rsidRPr="00087C0D">
              <w:rPr>
                <w:b/>
                <w:bCs/>
                <w:lang w:val="es-ES"/>
              </w:rPr>
              <w:t>6</w:t>
            </w:r>
            <w:r w:rsidRPr="00087C0D">
              <w:rPr>
                <w:b/>
                <w:bCs/>
                <w:lang w:val="es-ES"/>
              </w:rPr>
              <w:t>/</w:t>
            </w:r>
            <w:bookmarkStart w:id="5" w:name="DocNo1"/>
            <w:bookmarkEnd w:id="5"/>
            <w:r w:rsidR="007F4F86" w:rsidRPr="00087C0D">
              <w:rPr>
                <w:b/>
                <w:bCs/>
                <w:lang w:val="es-ES"/>
              </w:rPr>
              <w:t>21</w:t>
            </w:r>
            <w:r w:rsidRPr="00087C0D">
              <w:rPr>
                <w:b/>
                <w:bCs/>
                <w:lang w:val="es-ES"/>
              </w:rPr>
              <w:t>-</w:t>
            </w:r>
            <w:r w:rsidR="001A2AB4" w:rsidRPr="00087C0D">
              <w:rPr>
                <w:b/>
                <w:bCs/>
                <w:lang w:val="es-ES"/>
              </w:rPr>
              <w:t>S</w:t>
            </w:r>
          </w:p>
        </w:tc>
      </w:tr>
      <w:tr w:rsidR="00D87035" w:rsidRPr="00087C0D" w14:paraId="3A081940" w14:textId="77777777" w:rsidTr="005C3173">
        <w:trPr>
          <w:cantSplit/>
          <w:trHeight w:val="23"/>
        </w:trPr>
        <w:tc>
          <w:tcPr>
            <w:tcW w:w="6663" w:type="dxa"/>
          </w:tcPr>
          <w:p w14:paraId="4B68BBC1" w14:textId="77777777" w:rsidR="00D87035" w:rsidRPr="00087C0D" w:rsidRDefault="00D87035" w:rsidP="00B06557">
            <w:pPr>
              <w:spacing w:before="0"/>
              <w:rPr>
                <w:lang w:val="es-ES"/>
              </w:rPr>
            </w:pPr>
            <w:bookmarkStart w:id="6" w:name="ddate" w:colFirst="1" w:colLast="1"/>
            <w:bookmarkStart w:id="7" w:name="dblank" w:colFirst="0" w:colLast="0"/>
            <w:bookmarkEnd w:id="2"/>
            <w:bookmarkEnd w:id="3"/>
          </w:p>
        </w:tc>
        <w:tc>
          <w:tcPr>
            <w:tcW w:w="3368" w:type="dxa"/>
          </w:tcPr>
          <w:p w14:paraId="0BF7BC86" w14:textId="4A7C820C" w:rsidR="00D87035" w:rsidRPr="00087C0D" w:rsidRDefault="007F4F86" w:rsidP="00B06557">
            <w:pPr>
              <w:tabs>
                <w:tab w:val="left" w:pos="851"/>
              </w:tabs>
              <w:spacing w:before="0" w:line="240" w:lineRule="atLeast"/>
              <w:rPr>
                <w:rFonts w:cstheme="minorHAnsi"/>
                <w:szCs w:val="24"/>
                <w:lang w:val="es-ES"/>
              </w:rPr>
            </w:pPr>
            <w:r w:rsidRPr="00087C0D">
              <w:rPr>
                <w:b/>
                <w:bCs/>
                <w:lang w:val="es-ES"/>
              </w:rPr>
              <w:t>3 de marzo de 2026</w:t>
            </w:r>
          </w:p>
        </w:tc>
      </w:tr>
      <w:bookmarkEnd w:id="6"/>
      <w:bookmarkEnd w:id="7"/>
      <w:tr w:rsidR="00D87035" w:rsidRPr="00087C0D" w14:paraId="25522E2C" w14:textId="77777777" w:rsidTr="005C3173">
        <w:trPr>
          <w:cantSplit/>
          <w:trHeight w:val="23"/>
        </w:trPr>
        <w:tc>
          <w:tcPr>
            <w:tcW w:w="6663" w:type="dxa"/>
          </w:tcPr>
          <w:p w14:paraId="63BD8B68" w14:textId="77777777" w:rsidR="00D87035" w:rsidRPr="00087C0D" w:rsidRDefault="00D87035" w:rsidP="00B06557">
            <w:pPr>
              <w:spacing w:before="0"/>
              <w:rPr>
                <w:lang w:val="es-ES"/>
              </w:rPr>
            </w:pPr>
          </w:p>
        </w:tc>
        <w:tc>
          <w:tcPr>
            <w:tcW w:w="3368" w:type="dxa"/>
          </w:tcPr>
          <w:p w14:paraId="799A08D8" w14:textId="77777777" w:rsidR="00D87035" w:rsidRPr="00087C0D" w:rsidRDefault="00D87035" w:rsidP="00B06557">
            <w:pPr>
              <w:tabs>
                <w:tab w:val="left" w:pos="851"/>
              </w:tabs>
              <w:spacing w:before="0" w:line="240" w:lineRule="atLeast"/>
              <w:rPr>
                <w:rFonts w:cstheme="minorHAnsi"/>
                <w:b/>
                <w:szCs w:val="24"/>
                <w:lang w:val="es-ES"/>
              </w:rPr>
            </w:pPr>
            <w:r w:rsidRPr="00087C0D">
              <w:rPr>
                <w:b/>
                <w:bCs/>
                <w:lang w:val="es-ES"/>
              </w:rPr>
              <w:t xml:space="preserve">Original: </w:t>
            </w:r>
            <w:r w:rsidR="001A2AB4" w:rsidRPr="00087C0D">
              <w:rPr>
                <w:b/>
                <w:bCs/>
                <w:lang w:val="es-ES"/>
              </w:rPr>
              <w:t>inglés</w:t>
            </w:r>
          </w:p>
        </w:tc>
      </w:tr>
      <w:tr w:rsidR="00D83BF5" w:rsidRPr="00087C0D" w14:paraId="1BFDC3AD" w14:textId="77777777" w:rsidTr="00D87035">
        <w:trPr>
          <w:cantSplit/>
          <w:trHeight w:val="23"/>
        </w:trPr>
        <w:tc>
          <w:tcPr>
            <w:tcW w:w="10031" w:type="dxa"/>
            <w:gridSpan w:val="2"/>
          </w:tcPr>
          <w:p w14:paraId="5CC21072" w14:textId="40508B7B" w:rsidR="00D83BF5" w:rsidRPr="00087C0D" w:rsidRDefault="007F4F86" w:rsidP="00403C69">
            <w:pPr>
              <w:pStyle w:val="Source"/>
              <w:spacing w:before="240" w:after="240"/>
              <w:rPr>
                <w:lang w:val="es-ES"/>
              </w:rPr>
            </w:pPr>
            <w:bookmarkStart w:id="8" w:name="dbluepink" w:colFirst="0" w:colLast="0"/>
            <w:bookmarkStart w:id="9" w:name="dorlang" w:colFirst="1" w:colLast="1"/>
            <w:r w:rsidRPr="00087C0D">
              <w:rPr>
                <w:bCs/>
                <w:color w:val="000000"/>
                <w:lang w:val="es-ES"/>
              </w:rPr>
              <w:t>Director de la Oficina de Desarrollo de las Telecomunicaciones</w:t>
            </w:r>
          </w:p>
        </w:tc>
      </w:tr>
      <w:tr w:rsidR="00D83BF5" w:rsidRPr="00087C0D" w14:paraId="06FC1B76" w14:textId="77777777" w:rsidTr="00D87035">
        <w:trPr>
          <w:cantSplit/>
          <w:trHeight w:val="23"/>
        </w:trPr>
        <w:tc>
          <w:tcPr>
            <w:tcW w:w="10031" w:type="dxa"/>
            <w:gridSpan w:val="2"/>
            <w:vAlign w:val="center"/>
          </w:tcPr>
          <w:p w14:paraId="71488AA7" w14:textId="6E281A81" w:rsidR="00D83BF5" w:rsidRPr="00087C0D" w:rsidRDefault="007F4F86" w:rsidP="00B06557">
            <w:pPr>
              <w:pStyle w:val="Title1"/>
              <w:spacing w:before="120" w:after="120"/>
              <w:rPr>
                <w:lang w:val="es-ES"/>
              </w:rPr>
            </w:pPr>
            <w:r w:rsidRPr="00087C0D">
              <w:rPr>
                <w:color w:val="000000"/>
                <w:lang w:val="es-ES"/>
              </w:rPr>
              <w:t>Alianza para la Innovación y el Emprendimiento</w:t>
            </w:r>
            <w:r w:rsidR="008D280A" w:rsidRPr="00087C0D">
              <w:rPr>
                <w:color w:val="000000"/>
                <w:lang w:val="es-ES"/>
              </w:rPr>
              <w:br/>
            </w:r>
            <w:r w:rsidRPr="00087C0D">
              <w:rPr>
                <w:color w:val="000000"/>
                <w:lang w:val="es-ES"/>
              </w:rPr>
              <w:t>en aras del Desarrollo Digital</w:t>
            </w:r>
          </w:p>
        </w:tc>
      </w:tr>
      <w:tr w:rsidR="00D83BF5" w:rsidRPr="00087C0D" w14:paraId="3A223C89" w14:textId="77777777" w:rsidTr="00D87035">
        <w:trPr>
          <w:cantSplit/>
          <w:trHeight w:val="23"/>
        </w:trPr>
        <w:tc>
          <w:tcPr>
            <w:tcW w:w="10031" w:type="dxa"/>
            <w:gridSpan w:val="2"/>
            <w:tcBorders>
              <w:bottom w:val="single" w:sz="4" w:space="0" w:color="auto"/>
            </w:tcBorders>
          </w:tcPr>
          <w:p w14:paraId="10B63BD6" w14:textId="77777777" w:rsidR="00D83BF5" w:rsidRPr="00087C0D" w:rsidRDefault="00D83BF5" w:rsidP="00B06557">
            <w:pPr>
              <w:pStyle w:val="Title1"/>
              <w:spacing w:before="120" w:after="120"/>
              <w:jc w:val="left"/>
              <w:rPr>
                <w:lang w:val="es-ES"/>
              </w:rPr>
            </w:pPr>
          </w:p>
        </w:tc>
      </w:tr>
      <w:tr w:rsidR="001E252D" w:rsidRPr="00087C0D" w14:paraId="4CA7B877" w14:textId="77777777" w:rsidTr="00D87035">
        <w:trPr>
          <w:cantSplit/>
          <w:trHeight w:val="23"/>
        </w:trPr>
        <w:tc>
          <w:tcPr>
            <w:tcW w:w="10031" w:type="dxa"/>
            <w:gridSpan w:val="2"/>
            <w:tcBorders>
              <w:top w:val="single" w:sz="4" w:space="0" w:color="auto"/>
              <w:left w:val="single" w:sz="4" w:space="0" w:color="auto"/>
              <w:bottom w:val="single" w:sz="4" w:space="0" w:color="auto"/>
              <w:right w:val="single" w:sz="4" w:space="0" w:color="auto"/>
            </w:tcBorders>
          </w:tcPr>
          <w:p w14:paraId="4E792BA9" w14:textId="77777777" w:rsidR="001E252D" w:rsidRPr="00087C0D" w:rsidRDefault="001A2AB4" w:rsidP="00B41165">
            <w:pPr>
              <w:rPr>
                <w:b/>
                <w:bCs/>
                <w:lang w:val="es-ES"/>
              </w:rPr>
            </w:pPr>
            <w:r w:rsidRPr="00087C0D">
              <w:rPr>
                <w:b/>
                <w:bCs/>
                <w:lang w:val="es-ES"/>
              </w:rPr>
              <w:t>Resumen</w:t>
            </w:r>
            <w:r w:rsidR="001E252D" w:rsidRPr="00087C0D">
              <w:rPr>
                <w:b/>
                <w:bCs/>
                <w:lang w:val="es-ES"/>
              </w:rPr>
              <w:t>:</w:t>
            </w:r>
          </w:p>
          <w:p w14:paraId="198CCEB5" w14:textId="0ABBAE51" w:rsidR="001E252D" w:rsidRPr="00087C0D" w:rsidRDefault="007F4F86" w:rsidP="007F4F86">
            <w:pPr>
              <w:rPr>
                <w:lang w:val="es-ES"/>
              </w:rPr>
            </w:pPr>
            <w:r w:rsidRPr="00087C0D">
              <w:rPr>
                <w:lang w:val="es-ES"/>
              </w:rPr>
              <w:t>En el presente documento se facilita información actualizada sobre la Alianza para la Innovación y el Emprendimiento en aras del Desarrollo Digital, creada para atender importantes necesidades insatisfechas de los Miembros de la UIT en el ámbito de la innovación, tal como se articuló por primera vez en el Plan de Acción de Kigali adoptado en la Conferencia Mundial de Desarrollo de las Telecomunicaciones de 2022 (CMDT-22). Desde entonces, se ha visto reforzada por el Plan de Acción de Bakú y las Resoluciones pertinentes de la CMDT-25 y de la Conferencia de Plenipotenciarios de la UIT de 2022 (PP-22), como se indica a continuación.</w:t>
            </w:r>
          </w:p>
          <w:p w14:paraId="0CB61CED" w14:textId="0947CACE" w:rsidR="007F4F86" w:rsidRPr="00087C0D" w:rsidRDefault="007F4F86" w:rsidP="007F4F86">
            <w:pPr>
              <w:rPr>
                <w:lang w:val="es-ES"/>
              </w:rPr>
            </w:pPr>
            <w:r w:rsidRPr="00087C0D">
              <w:rPr>
                <w:lang w:val="es-ES"/>
              </w:rPr>
              <w:t>La Alianza ha contribuido a la implementación de las cinco áreas prioritarias de la CMDT</w:t>
            </w:r>
            <w:r w:rsidR="008D280A" w:rsidRPr="00087C0D">
              <w:rPr>
                <w:lang w:val="es-ES"/>
              </w:rPr>
              <w:noBreakHyphen/>
            </w:r>
            <w:r w:rsidRPr="00087C0D">
              <w:rPr>
                <w:lang w:val="es-ES"/>
              </w:rPr>
              <w:t>22, en particular la transformación digital, y está bien posicionada para acelerar la implementación de la CMDT</w:t>
            </w:r>
            <w:r w:rsidR="008D280A" w:rsidRPr="00087C0D">
              <w:rPr>
                <w:lang w:val="es-ES"/>
              </w:rPr>
              <w:noBreakHyphen/>
            </w:r>
            <w:r w:rsidRPr="00087C0D">
              <w:rPr>
                <w:lang w:val="es-ES"/>
              </w:rPr>
              <w:t>25, con un mayor reconocimiento de sus mecanismos y repercusiones operativas para los países.</w:t>
            </w:r>
          </w:p>
          <w:p w14:paraId="41806BE4" w14:textId="77777777" w:rsidR="007F4F86" w:rsidRPr="00087C0D" w:rsidRDefault="007F4F86" w:rsidP="007F4F86">
            <w:pPr>
              <w:rPr>
                <w:lang w:val="es-ES"/>
              </w:rPr>
            </w:pPr>
            <w:r w:rsidRPr="00087C0D">
              <w:rPr>
                <w:lang w:val="es-ES"/>
              </w:rPr>
              <w:t>En este documento se presentan los avances logrados por la Alianza para la Innovación y el Emprendimiento para el Desarrollo Digital en 2025 y se ofrece información sobre sus próximas actividades de implementación.</w:t>
            </w:r>
          </w:p>
          <w:p w14:paraId="5D1B222E" w14:textId="5157753A" w:rsidR="007F4F86" w:rsidRPr="00087C0D" w:rsidRDefault="007F4F86" w:rsidP="007F4F86">
            <w:pPr>
              <w:rPr>
                <w:lang w:val="es-ES"/>
              </w:rPr>
            </w:pPr>
            <w:r w:rsidRPr="00087C0D">
              <w:rPr>
                <w:lang w:val="es-ES"/>
              </w:rPr>
              <w:t>La iniciativa también apoya la ejecución efectiva de proyectos en todas las Iniciativas Regionales, en particular los relacionados con la innovación y el emprendimiento.</w:t>
            </w:r>
          </w:p>
          <w:p w14:paraId="49E2C733" w14:textId="77777777" w:rsidR="001E252D" w:rsidRPr="00087C0D" w:rsidRDefault="00CC5CD7" w:rsidP="00403C69">
            <w:pPr>
              <w:rPr>
                <w:b/>
                <w:bCs/>
                <w:szCs w:val="24"/>
                <w:lang w:val="es-ES"/>
              </w:rPr>
            </w:pPr>
            <w:r w:rsidRPr="00087C0D">
              <w:rPr>
                <w:b/>
                <w:bCs/>
                <w:lang w:val="es-ES"/>
              </w:rPr>
              <w:t>Acción solicitada:</w:t>
            </w:r>
          </w:p>
          <w:p w14:paraId="1C00DA61" w14:textId="77777777" w:rsidR="005C33FB" w:rsidRPr="00087C0D" w:rsidRDefault="005C33FB" w:rsidP="00403C69">
            <w:pPr>
              <w:rPr>
                <w:lang w:val="es-ES"/>
              </w:rPr>
            </w:pPr>
            <w:r w:rsidRPr="00087C0D">
              <w:rPr>
                <w:lang w:val="es-ES"/>
              </w:rPr>
              <w:t>Se invita al</w:t>
            </w:r>
            <w:r w:rsidR="00B06557" w:rsidRPr="00087C0D">
              <w:rPr>
                <w:lang w:val="es-ES"/>
              </w:rPr>
              <w:t> </w:t>
            </w:r>
            <w:r w:rsidRPr="00087C0D">
              <w:rPr>
                <w:lang w:val="es-ES"/>
              </w:rPr>
              <w:t>GADT a tomar nota de este documento y formular las orientaciones que estime convenientes.</w:t>
            </w:r>
          </w:p>
          <w:p w14:paraId="67C66F76" w14:textId="77777777" w:rsidR="001E252D" w:rsidRPr="00087C0D" w:rsidRDefault="001E252D" w:rsidP="00B41165">
            <w:pPr>
              <w:rPr>
                <w:b/>
                <w:bCs/>
                <w:lang w:val="es-ES"/>
              </w:rPr>
            </w:pPr>
            <w:r w:rsidRPr="00087C0D">
              <w:rPr>
                <w:b/>
                <w:bCs/>
                <w:lang w:val="es-ES"/>
              </w:rPr>
              <w:t>Referenc</w:t>
            </w:r>
            <w:r w:rsidR="005C33FB" w:rsidRPr="00087C0D">
              <w:rPr>
                <w:b/>
                <w:bCs/>
                <w:lang w:val="es-ES"/>
              </w:rPr>
              <w:t>ia</w:t>
            </w:r>
            <w:r w:rsidRPr="00087C0D">
              <w:rPr>
                <w:b/>
                <w:bCs/>
                <w:lang w:val="es-ES"/>
              </w:rPr>
              <w:t>s</w:t>
            </w:r>
            <w:r w:rsidR="008A3933" w:rsidRPr="00087C0D">
              <w:rPr>
                <w:b/>
                <w:bCs/>
                <w:lang w:val="es-ES"/>
              </w:rPr>
              <w:t>:</w:t>
            </w:r>
          </w:p>
          <w:p w14:paraId="335365C8" w14:textId="77777777" w:rsidR="007F4F86" w:rsidRPr="00087C0D" w:rsidRDefault="00087C0D" w:rsidP="007F4F86">
            <w:pPr>
              <w:spacing w:after="120"/>
              <w:rPr>
                <w:lang w:val="es-ES"/>
              </w:rPr>
            </w:pPr>
            <w:hyperlink r:id="rId12" w:history="1">
              <w:r w:rsidR="007F4F86" w:rsidRPr="00087C0D">
                <w:rPr>
                  <w:rStyle w:val="Hyperlink"/>
                  <w:lang w:val="es-ES"/>
                </w:rPr>
                <w:t>Resolución 17 (Rev. Kigali, 2022)</w:t>
              </w:r>
              <w:r w:rsidR="007F4F86" w:rsidRPr="00087C0D">
                <w:rPr>
                  <w:lang w:val="es-ES"/>
                </w:rPr>
                <w:t xml:space="preserve"> – Ejecución en los planos nacional, regional, interregional y mundial de las Iniciativas Regionales aprobadas y colaboración al respecto</w:t>
              </w:r>
            </w:hyperlink>
          </w:p>
          <w:p w14:paraId="2174848C" w14:textId="77777777" w:rsidR="007F4F86" w:rsidRPr="00087C0D" w:rsidRDefault="00087C0D" w:rsidP="007F4F86">
            <w:pPr>
              <w:spacing w:after="120"/>
              <w:rPr>
                <w:lang w:val="es-ES"/>
              </w:rPr>
            </w:pPr>
            <w:hyperlink r:id="rId13" w:history="1">
              <w:r w:rsidR="007F4F86" w:rsidRPr="00087C0D">
                <w:rPr>
                  <w:rStyle w:val="Hyperlink"/>
                  <w:lang w:val="es-ES"/>
                </w:rPr>
                <w:t>Resolución 85 (Rev. Kigali, 2022)</w:t>
              </w:r>
              <w:r w:rsidR="007F4F86" w:rsidRPr="00087C0D">
                <w:rPr>
                  <w:lang w:val="es-ES"/>
                </w:rPr>
                <w:t xml:space="preserve"> – Facilitación de la Internet de las cosas y las ciudades y comunidades inteligentes y sostenibles para el desarrollo mundial</w:t>
              </w:r>
            </w:hyperlink>
          </w:p>
          <w:p w14:paraId="0E0DAF00" w14:textId="77777777" w:rsidR="007F4F86" w:rsidRPr="00087C0D" w:rsidRDefault="00087C0D" w:rsidP="007F4F86">
            <w:pPr>
              <w:spacing w:after="120"/>
              <w:rPr>
                <w:rStyle w:val="Hyperlink"/>
                <w:color w:val="auto"/>
                <w:u w:val="none"/>
                <w:lang w:val="es-ES"/>
              </w:rPr>
            </w:pPr>
            <w:hyperlink r:id="rId14" w:history="1">
              <w:r w:rsidR="007F4F86" w:rsidRPr="00087C0D">
                <w:rPr>
                  <w:rStyle w:val="Hyperlink"/>
                  <w:lang w:val="es-ES"/>
                </w:rPr>
                <w:t>Resolución 89 (Kigali, 2022)</w:t>
              </w:r>
              <w:r w:rsidR="007F4F86" w:rsidRPr="00087C0D">
                <w:rPr>
                  <w:lang w:val="es-ES"/>
                </w:rPr>
                <w:t xml:space="preserve"> – Transformación digital para el desarrollo sostenible</w:t>
              </w:r>
            </w:hyperlink>
          </w:p>
          <w:p w14:paraId="3DFF590F" w14:textId="77777777" w:rsidR="007F4F86" w:rsidRPr="00087C0D" w:rsidRDefault="007F4F86" w:rsidP="007F4F86">
            <w:pPr>
              <w:spacing w:after="120"/>
              <w:rPr>
                <w:lang w:val="es-ES"/>
              </w:rPr>
            </w:pPr>
            <w:r w:rsidRPr="00087C0D">
              <w:rPr>
                <w:color w:val="000000"/>
                <w:lang w:val="es-ES"/>
              </w:rPr>
              <w:fldChar w:fldCharType="begin"/>
            </w:r>
            <w:r w:rsidRPr="00087C0D">
              <w:rPr>
                <w:color w:val="000000"/>
                <w:lang w:val="es-ES"/>
              </w:rPr>
              <w:instrText>HYPERLINK "https://www.itu.int/dms_pub/itu-d/opb/res/D-RES-D.90-2022-PDF-S.pdf"</w:instrText>
            </w:r>
            <w:r w:rsidRPr="00087C0D">
              <w:rPr>
                <w:color w:val="000000"/>
                <w:lang w:val="es-ES"/>
              </w:rPr>
              <w:fldChar w:fldCharType="separate"/>
            </w:r>
            <w:r w:rsidRPr="00087C0D">
              <w:rPr>
                <w:rStyle w:val="Hyperlink"/>
                <w:lang w:val="es-ES"/>
              </w:rPr>
              <w:t>Resolución 90 (Kigali, 2022)</w:t>
            </w:r>
            <w:r w:rsidRPr="00087C0D">
              <w:rPr>
                <w:lang w:val="es-ES"/>
              </w:rPr>
              <w:t xml:space="preserve"> – Fomento de la iniciativa empresarial y los ecosistemas de innovación digital centrados en las telecomunicaciones/TIC para un desarrollo digital sostenible</w:t>
            </w:r>
          </w:p>
          <w:p w14:paraId="080867EC" w14:textId="77777777" w:rsidR="007F4F86" w:rsidRPr="00087C0D" w:rsidRDefault="007F4F86" w:rsidP="007F4F86">
            <w:pPr>
              <w:spacing w:after="120"/>
              <w:rPr>
                <w:lang w:val="es-ES"/>
              </w:rPr>
            </w:pPr>
            <w:r w:rsidRPr="00087C0D">
              <w:rPr>
                <w:color w:val="000000"/>
                <w:lang w:val="es-ES"/>
              </w:rPr>
              <w:fldChar w:fldCharType="end"/>
            </w:r>
            <w:hyperlink r:id="rId15" w:history="1">
              <w:r w:rsidRPr="00087C0D">
                <w:rPr>
                  <w:rStyle w:val="Hyperlink"/>
                  <w:lang w:val="es-ES"/>
                </w:rPr>
                <w:t>Resolución 205 (Rev. Bucarest, 2022)</w:t>
              </w:r>
              <w:r w:rsidRPr="00087C0D">
                <w:rPr>
                  <w:lang w:val="es-ES"/>
                </w:rPr>
                <w:t>, Papel de la UIT en el fomento de la innovación centrada en las telecomunicaciones/tecnologías de la información y la comunicación para impulsar la economía y la sociedad digitales</w:t>
              </w:r>
            </w:hyperlink>
          </w:p>
          <w:p w14:paraId="4587898C" w14:textId="77777777" w:rsidR="007F4F86" w:rsidRPr="00087C0D" w:rsidRDefault="00087C0D" w:rsidP="007F4F86">
            <w:pPr>
              <w:spacing w:after="120"/>
              <w:rPr>
                <w:color w:val="000000"/>
                <w:lang w:val="es-ES"/>
              </w:rPr>
            </w:pPr>
            <w:hyperlink r:id="rId16" w:history="1">
              <w:r w:rsidR="007F4F86" w:rsidRPr="00087C0D">
                <w:rPr>
                  <w:rStyle w:val="Hyperlink"/>
                  <w:lang w:val="es-ES"/>
                </w:rPr>
                <w:t>Resolución 71 (Rev. Bucarest, 2022)</w:t>
              </w:r>
              <w:r w:rsidR="007F4F86" w:rsidRPr="00087C0D">
                <w:rPr>
                  <w:lang w:val="es-ES"/>
                </w:rPr>
                <w:t>, Plan Estratégico de la Unión para 2024-2027</w:t>
              </w:r>
            </w:hyperlink>
          </w:p>
          <w:p w14:paraId="42AEF2DC" w14:textId="7BB49E44" w:rsidR="001E252D" w:rsidRPr="00087C0D" w:rsidRDefault="007F4F86" w:rsidP="007F4F86">
            <w:pPr>
              <w:spacing w:after="120"/>
              <w:rPr>
                <w:lang w:val="es-ES"/>
              </w:rPr>
            </w:pPr>
            <w:r w:rsidRPr="00087C0D">
              <w:rPr>
                <w:color w:val="000000"/>
                <w:lang w:val="es-ES"/>
              </w:rPr>
              <w:t>Iniciativas regionales de la UIT de la CMDT-22: AFR4, AMS3, CEI3, CEI5, ARB4, ASP4, EUR5.</w:t>
            </w:r>
          </w:p>
        </w:tc>
      </w:tr>
    </w:tbl>
    <w:bookmarkEnd w:id="8"/>
    <w:bookmarkEnd w:id="9"/>
    <w:p w14:paraId="658FA02B" w14:textId="77777777" w:rsidR="007F4F86" w:rsidRPr="00087C0D" w:rsidRDefault="007F4F86" w:rsidP="00077A4A">
      <w:pPr>
        <w:pStyle w:val="Headingb"/>
        <w:rPr>
          <w:lang w:val="es-ES"/>
        </w:rPr>
      </w:pPr>
      <w:r w:rsidRPr="00087C0D">
        <w:rPr>
          <w:lang w:val="es-ES"/>
        </w:rPr>
        <w:lastRenderedPageBreak/>
        <w:t>Antecedentes</w:t>
      </w:r>
    </w:p>
    <w:p w14:paraId="5200884F" w14:textId="2D277FD7" w:rsidR="007F4F86" w:rsidRPr="00087C0D" w:rsidRDefault="00087C0D" w:rsidP="00077A4A">
      <w:pPr>
        <w:rPr>
          <w:lang w:val="es-ES"/>
        </w:rPr>
      </w:pPr>
      <w:hyperlink r:id="rId17" w:anchor="/es" w:history="1">
        <w:r w:rsidR="007F4F86" w:rsidRPr="00087C0D">
          <w:rPr>
            <w:rStyle w:val="Hyperlink"/>
            <w:lang w:val="es-ES"/>
          </w:rPr>
          <w:t xml:space="preserve">La Alianza para la Innovación y el </w:t>
        </w:r>
        <w:r w:rsidRPr="00087C0D">
          <w:rPr>
            <w:rStyle w:val="Hyperlink"/>
            <w:lang w:val="es-ES"/>
          </w:rPr>
          <w:t>Emprendimiento</w:t>
        </w:r>
        <w:r w:rsidR="007F4F86" w:rsidRPr="00087C0D">
          <w:rPr>
            <w:rStyle w:val="Hyperlink"/>
            <w:lang w:val="es-ES"/>
          </w:rPr>
          <w:t xml:space="preserve"> en aras del Desarrollo Digital</w:t>
        </w:r>
      </w:hyperlink>
      <w:r w:rsidR="007F4F86" w:rsidRPr="00087C0D">
        <w:rPr>
          <w:lang w:val="es-ES"/>
        </w:rPr>
        <w:t xml:space="preserve"> fue creada el 25 de enero de 2023 por el Director de la BDT. Esta iniciativa atiende importantes necesidades no atendidas de los Miembros de la UIT en materia de innovación, como se indica en el Plan de Acción de Kigali adoptado en la Conferencia Mundial de Desarrollo de las Telecomunicaciones 2022 (CMDT</w:t>
      </w:r>
      <w:r w:rsidR="008D280A" w:rsidRPr="00087C0D">
        <w:rPr>
          <w:lang w:val="es-ES"/>
        </w:rPr>
        <w:noBreakHyphen/>
      </w:r>
      <w:r w:rsidR="007F4F86" w:rsidRPr="00087C0D">
        <w:rPr>
          <w:lang w:val="es-ES"/>
        </w:rPr>
        <w:t>22) y en los resultados de la Conferencia de Plenipotenciarios de la UIT 2022 (PP</w:t>
      </w:r>
      <w:r w:rsidR="008D280A" w:rsidRPr="00087C0D">
        <w:rPr>
          <w:lang w:val="es-ES"/>
        </w:rPr>
        <w:noBreakHyphen/>
      </w:r>
      <w:r w:rsidR="007F4F86" w:rsidRPr="00087C0D">
        <w:rPr>
          <w:lang w:val="es-ES"/>
        </w:rPr>
        <w:t>22).</w:t>
      </w:r>
    </w:p>
    <w:p w14:paraId="797A0DBF" w14:textId="3999F447" w:rsidR="007F4F86" w:rsidRPr="00087C0D" w:rsidRDefault="007F4F86" w:rsidP="00077A4A">
      <w:pPr>
        <w:rPr>
          <w:lang w:val="es-ES"/>
        </w:rPr>
      </w:pPr>
      <w:r w:rsidRPr="00087C0D">
        <w:rPr>
          <w:lang w:val="es-ES"/>
        </w:rPr>
        <w:t>La Visión de la Alianza es "apoyar a los Miembros del UIT-D con enfoques nuevos, más resilientes y adaptados al futuro para afrontar de forma segura un mundo digital cada vez más inestable, incierto, complejo y ambiguo, y lograr los resultados del Plan de Acción de Kigali".</w:t>
      </w:r>
    </w:p>
    <w:p w14:paraId="5A6E4A6D" w14:textId="77777777" w:rsidR="007F4F86" w:rsidRPr="00087C0D" w:rsidRDefault="007F4F86" w:rsidP="00077A4A">
      <w:pPr>
        <w:rPr>
          <w:lang w:val="es-ES"/>
        </w:rPr>
      </w:pPr>
      <w:r w:rsidRPr="00087C0D">
        <w:rPr>
          <w:lang w:val="es-ES"/>
        </w:rPr>
        <w:t>Desde su lanzamiento, la Alianza se ha dedicado a cumplir su misión de "reducir la brecha de innovación digital y empoderar a los miembros del UIT-D para superar los desafíos en su viaje hacia la transformación digital". Su finalidad es acelerar los efectos de sus ecosistemas en diversos sectores y fomentar una sociedad inclusiva y sostenible. Para alcanzar sus objetivos, la Alianza cuenta con tres mecanismos principales:</w:t>
      </w:r>
    </w:p>
    <w:p w14:paraId="542A231E" w14:textId="339774D2" w:rsidR="007F4F86" w:rsidRPr="00087C0D" w:rsidRDefault="00077A4A" w:rsidP="00077A4A">
      <w:pPr>
        <w:pStyle w:val="enumlev1"/>
        <w:rPr>
          <w:lang w:val="es-ES"/>
        </w:rPr>
      </w:pPr>
      <w:r w:rsidRPr="00087C0D">
        <w:rPr>
          <w:lang w:val="es-ES"/>
        </w:rPr>
        <w:t>–</w:t>
      </w:r>
      <w:r w:rsidRPr="00087C0D">
        <w:rPr>
          <w:lang w:val="es-ES"/>
        </w:rPr>
        <w:tab/>
      </w:r>
      <w:hyperlink r:id="rId18" w:anchor="/es" w:history="1">
        <w:r w:rsidR="007F4F86" w:rsidRPr="00087C0D">
          <w:rPr>
            <w:rStyle w:val="Hyperlink"/>
            <w:lang w:val="es-ES"/>
          </w:rPr>
          <w:t>una Junta de Innovación Digital</w:t>
        </w:r>
      </w:hyperlink>
      <w:r w:rsidR="007F4F86" w:rsidRPr="00087C0D">
        <w:rPr>
          <w:lang w:val="es-ES"/>
        </w:rPr>
        <w:t>;</w:t>
      </w:r>
    </w:p>
    <w:p w14:paraId="6F9228D6" w14:textId="5469796D" w:rsidR="007F4F86" w:rsidRPr="00087C0D" w:rsidRDefault="00077A4A" w:rsidP="00077A4A">
      <w:pPr>
        <w:pStyle w:val="enumlev1"/>
        <w:rPr>
          <w:lang w:val="es-ES"/>
        </w:rPr>
      </w:pPr>
      <w:r w:rsidRPr="00087C0D">
        <w:rPr>
          <w:lang w:val="es-ES"/>
        </w:rPr>
        <w:t>–</w:t>
      </w:r>
      <w:r w:rsidRPr="00087C0D">
        <w:rPr>
          <w:lang w:val="es-ES"/>
        </w:rPr>
        <w:tab/>
      </w:r>
      <w:hyperlink r:id="rId19" w:anchor="/es" w:history="1">
        <w:r w:rsidR="007F4F86" w:rsidRPr="00087C0D">
          <w:rPr>
            <w:rStyle w:val="Hyperlink"/>
            <w:lang w:val="es-ES"/>
          </w:rPr>
          <w:t>una Red de Centros de Aceleración de la UIT</w:t>
        </w:r>
      </w:hyperlink>
      <w:r w:rsidR="007F4F86" w:rsidRPr="00087C0D">
        <w:rPr>
          <w:lang w:val="es-ES"/>
        </w:rPr>
        <w:t xml:space="preserve">; y </w:t>
      </w:r>
    </w:p>
    <w:p w14:paraId="55358C02" w14:textId="6D641BF8" w:rsidR="007F4F86" w:rsidRPr="00087C0D" w:rsidRDefault="00077A4A" w:rsidP="00077A4A">
      <w:pPr>
        <w:pStyle w:val="enumlev1"/>
        <w:rPr>
          <w:lang w:val="es-ES"/>
        </w:rPr>
      </w:pPr>
      <w:r w:rsidRPr="00087C0D">
        <w:rPr>
          <w:lang w:val="es-ES"/>
        </w:rPr>
        <w:t>–</w:t>
      </w:r>
      <w:r w:rsidRPr="00087C0D">
        <w:rPr>
          <w:lang w:val="es-ES"/>
        </w:rPr>
        <w:tab/>
      </w:r>
      <w:hyperlink r:id="rId20" w:anchor="/es" w:history="1">
        <w:r w:rsidR="007F4F86" w:rsidRPr="00087C0D">
          <w:rPr>
            <w:rStyle w:val="Hyperlink"/>
            <w:lang w:val="es-ES"/>
          </w:rPr>
          <w:t>un Laboratorio de Transformación Digital</w:t>
        </w:r>
      </w:hyperlink>
      <w:r w:rsidR="007F4F86" w:rsidRPr="00087C0D">
        <w:rPr>
          <w:lang w:val="es-ES"/>
        </w:rPr>
        <w:t>.</w:t>
      </w:r>
    </w:p>
    <w:p w14:paraId="024902B8" w14:textId="77777777" w:rsidR="007F4F86" w:rsidRPr="00087C0D" w:rsidRDefault="007F4F86" w:rsidP="00077A4A">
      <w:pPr>
        <w:rPr>
          <w:lang w:val="es-ES"/>
        </w:rPr>
      </w:pPr>
      <w:r w:rsidRPr="00087C0D">
        <w:rPr>
          <w:lang w:val="es-ES"/>
        </w:rPr>
        <w:t>Desde su fundación, la Alianza aspira a crear "un futuro digital más equitativo para todos" y se centra en lograr dos resultados fundamentales relacionados con las prioridades del UIT-D del Plan de Acción de Kigali:</w:t>
      </w:r>
    </w:p>
    <w:p w14:paraId="45FA0617" w14:textId="3491DCF9" w:rsidR="007F4F86" w:rsidRPr="00087C0D" w:rsidRDefault="00077A4A" w:rsidP="00077A4A">
      <w:pPr>
        <w:pStyle w:val="enumlev1"/>
        <w:rPr>
          <w:lang w:val="es-ES"/>
        </w:rPr>
      </w:pPr>
      <w:r w:rsidRPr="00087C0D">
        <w:rPr>
          <w:lang w:val="es-ES"/>
        </w:rPr>
        <w:t>–</w:t>
      </w:r>
      <w:r w:rsidRPr="00087C0D">
        <w:rPr>
          <w:lang w:val="es-ES"/>
        </w:rPr>
        <w:tab/>
      </w:r>
      <w:r w:rsidR="007F4F86" w:rsidRPr="00087C0D">
        <w:rPr>
          <w:lang w:val="es-ES"/>
        </w:rPr>
        <w:t>Fortalecer la capacidad de los Miembros de la UIT para integrar la innovación y la digitalización de las telecomunicaciones y las TIC en sus agendas nacionales de desarrollo. Esto incluye la elaboración de estrategias para promover iniciativas de innovación a través de asociaciones públicas, privadas y público-privadas.</w:t>
      </w:r>
    </w:p>
    <w:p w14:paraId="23C87182" w14:textId="5AD71B3D" w:rsidR="007F4F86" w:rsidRPr="00087C0D" w:rsidRDefault="00077A4A" w:rsidP="00077A4A">
      <w:pPr>
        <w:pStyle w:val="enumlev1"/>
        <w:rPr>
          <w:lang w:val="es-ES"/>
        </w:rPr>
      </w:pPr>
      <w:r w:rsidRPr="00087C0D">
        <w:rPr>
          <w:lang w:val="es-ES"/>
        </w:rPr>
        <w:t>–</w:t>
      </w:r>
      <w:r w:rsidRPr="00087C0D">
        <w:rPr>
          <w:lang w:val="es-ES"/>
        </w:rPr>
        <w:tab/>
      </w:r>
      <w:r w:rsidR="007F4F86" w:rsidRPr="00087C0D">
        <w:rPr>
          <w:lang w:val="es-ES"/>
        </w:rPr>
        <w:t>Mejorar la capacidad humana e institucional de los Miembros de la UIT en telecomunicaciones y TIC para fomentar la transformación digital.</w:t>
      </w:r>
    </w:p>
    <w:p w14:paraId="5F76878E" w14:textId="77777777" w:rsidR="008D280A" w:rsidRPr="00087C0D" w:rsidRDefault="008D280A">
      <w:pPr>
        <w:tabs>
          <w:tab w:val="clear" w:pos="1134"/>
          <w:tab w:val="clear" w:pos="1871"/>
          <w:tab w:val="clear" w:pos="2268"/>
        </w:tabs>
        <w:overflowPunct/>
        <w:autoSpaceDE/>
        <w:autoSpaceDN/>
        <w:adjustRightInd/>
        <w:spacing w:before="0"/>
        <w:textAlignment w:val="auto"/>
        <w:rPr>
          <w:lang w:val="es-ES"/>
        </w:rPr>
      </w:pPr>
      <w:r w:rsidRPr="00087C0D">
        <w:rPr>
          <w:lang w:val="es-ES"/>
        </w:rPr>
        <w:br w:type="page"/>
      </w:r>
    </w:p>
    <w:p w14:paraId="5BB747D7" w14:textId="623D29B9" w:rsidR="007F4F86" w:rsidRPr="00087C0D" w:rsidRDefault="007F4F86" w:rsidP="008D280A">
      <w:pPr>
        <w:spacing w:after="120"/>
        <w:rPr>
          <w:lang w:val="es-ES"/>
        </w:rPr>
      </w:pPr>
      <w:r w:rsidRPr="00087C0D">
        <w:rPr>
          <w:lang w:val="es-ES"/>
        </w:rPr>
        <w:lastRenderedPageBreak/>
        <w:t>La Alianza apoya a los países en el fortalecimiento de capacidades locales en innovación y emprendimiento con el fin de alcanzar cinco objetivos estratégicos:</w:t>
      </w:r>
    </w:p>
    <w:tbl>
      <w:tblPr>
        <w:tblStyle w:val="TableGrid"/>
        <w:tblW w:w="5000" w:type="pct"/>
        <w:tblLayout w:type="fixed"/>
        <w:tblLook w:val="04A0" w:firstRow="1" w:lastRow="0" w:firstColumn="1" w:lastColumn="0" w:noHBand="0" w:noVBand="1"/>
      </w:tblPr>
      <w:tblGrid>
        <w:gridCol w:w="2878"/>
        <w:gridCol w:w="6751"/>
      </w:tblGrid>
      <w:tr w:rsidR="007F4F86" w:rsidRPr="00087C0D" w14:paraId="030CC6F8" w14:textId="77777777" w:rsidTr="00DD0A8B">
        <w:trPr>
          <w:trHeight w:val="300"/>
        </w:trPr>
        <w:tc>
          <w:tcPr>
            <w:tcW w:w="2878" w:type="dxa"/>
          </w:tcPr>
          <w:p w14:paraId="214BE51D" w14:textId="77777777" w:rsidR="007F4F86" w:rsidRPr="00087C0D" w:rsidRDefault="007F4F86" w:rsidP="008D280A">
            <w:pPr>
              <w:pStyle w:val="Tabletext"/>
              <w:rPr>
                <w:sz w:val="22"/>
                <w:szCs w:val="22"/>
                <w:lang w:val="es-ES"/>
              </w:rPr>
            </w:pPr>
            <w:r w:rsidRPr="00087C0D">
              <w:rPr>
                <w:sz w:val="22"/>
                <w:szCs w:val="22"/>
                <w:lang w:val="es-ES"/>
              </w:rPr>
              <w:t>Preparación para el estudio de tendencias</w:t>
            </w:r>
          </w:p>
        </w:tc>
        <w:tc>
          <w:tcPr>
            <w:tcW w:w="6751" w:type="dxa"/>
          </w:tcPr>
          <w:p w14:paraId="77A1537C" w14:textId="77777777" w:rsidR="007F4F86" w:rsidRPr="00087C0D" w:rsidRDefault="007F4F86" w:rsidP="008D280A">
            <w:pPr>
              <w:pStyle w:val="Tabletext"/>
              <w:rPr>
                <w:sz w:val="22"/>
                <w:szCs w:val="22"/>
                <w:lang w:val="es-ES"/>
              </w:rPr>
            </w:pPr>
            <w:r w:rsidRPr="00087C0D">
              <w:rPr>
                <w:sz w:val="22"/>
                <w:szCs w:val="22"/>
                <w:lang w:val="es-ES"/>
              </w:rPr>
              <w:t>Permitir a los países adelantarse a los acontecimientos y comprender la evolución de la tecnología, la política y la dinámica de la innovación.</w:t>
            </w:r>
          </w:p>
        </w:tc>
      </w:tr>
      <w:tr w:rsidR="007F4F86" w:rsidRPr="00087C0D" w14:paraId="356CA0A2" w14:textId="77777777" w:rsidTr="00DD0A8B">
        <w:trPr>
          <w:trHeight w:val="300"/>
        </w:trPr>
        <w:tc>
          <w:tcPr>
            <w:tcW w:w="2878" w:type="dxa"/>
          </w:tcPr>
          <w:p w14:paraId="1C39C295" w14:textId="77777777" w:rsidR="007F4F86" w:rsidRPr="00087C0D" w:rsidRDefault="007F4F86" w:rsidP="008D280A">
            <w:pPr>
              <w:pStyle w:val="Tabletext"/>
              <w:rPr>
                <w:sz w:val="22"/>
                <w:szCs w:val="22"/>
                <w:lang w:val="es-ES"/>
              </w:rPr>
            </w:pPr>
            <w:r w:rsidRPr="00087C0D">
              <w:rPr>
                <w:sz w:val="22"/>
                <w:szCs w:val="22"/>
                <w:lang w:val="es-ES"/>
              </w:rPr>
              <w:t>Innovación tecnológica abierta</w:t>
            </w:r>
          </w:p>
        </w:tc>
        <w:tc>
          <w:tcPr>
            <w:tcW w:w="6751" w:type="dxa"/>
          </w:tcPr>
          <w:p w14:paraId="6EEA813B" w14:textId="77777777" w:rsidR="007F4F86" w:rsidRPr="00087C0D" w:rsidRDefault="007F4F86" w:rsidP="008D280A">
            <w:pPr>
              <w:pStyle w:val="Tabletext"/>
              <w:rPr>
                <w:sz w:val="22"/>
                <w:szCs w:val="22"/>
                <w:lang w:val="es-ES"/>
              </w:rPr>
            </w:pPr>
            <w:r w:rsidRPr="00087C0D">
              <w:rPr>
                <w:sz w:val="22"/>
                <w:szCs w:val="22"/>
                <w:lang w:val="es-ES"/>
              </w:rPr>
              <w:t>Convertir los conocimientos tecnológicos en bienes mundiales mediante la innovación abierta y mecanismos multipartitos, acelerando el acceso de todos a las tecnologías emergentes.</w:t>
            </w:r>
          </w:p>
        </w:tc>
      </w:tr>
      <w:tr w:rsidR="007F4F86" w:rsidRPr="00087C0D" w14:paraId="642D74A5" w14:textId="77777777" w:rsidTr="00DD0A8B">
        <w:trPr>
          <w:trHeight w:val="300"/>
        </w:trPr>
        <w:tc>
          <w:tcPr>
            <w:tcW w:w="2878" w:type="dxa"/>
          </w:tcPr>
          <w:p w14:paraId="235B256B" w14:textId="77777777" w:rsidR="007F4F86" w:rsidRPr="00087C0D" w:rsidRDefault="007F4F86" w:rsidP="008D280A">
            <w:pPr>
              <w:pStyle w:val="Tabletext"/>
              <w:rPr>
                <w:sz w:val="22"/>
                <w:szCs w:val="22"/>
                <w:lang w:val="es-ES"/>
              </w:rPr>
            </w:pPr>
            <w:r w:rsidRPr="00087C0D">
              <w:rPr>
                <w:sz w:val="22"/>
                <w:szCs w:val="22"/>
                <w:lang w:val="es-ES"/>
              </w:rPr>
              <w:t>Iniciativa empresarial y desarrollo de pymes</w:t>
            </w:r>
          </w:p>
        </w:tc>
        <w:tc>
          <w:tcPr>
            <w:tcW w:w="6751" w:type="dxa"/>
          </w:tcPr>
          <w:p w14:paraId="7AB7470B" w14:textId="77777777" w:rsidR="007F4F86" w:rsidRPr="00087C0D" w:rsidRDefault="007F4F86" w:rsidP="008D280A">
            <w:pPr>
              <w:pStyle w:val="Tabletext"/>
              <w:rPr>
                <w:sz w:val="22"/>
                <w:szCs w:val="22"/>
                <w:lang w:val="es-ES"/>
              </w:rPr>
            </w:pPr>
            <w:r w:rsidRPr="00087C0D">
              <w:rPr>
                <w:sz w:val="22"/>
                <w:szCs w:val="22"/>
                <w:lang w:val="es-ES"/>
              </w:rPr>
              <w:t>Fomentar el emprendimiento impulsado por la innovación digital y las oportunidades de talento para lograr la inclusión socioeconómica en sus comunidades.</w:t>
            </w:r>
          </w:p>
        </w:tc>
      </w:tr>
      <w:tr w:rsidR="007F4F86" w:rsidRPr="00087C0D" w14:paraId="02861CD1" w14:textId="77777777" w:rsidTr="00DD0A8B">
        <w:trPr>
          <w:trHeight w:val="300"/>
        </w:trPr>
        <w:tc>
          <w:tcPr>
            <w:tcW w:w="2878" w:type="dxa"/>
          </w:tcPr>
          <w:p w14:paraId="3EE0BD53" w14:textId="77777777" w:rsidR="007F4F86" w:rsidRPr="00087C0D" w:rsidRDefault="007F4F86" w:rsidP="008D280A">
            <w:pPr>
              <w:pStyle w:val="Tabletext"/>
              <w:rPr>
                <w:sz w:val="22"/>
                <w:szCs w:val="22"/>
                <w:lang w:val="es-ES"/>
              </w:rPr>
            </w:pPr>
            <w:r w:rsidRPr="00087C0D">
              <w:rPr>
                <w:sz w:val="22"/>
                <w:szCs w:val="22"/>
                <w:lang w:val="es-ES"/>
              </w:rPr>
              <w:t>Ensayo de políticas</w:t>
            </w:r>
          </w:p>
        </w:tc>
        <w:tc>
          <w:tcPr>
            <w:tcW w:w="6751" w:type="dxa"/>
          </w:tcPr>
          <w:p w14:paraId="4ECBFBC2" w14:textId="77777777" w:rsidR="007F4F86" w:rsidRPr="00087C0D" w:rsidRDefault="007F4F86" w:rsidP="008D280A">
            <w:pPr>
              <w:pStyle w:val="Tabletext"/>
              <w:rPr>
                <w:sz w:val="22"/>
                <w:szCs w:val="22"/>
                <w:lang w:val="es-ES"/>
              </w:rPr>
            </w:pPr>
            <w:r w:rsidRPr="00087C0D">
              <w:rPr>
                <w:sz w:val="22"/>
                <w:szCs w:val="22"/>
                <w:lang w:val="es-ES"/>
              </w:rPr>
              <w:t>Formular políticas eficaces que brinden a las partes interesadas un espacio seguro para la realización de ensayos y fomenten la innovación y las inversiones en el ecosistema digital.</w:t>
            </w:r>
          </w:p>
        </w:tc>
      </w:tr>
      <w:tr w:rsidR="007F4F86" w:rsidRPr="00087C0D" w14:paraId="39DC673E" w14:textId="77777777" w:rsidTr="00DD0A8B">
        <w:trPr>
          <w:trHeight w:val="300"/>
        </w:trPr>
        <w:tc>
          <w:tcPr>
            <w:tcW w:w="2878" w:type="dxa"/>
          </w:tcPr>
          <w:p w14:paraId="6E0C4182" w14:textId="77777777" w:rsidR="007F4F86" w:rsidRPr="00087C0D" w:rsidRDefault="007F4F86" w:rsidP="008D280A">
            <w:pPr>
              <w:pStyle w:val="Tabletext"/>
              <w:rPr>
                <w:sz w:val="22"/>
                <w:szCs w:val="22"/>
                <w:lang w:val="es-ES"/>
              </w:rPr>
            </w:pPr>
            <w:r w:rsidRPr="00087C0D">
              <w:rPr>
                <w:sz w:val="22"/>
                <w:szCs w:val="22"/>
                <w:lang w:val="es-ES"/>
              </w:rPr>
              <w:t>Aceleración de las iniciativas del ecosistema</w:t>
            </w:r>
          </w:p>
        </w:tc>
        <w:tc>
          <w:tcPr>
            <w:tcW w:w="6751" w:type="dxa"/>
          </w:tcPr>
          <w:p w14:paraId="673A1249" w14:textId="77777777" w:rsidR="007F4F86" w:rsidRPr="00087C0D" w:rsidRDefault="007F4F86" w:rsidP="008D280A">
            <w:pPr>
              <w:pStyle w:val="Tabletext"/>
              <w:rPr>
                <w:sz w:val="22"/>
                <w:szCs w:val="22"/>
                <w:lang w:val="es-ES"/>
              </w:rPr>
            </w:pPr>
            <w:r w:rsidRPr="00087C0D">
              <w:rPr>
                <w:sz w:val="22"/>
                <w:szCs w:val="22"/>
                <w:lang w:val="es-ES"/>
              </w:rPr>
              <w:t>Promover la colaboración y las sinergias que amplíen las innovaciones digitales y creen valor en todos los sectores económicos para una economía digital competitiva.</w:t>
            </w:r>
          </w:p>
        </w:tc>
      </w:tr>
    </w:tbl>
    <w:p w14:paraId="57717E81" w14:textId="7A5EDBE1" w:rsidR="007F4F86" w:rsidRPr="00087C0D" w:rsidRDefault="007F4F86" w:rsidP="00077A4A">
      <w:pPr>
        <w:rPr>
          <w:rFonts w:cstheme="minorBidi"/>
          <w:lang w:val="es-ES"/>
        </w:rPr>
      </w:pPr>
      <w:r w:rsidRPr="00087C0D">
        <w:rPr>
          <w:lang w:val="es-ES"/>
        </w:rPr>
        <w:t>En la siguiente sección se resumen los progresos realizados en cada mecanismo y cómo contribuyen a alcanzar las metas de la Alianza.</w:t>
      </w:r>
    </w:p>
    <w:p w14:paraId="380EF18E" w14:textId="6ACA2550" w:rsidR="007F4F86" w:rsidRPr="00087C0D" w:rsidRDefault="00077A4A" w:rsidP="00077A4A">
      <w:pPr>
        <w:pStyle w:val="Heading1"/>
        <w:rPr>
          <w:rFonts w:cstheme="minorBidi"/>
          <w:lang w:val="es-ES"/>
        </w:rPr>
      </w:pPr>
      <w:r w:rsidRPr="00087C0D">
        <w:rPr>
          <w:lang w:val="es-ES"/>
        </w:rPr>
        <w:t>1</w:t>
      </w:r>
      <w:r w:rsidRPr="00087C0D">
        <w:rPr>
          <w:lang w:val="es-ES"/>
        </w:rPr>
        <w:tab/>
      </w:r>
      <w:r w:rsidR="007F4F86" w:rsidRPr="00087C0D">
        <w:rPr>
          <w:lang w:val="es-ES"/>
        </w:rPr>
        <w:t>Principales actividades y resultados</w:t>
      </w:r>
    </w:p>
    <w:p w14:paraId="3055B47F" w14:textId="77777777" w:rsidR="007F4F86" w:rsidRPr="00087C0D" w:rsidRDefault="007F4F86" w:rsidP="00077A4A">
      <w:pPr>
        <w:rPr>
          <w:rFonts w:cstheme="minorBidi"/>
          <w:lang w:val="es-ES"/>
        </w:rPr>
      </w:pPr>
      <w:r w:rsidRPr="00087C0D">
        <w:rPr>
          <w:lang w:val="es-ES"/>
        </w:rPr>
        <w:t>Desde su lanzamiento, la BDT ha progresado constantemente en la puesta en práctica de la visión de la Alianza. El año 2025 marcó un punto de inflexión particular, con todos los mecanismos de la Alianza plenamente operativos y con resultados tangibles. La BDT sigue perfeccionando y poniendo en práctica los tres mecanismos, ajustando las estrategias y tácticas a medida que se vayan adquiriendo enseñanzas a lo largo del proceso.</w:t>
      </w:r>
    </w:p>
    <w:p w14:paraId="62FA32CB" w14:textId="03622204" w:rsidR="007F4F86" w:rsidRPr="00087C0D" w:rsidRDefault="007F4F86" w:rsidP="00077A4A">
      <w:pPr>
        <w:rPr>
          <w:rFonts w:cstheme="minorBidi"/>
          <w:lang w:val="es-ES"/>
        </w:rPr>
      </w:pPr>
      <w:r w:rsidRPr="00087C0D">
        <w:rPr>
          <w:lang w:val="es-ES"/>
        </w:rPr>
        <w:t>En esta sección se facilita información actualizada sobre cada mecanismo, sus logros, lecciones extraídas y los pasos a seguir</w:t>
      </w:r>
      <w:r w:rsidR="00E7419F" w:rsidRPr="00087C0D">
        <w:rPr>
          <w:lang w:val="es-ES"/>
        </w:rPr>
        <w:t>.</w:t>
      </w:r>
    </w:p>
    <w:p w14:paraId="337B7A9A" w14:textId="66BF94B8" w:rsidR="007F4F86" w:rsidRPr="00087C0D" w:rsidRDefault="00077A4A" w:rsidP="00077A4A">
      <w:pPr>
        <w:pStyle w:val="Heading2"/>
        <w:rPr>
          <w:rFonts w:cstheme="minorBidi"/>
          <w:lang w:val="es-ES"/>
        </w:rPr>
      </w:pPr>
      <w:r w:rsidRPr="00087C0D">
        <w:rPr>
          <w:lang w:val="es-ES"/>
        </w:rPr>
        <w:t>1.1</w:t>
      </w:r>
      <w:r w:rsidRPr="00087C0D">
        <w:rPr>
          <w:lang w:val="es-ES"/>
        </w:rPr>
        <w:tab/>
      </w:r>
      <w:r w:rsidR="007F4F86" w:rsidRPr="00087C0D">
        <w:rPr>
          <w:lang w:val="es-ES"/>
        </w:rPr>
        <w:t>Junta de Innovación Digital</w:t>
      </w:r>
    </w:p>
    <w:p w14:paraId="231B2C28" w14:textId="77777777" w:rsidR="007F4F86" w:rsidRPr="00087C0D" w:rsidRDefault="007F4F86" w:rsidP="00077A4A">
      <w:pPr>
        <w:rPr>
          <w:rFonts w:eastAsia="Times New Roman"/>
          <w:lang w:val="es-ES"/>
        </w:rPr>
      </w:pPr>
      <w:r w:rsidRPr="00087C0D">
        <w:rPr>
          <w:lang w:val="es-ES"/>
        </w:rPr>
        <w:t>La Junta de Innovación Digital orienta los trabajos de la Alianza para garantizar la eficacia, la rendición de cuentas y el progreso estratégico en la implementación del Plan de Acción de Kigali, al tiempo que facilita la promoción de alto nivel y la presentación de informes sobre los flujos de trabajo clave para lograr sus objetivos. La Junta está integrada por personas distinguidas que actúan a título personal, garantizando que la Alianza se mantenga en consonancia con la misión de la UIT, sus planes estratégicos y el mandato de la BDT.</w:t>
      </w:r>
    </w:p>
    <w:p w14:paraId="6479B593" w14:textId="6F7AB6D1" w:rsidR="007F4F86" w:rsidRPr="00087C0D" w:rsidRDefault="007F4F86" w:rsidP="00077A4A">
      <w:pPr>
        <w:rPr>
          <w:rFonts w:eastAsia="Times New Roman"/>
          <w:lang w:val="es-ES"/>
        </w:rPr>
      </w:pPr>
      <w:r w:rsidRPr="00087C0D">
        <w:rPr>
          <w:lang w:val="es-ES"/>
        </w:rPr>
        <w:t xml:space="preserve">La composición actual de la Junta incluye </w:t>
      </w:r>
      <w:hyperlink r:id="rId21" w:anchor="/es" w:history="1">
        <w:r w:rsidRPr="00087C0D">
          <w:rPr>
            <w:rStyle w:val="Hyperlink"/>
            <w:rFonts w:cstheme="minorHAnsi"/>
            <w:szCs w:val="24"/>
            <w:lang w:val="es-ES"/>
          </w:rPr>
          <w:t>36 miembros, incluido el Director de la BDT, como miembro fundador y copresidente</w:t>
        </w:r>
      </w:hyperlink>
      <w:r w:rsidRPr="00087C0D">
        <w:rPr>
          <w:lang w:val="es-ES"/>
        </w:rPr>
        <w:t>.</w:t>
      </w:r>
      <w:hyperlink r:id="rId22" w:history="1"/>
    </w:p>
    <w:p w14:paraId="2C37A757" w14:textId="74F237A1" w:rsidR="007F4F86" w:rsidRPr="00087C0D" w:rsidRDefault="00087C0D" w:rsidP="00077A4A">
      <w:pPr>
        <w:rPr>
          <w:rFonts w:eastAsia="Times New Roman"/>
          <w:lang w:val="es-ES"/>
        </w:rPr>
      </w:pPr>
      <w:hyperlink r:id="rId23" w:history="1">
        <w:r w:rsidR="007F4F86" w:rsidRPr="00087C0D">
          <w:rPr>
            <w:rStyle w:val="Hyperlink"/>
            <w:rFonts w:cstheme="minorHAnsi"/>
            <w:szCs w:val="24"/>
            <w:lang w:val="es-ES"/>
          </w:rPr>
          <w:t>En la reunión inaugural de la Junta</w:t>
        </w:r>
      </w:hyperlink>
      <w:r w:rsidR="007F4F86" w:rsidRPr="00087C0D">
        <w:rPr>
          <w:lang w:val="es-ES"/>
        </w:rPr>
        <w:t>, celebrada en Ginebra (Suiza) los días 19 y 20 de marzo de</w:t>
      </w:r>
      <w:r w:rsidR="00572AFD" w:rsidRPr="00087C0D">
        <w:rPr>
          <w:lang w:val="es-ES"/>
        </w:rPr>
        <w:t> </w:t>
      </w:r>
      <w:r w:rsidR="007F4F86" w:rsidRPr="00087C0D">
        <w:rPr>
          <w:lang w:val="es-ES"/>
        </w:rPr>
        <w:t>2024, se presentaron oficialmente los mecanismos de la Alianza y se definió el rumbo mediante la orientación y el asesoramiento de la Junta sobre la mejor manera de que la Alianza para la Innovación pueda apoyar mejor a los miembros de la UIT. La Junta también pidió a la Secretaría que elaborara un plan de trabajo y una estrategia claros de alto nivel para garantizar una implicación estructurada con la red de centros y alcanzar los objetivos de la Alianza.</w:t>
      </w:r>
    </w:p>
    <w:p w14:paraId="6E1B6D66" w14:textId="77777777" w:rsidR="007F4F86" w:rsidRPr="00087C0D" w:rsidRDefault="00087C0D" w:rsidP="00077A4A">
      <w:pPr>
        <w:rPr>
          <w:rFonts w:eastAsia="Times New Roman"/>
          <w:lang w:val="es-ES"/>
        </w:rPr>
      </w:pPr>
      <w:hyperlink r:id="rId24" w:history="1">
        <w:r w:rsidR="007F4F86" w:rsidRPr="00087C0D">
          <w:rPr>
            <w:rStyle w:val="Hyperlink"/>
            <w:rFonts w:cstheme="minorHAnsi"/>
            <w:szCs w:val="24"/>
            <w:lang w:val="es-ES"/>
          </w:rPr>
          <w:t>En la segunda reunión de la Junta</w:t>
        </w:r>
      </w:hyperlink>
      <w:r w:rsidR="007F4F86" w:rsidRPr="00087C0D">
        <w:rPr>
          <w:lang w:val="es-ES"/>
        </w:rPr>
        <w:t xml:space="preserve">, celebrada en La Valetta (Malta) el 28 de octubre de 2024, se aprobó la hoja de ruta de alto nivel y se examinaron las lecciones extraídas de los Centros de </w:t>
      </w:r>
      <w:r w:rsidR="007F4F86" w:rsidRPr="00087C0D">
        <w:rPr>
          <w:lang w:val="es-ES"/>
        </w:rPr>
        <w:lastRenderedPageBreak/>
        <w:t xml:space="preserve">Aceleración. La Junta refrendó el primer informe de prospectiva y un compendio de temas para posicionar a la Junta como plataforma de promoción estratégica. También reforzó su estructura al refrendar el mandato de la Red de Expertos y refrendar oficialmente el Acelerador de Iniciativas Regionales. </w:t>
      </w:r>
    </w:p>
    <w:p w14:paraId="2D40D61F" w14:textId="28CA4003" w:rsidR="007F4F86" w:rsidRPr="00087C0D" w:rsidRDefault="00077A4A" w:rsidP="00077A4A">
      <w:pPr>
        <w:pStyle w:val="enumlev1"/>
        <w:rPr>
          <w:lang w:val="es-ES"/>
        </w:rPr>
      </w:pPr>
      <w:r w:rsidRPr="00087C0D">
        <w:rPr>
          <w:lang w:val="es-ES"/>
        </w:rPr>
        <w:t>–</w:t>
      </w:r>
      <w:r w:rsidRPr="00087C0D">
        <w:rPr>
          <w:lang w:val="es-ES"/>
        </w:rPr>
        <w:tab/>
      </w:r>
      <w:r w:rsidR="007F4F86" w:rsidRPr="00087C0D">
        <w:rPr>
          <w:lang w:val="es-ES"/>
        </w:rPr>
        <w:t>El plan de trabajo exhaustivo aprobado para 2024-2026 se centra en dos áreas clave: la elaboración de una Serie de Prospectiva y el Ecosistema de Asociaciones. En conjunto, estos flujos de trabajo tienen como objetivo construir una red de colaboración de organizaciones que comparten recursos, experiencia y servicios, al tiempo que refuerzan la función de promoción activa de la Junta. El plan hace hincapié en el fuerte compromiso de los miembros de la Junta a través de la Red de Expertos, permitiéndoles identificar temas prioritarios y contribuir activamente a la labor de la</w:t>
      </w:r>
      <w:r w:rsidR="00572AFD" w:rsidRPr="00087C0D">
        <w:rPr>
          <w:lang w:val="es-ES"/>
        </w:rPr>
        <w:t> </w:t>
      </w:r>
      <w:r w:rsidR="007F4F86" w:rsidRPr="00087C0D">
        <w:rPr>
          <w:lang w:val="es-ES"/>
        </w:rPr>
        <w:t>red.</w:t>
      </w:r>
    </w:p>
    <w:p w14:paraId="2B6324AD" w14:textId="20E9B04B" w:rsidR="007F4F86" w:rsidRPr="00087C0D" w:rsidRDefault="00077A4A" w:rsidP="00077A4A">
      <w:pPr>
        <w:pStyle w:val="enumlev1"/>
        <w:rPr>
          <w:rFonts w:eastAsia="Times New Roman"/>
          <w:lang w:val="es-ES"/>
        </w:rPr>
      </w:pPr>
      <w:r w:rsidRPr="00087C0D">
        <w:rPr>
          <w:lang w:val="es-ES"/>
        </w:rPr>
        <w:t>–</w:t>
      </w:r>
      <w:r w:rsidRPr="00087C0D">
        <w:rPr>
          <w:lang w:val="es-ES"/>
        </w:rPr>
        <w:tab/>
      </w:r>
      <w:r w:rsidR="007F4F86" w:rsidRPr="00087C0D">
        <w:rPr>
          <w:lang w:val="es-ES"/>
        </w:rPr>
        <w:t>La Junta refrendó el primer informe de prospectiva estratégica, "</w:t>
      </w:r>
      <w:hyperlink r:id="rId25" w:history="1">
        <w:r w:rsidR="007F4F86" w:rsidRPr="00087C0D">
          <w:rPr>
            <w:rStyle w:val="Hyperlink"/>
            <w:lang w:val="es-ES"/>
          </w:rPr>
          <w:t>Forjar la educación para el mañana</w:t>
        </w:r>
      </w:hyperlink>
      <w:r w:rsidR="007F4F86" w:rsidRPr="00087C0D">
        <w:rPr>
          <w:lang w:val="es-ES"/>
        </w:rPr>
        <w:t>". Esta publicación inaugural destacó el enfoque único de la UIT en materia de prospectiva estratégica y demostró cómo los países pueden responder a los desafíos y oportunidades cambiantes de la educación mundial fortaleciendo sus ecosistemas de innovación digital.</w:t>
      </w:r>
      <w:hyperlink r:id="rId26" w:history="1"/>
    </w:p>
    <w:p w14:paraId="1582CA48" w14:textId="77777777" w:rsidR="007F4F86" w:rsidRPr="00087C0D" w:rsidRDefault="00087C0D" w:rsidP="00077A4A">
      <w:pPr>
        <w:rPr>
          <w:rFonts w:eastAsia="Times New Roman" w:cstheme="minorBidi"/>
          <w:lang w:val="es-ES"/>
        </w:rPr>
      </w:pPr>
      <w:hyperlink r:id="rId27" w:history="1">
        <w:r w:rsidR="007F4F86" w:rsidRPr="00087C0D">
          <w:rPr>
            <w:rStyle w:val="Hyperlink"/>
            <w:lang w:val="es-ES"/>
          </w:rPr>
          <w:t>La tercera reunión de la Junta de Innovación Digital de la Alianza para la Innovación y el Emprendimiento para el Desarrollo Digital</w:t>
        </w:r>
      </w:hyperlink>
      <w:r w:rsidR="007F4F86" w:rsidRPr="00087C0D">
        <w:rPr>
          <w:lang w:val="es-ES"/>
        </w:rPr>
        <w:t xml:space="preserve"> se celebró los días 1 y 2 de octubre de 2025 en Santo Domingo (República Dominicana), bajo los auspicios del Instituto Dominicano de las Telecomunicaciones (INDOTEL). La reunión se centró en el examen de los progresos realizados desde la segunda reunión, en particular en lo que respecta al plan de trabajo de alto nivel, el plan de comunicación estratégica y el marco de supervisión y evaluación. También se destacaron las contribuciones de la </w:t>
      </w:r>
      <w:hyperlink r:id="rId28" w:anchor="/es" w:history="1">
        <w:r w:rsidR="007F4F86" w:rsidRPr="00087C0D">
          <w:rPr>
            <w:rStyle w:val="Hyperlink"/>
            <w:lang w:val="es-ES"/>
          </w:rPr>
          <w:t>Red de Expertos</w:t>
        </w:r>
      </w:hyperlink>
      <w:r w:rsidR="007F4F86" w:rsidRPr="00087C0D">
        <w:rPr>
          <w:lang w:val="es-ES"/>
        </w:rPr>
        <w:t xml:space="preserve"> y se ofreció una plataforma para debates en profundidad sobre futuras iniciativas y la dirección estratégica de la Alianza.</w:t>
      </w:r>
    </w:p>
    <w:p w14:paraId="5596DFEE" w14:textId="77777777" w:rsidR="007F4F86" w:rsidRPr="00087C0D" w:rsidRDefault="007F4F86" w:rsidP="00077A4A">
      <w:pPr>
        <w:rPr>
          <w:rFonts w:eastAsia="Times New Roman" w:cstheme="minorBidi"/>
          <w:lang w:val="es-ES"/>
        </w:rPr>
      </w:pPr>
      <w:r w:rsidRPr="00087C0D">
        <w:rPr>
          <w:lang w:val="es-ES"/>
        </w:rPr>
        <w:t>Los principales resultados de la reunión fueron:</w:t>
      </w:r>
    </w:p>
    <w:p w14:paraId="18199B02" w14:textId="68E47F04" w:rsidR="007F4F86" w:rsidRPr="00087C0D" w:rsidRDefault="00077A4A" w:rsidP="00077A4A">
      <w:pPr>
        <w:pStyle w:val="enumlev1"/>
        <w:rPr>
          <w:lang w:val="es-ES"/>
        </w:rPr>
      </w:pPr>
      <w:r w:rsidRPr="00087C0D">
        <w:rPr>
          <w:lang w:val="es-ES"/>
        </w:rPr>
        <w:t>–</w:t>
      </w:r>
      <w:r w:rsidRPr="00087C0D">
        <w:rPr>
          <w:lang w:val="es-ES"/>
        </w:rPr>
        <w:tab/>
      </w:r>
      <w:r w:rsidR="007F4F86" w:rsidRPr="00087C0D">
        <w:rPr>
          <w:lang w:val="es-ES"/>
        </w:rPr>
        <w:t>la Junta tomó nota del Manifiesto para reducir la brecha de innovación digital, en el que se anima a los países a adherirse a la Alianza.</w:t>
      </w:r>
    </w:p>
    <w:p w14:paraId="295C64A2" w14:textId="0F3B16C0" w:rsidR="007F4F86" w:rsidRPr="00087C0D" w:rsidRDefault="00077A4A" w:rsidP="00077A4A">
      <w:pPr>
        <w:pStyle w:val="enumlev1"/>
        <w:rPr>
          <w:lang w:val="es-ES"/>
        </w:rPr>
      </w:pPr>
      <w:r w:rsidRPr="00087C0D">
        <w:rPr>
          <w:lang w:val="es-ES"/>
        </w:rPr>
        <w:t>–</w:t>
      </w:r>
      <w:r w:rsidRPr="00087C0D">
        <w:rPr>
          <w:lang w:val="es-ES"/>
        </w:rPr>
        <w:tab/>
      </w:r>
      <w:r w:rsidR="007F4F86" w:rsidRPr="00087C0D">
        <w:rPr>
          <w:lang w:val="es-ES"/>
        </w:rPr>
        <w:t>la BDT publicó tres notas prospectivas en las que se presentan hipótesis prácticas para apoyar ecosistemas de innovación resilientes. La serie explora cómo pueden fomentarse futuros digitales inclusivos a través de la educación, el emprendimiento y la inversión.</w:t>
      </w:r>
    </w:p>
    <w:p w14:paraId="588D6A93" w14:textId="1CA208DF" w:rsidR="007F4F86" w:rsidRPr="00087C0D" w:rsidRDefault="00077A4A" w:rsidP="00077A4A">
      <w:pPr>
        <w:pStyle w:val="enumlev1"/>
        <w:rPr>
          <w:lang w:val="es-ES"/>
        </w:rPr>
      </w:pPr>
      <w:r w:rsidRPr="00087C0D">
        <w:rPr>
          <w:lang w:val="es-ES"/>
        </w:rPr>
        <w:t>–</w:t>
      </w:r>
      <w:r w:rsidRPr="00087C0D">
        <w:rPr>
          <w:lang w:val="es-ES"/>
        </w:rPr>
        <w:tab/>
      </w:r>
      <w:r w:rsidR="007F4F86" w:rsidRPr="00087C0D">
        <w:rPr>
          <w:lang w:val="es-ES"/>
        </w:rPr>
        <w:t>la Junta refrendó dos informes prospectivos, centrados en las ciudades inteligentes y la atención sanitaria.</w:t>
      </w:r>
    </w:p>
    <w:p w14:paraId="443E6D6F" w14:textId="2EEEDD06" w:rsidR="007F4F86" w:rsidRPr="00087C0D" w:rsidRDefault="00077A4A" w:rsidP="00077A4A">
      <w:pPr>
        <w:pStyle w:val="enumlev1"/>
        <w:rPr>
          <w:lang w:val="es-ES"/>
        </w:rPr>
      </w:pPr>
      <w:r w:rsidRPr="00087C0D">
        <w:rPr>
          <w:lang w:val="es-ES"/>
        </w:rPr>
        <w:t>–</w:t>
      </w:r>
      <w:r w:rsidRPr="00087C0D">
        <w:rPr>
          <w:lang w:val="es-ES"/>
        </w:rPr>
        <w:tab/>
      </w:r>
      <w:r w:rsidR="007F4F86" w:rsidRPr="00087C0D">
        <w:rPr>
          <w:lang w:val="es-ES"/>
        </w:rPr>
        <w:t>los centros compartieron sus hojas de ruta nacionales, regionales y mundiales, que fueron bien recibidas y debatidas con comentarios constructivos de la Junta.</w:t>
      </w:r>
    </w:p>
    <w:p w14:paraId="29F9019C" w14:textId="5FE352DD" w:rsidR="007F4F86" w:rsidRPr="00087C0D" w:rsidRDefault="00077A4A" w:rsidP="00077A4A">
      <w:pPr>
        <w:pStyle w:val="enumlev1"/>
        <w:rPr>
          <w:lang w:val="es-ES"/>
        </w:rPr>
      </w:pPr>
      <w:r w:rsidRPr="00087C0D">
        <w:rPr>
          <w:lang w:val="es-ES"/>
        </w:rPr>
        <w:t>–</w:t>
      </w:r>
      <w:r w:rsidRPr="00087C0D">
        <w:rPr>
          <w:lang w:val="es-ES"/>
        </w:rPr>
        <w:tab/>
      </w:r>
      <w:r w:rsidR="007F4F86" w:rsidRPr="00087C0D">
        <w:rPr>
          <w:lang w:val="es-ES"/>
        </w:rPr>
        <w:t>los líderes de los expertos temáticos presentaron las hojas de ruta de sus planes de trabajo temáticos, compartieron su compromiso con los centros y solicitaron orientación a la Junta sobre los próximos pasos.</w:t>
      </w:r>
    </w:p>
    <w:p w14:paraId="50BF7FAF" w14:textId="77777777" w:rsidR="007F4F86" w:rsidRPr="00087C0D" w:rsidRDefault="007F4F86" w:rsidP="00077A4A">
      <w:pPr>
        <w:rPr>
          <w:rFonts w:eastAsia="Times New Roman" w:cstheme="minorBidi"/>
          <w:lang w:val="es-ES"/>
        </w:rPr>
      </w:pPr>
      <w:r w:rsidRPr="00087C0D">
        <w:rPr>
          <w:lang w:val="es-ES"/>
        </w:rPr>
        <w:t>La puesta en marcha de la Red de Expertos ha permitido a la Alianza crear comunidades de práctica, involucrando a más de 100 expertos en los objetivos estratégicos de la Alianza para compartir conocimientos, contribuir a su trabajo e impulsar la innovación en la UIT.</w:t>
      </w:r>
    </w:p>
    <w:p w14:paraId="5D923763" w14:textId="77777777" w:rsidR="007F4F86" w:rsidRPr="00087C0D" w:rsidRDefault="007F4F86" w:rsidP="00077A4A">
      <w:pPr>
        <w:rPr>
          <w:rFonts w:eastAsia="Times New Roman" w:cstheme="minorBidi"/>
          <w:lang w:val="es-ES"/>
        </w:rPr>
      </w:pPr>
      <w:r w:rsidRPr="00087C0D">
        <w:rPr>
          <w:lang w:val="es-ES"/>
        </w:rPr>
        <w:t>En general, la tercera reunión marcó la plena operatividad de todos los mecanismos de la Alianza, con el firme apoyo de la Secretaría de la BDT, sentando las bases para una ampliación de las actividades en 2026.</w:t>
      </w:r>
    </w:p>
    <w:p w14:paraId="4D63B07F" w14:textId="622A70D2" w:rsidR="007F4F86" w:rsidRPr="00087C0D" w:rsidRDefault="00077A4A" w:rsidP="00077A4A">
      <w:pPr>
        <w:pStyle w:val="Heading2"/>
        <w:rPr>
          <w:rFonts w:cstheme="minorBidi"/>
          <w:lang w:val="es-ES"/>
        </w:rPr>
      </w:pPr>
      <w:r w:rsidRPr="00087C0D">
        <w:rPr>
          <w:lang w:val="es-ES"/>
        </w:rPr>
        <w:lastRenderedPageBreak/>
        <w:t>1.2</w:t>
      </w:r>
      <w:r w:rsidRPr="00087C0D">
        <w:rPr>
          <w:lang w:val="es-ES"/>
        </w:rPr>
        <w:tab/>
      </w:r>
      <w:r w:rsidR="007F4F86" w:rsidRPr="00087C0D">
        <w:rPr>
          <w:lang w:val="es-ES"/>
        </w:rPr>
        <w:t>Red de Centros de Aceleración</w:t>
      </w:r>
    </w:p>
    <w:p w14:paraId="0476E8AF" w14:textId="77777777" w:rsidR="007F4F86" w:rsidRPr="00087C0D" w:rsidRDefault="007F4F86" w:rsidP="00077A4A">
      <w:pPr>
        <w:rPr>
          <w:rFonts w:cstheme="minorBidi"/>
          <w:lang w:val="es-ES"/>
        </w:rPr>
      </w:pPr>
      <w:r w:rsidRPr="00087C0D">
        <w:rPr>
          <w:lang w:val="es-ES"/>
        </w:rPr>
        <w:t>La Red de Centros de Aceleración de la UIT refuerza la innovación y el emprendimiento a escala mundial, regional y nacional, impulsando la transformación digital a través de la tecnología, la política y las iniciativas emblemáticas.</w:t>
      </w:r>
    </w:p>
    <w:p w14:paraId="60C92E4E" w14:textId="77777777" w:rsidR="007F4F86" w:rsidRPr="00087C0D" w:rsidRDefault="007F4F86" w:rsidP="00077A4A">
      <w:pPr>
        <w:rPr>
          <w:rFonts w:cstheme="minorBidi"/>
          <w:lang w:val="es-ES"/>
        </w:rPr>
      </w:pPr>
      <w:r w:rsidRPr="00087C0D">
        <w:rPr>
          <w:lang w:val="es-ES"/>
        </w:rPr>
        <w:t>De las 17 organizaciones inicialmente seleccionadas para acoger los centros, se esperaba que cada una de ellas se sometiera a un riguroso proceso para ser plenamente operativa. Este proceso incluyó:</w:t>
      </w:r>
    </w:p>
    <w:p w14:paraId="21025109" w14:textId="280FA2F2" w:rsidR="007F4F86" w:rsidRPr="00087C0D" w:rsidRDefault="00077A4A" w:rsidP="00077A4A">
      <w:pPr>
        <w:pStyle w:val="enumlev1"/>
        <w:rPr>
          <w:lang w:val="es-ES"/>
        </w:rPr>
      </w:pPr>
      <w:r w:rsidRPr="00087C0D">
        <w:rPr>
          <w:lang w:val="es-ES"/>
        </w:rPr>
        <w:t>–</w:t>
      </w:r>
      <w:r w:rsidRPr="00087C0D">
        <w:rPr>
          <w:lang w:val="es-ES"/>
        </w:rPr>
        <w:tab/>
      </w:r>
      <w:r w:rsidR="007F4F86" w:rsidRPr="00087C0D">
        <w:rPr>
          <w:lang w:val="es-ES"/>
        </w:rPr>
        <w:t>firmar un acuerdo de cooperación que rija las operaciones</w:t>
      </w:r>
      <w:r w:rsidRPr="00087C0D">
        <w:rPr>
          <w:lang w:val="es-ES"/>
        </w:rPr>
        <w:t>;</w:t>
      </w:r>
    </w:p>
    <w:p w14:paraId="70EB92EB" w14:textId="20AE75A1" w:rsidR="007F4F86" w:rsidRPr="00087C0D" w:rsidRDefault="00077A4A" w:rsidP="00077A4A">
      <w:pPr>
        <w:pStyle w:val="enumlev1"/>
        <w:rPr>
          <w:lang w:val="es-ES"/>
        </w:rPr>
      </w:pPr>
      <w:r w:rsidRPr="00087C0D">
        <w:rPr>
          <w:lang w:val="es-ES"/>
        </w:rPr>
        <w:t>–</w:t>
      </w:r>
      <w:r w:rsidRPr="00087C0D">
        <w:rPr>
          <w:lang w:val="es-ES"/>
        </w:rPr>
        <w:tab/>
      </w:r>
      <w:r w:rsidR="007F4F86" w:rsidRPr="00087C0D">
        <w:rPr>
          <w:lang w:val="es-ES"/>
        </w:rPr>
        <w:t>disponer de suficiente apoyo financiero y político para garantizar la sostenibilidad</w:t>
      </w:r>
      <w:r w:rsidRPr="00087C0D">
        <w:rPr>
          <w:lang w:val="es-ES"/>
        </w:rPr>
        <w:t>;</w:t>
      </w:r>
    </w:p>
    <w:p w14:paraId="18703A9C" w14:textId="747E822A" w:rsidR="007F4F86" w:rsidRPr="00087C0D" w:rsidRDefault="00077A4A" w:rsidP="00077A4A">
      <w:pPr>
        <w:pStyle w:val="enumlev1"/>
        <w:rPr>
          <w:lang w:val="es-ES"/>
        </w:rPr>
      </w:pPr>
      <w:r w:rsidRPr="00087C0D">
        <w:rPr>
          <w:lang w:val="es-ES"/>
        </w:rPr>
        <w:t>–</w:t>
      </w:r>
      <w:r w:rsidRPr="00087C0D">
        <w:rPr>
          <w:lang w:val="es-ES"/>
        </w:rPr>
        <w:tab/>
      </w:r>
      <w:r w:rsidR="007F4F86" w:rsidRPr="00087C0D">
        <w:rPr>
          <w:lang w:val="es-ES"/>
        </w:rPr>
        <w:t>colaborar con la Secretaría de la BDT durante el proceso de diseño y recibir apoyo en materia de capacitación sobre los procesos y marcos de la UIT para lograr la plena puesta en marcha.</w:t>
      </w:r>
    </w:p>
    <w:p w14:paraId="24852241" w14:textId="4C5AA49A" w:rsidR="007F4F86" w:rsidRPr="00087C0D" w:rsidRDefault="007F4F86" w:rsidP="00077A4A">
      <w:pPr>
        <w:rPr>
          <w:rFonts w:cstheme="minorBidi"/>
          <w:lang w:val="es-ES"/>
        </w:rPr>
      </w:pPr>
      <w:r w:rsidRPr="00087C0D">
        <w:rPr>
          <w:lang w:val="es-ES"/>
        </w:rPr>
        <w:t>En 2025, doce centros habían completado el proceso de diseño y estaban poniendo en marcha sus actividades.</w:t>
      </w:r>
    </w:p>
    <w:p w14:paraId="227FD834" w14:textId="0100521D" w:rsidR="007F4F86" w:rsidRPr="00087C0D" w:rsidRDefault="00077A4A" w:rsidP="00077A4A">
      <w:pPr>
        <w:pStyle w:val="enumlev1"/>
        <w:rPr>
          <w:lang w:val="es-ES"/>
        </w:rPr>
      </w:pPr>
      <w:r w:rsidRPr="00087C0D">
        <w:rPr>
          <w:lang w:val="es-ES"/>
        </w:rPr>
        <w:t>–</w:t>
      </w:r>
      <w:r w:rsidRPr="00087C0D">
        <w:rPr>
          <w:lang w:val="es-ES"/>
        </w:rPr>
        <w:tab/>
      </w:r>
      <w:r w:rsidR="007F4F86" w:rsidRPr="00087C0D">
        <w:rPr>
          <w:lang w:val="es-ES"/>
        </w:rPr>
        <w:t>En 2025, la BDT siguió prestando apoyo a los Centros de Aceleración de la UIT mediante iniciativas de capacitación, incluidos proyectos finales que sirven de lanzamiento de servicios. En particular, dos centros publicaron sus primeros informes de prospectiva estratégica en la CMDT-25.</w:t>
      </w:r>
    </w:p>
    <w:p w14:paraId="1D960C66" w14:textId="3150BA1A" w:rsidR="007F4F86" w:rsidRPr="00087C0D" w:rsidRDefault="00077A4A" w:rsidP="00077A4A">
      <w:pPr>
        <w:pStyle w:val="enumlev1"/>
        <w:rPr>
          <w:lang w:val="es-ES"/>
        </w:rPr>
      </w:pPr>
      <w:r w:rsidRPr="00087C0D">
        <w:rPr>
          <w:lang w:val="es-ES"/>
        </w:rPr>
        <w:t>–</w:t>
      </w:r>
      <w:r w:rsidRPr="00087C0D">
        <w:rPr>
          <w:lang w:val="es-ES"/>
        </w:rPr>
        <w:tab/>
      </w:r>
      <w:r w:rsidR="007F4F86" w:rsidRPr="00087C0D">
        <w:rPr>
          <w:lang w:val="es-ES"/>
        </w:rPr>
        <w:t xml:space="preserve">En 2025, la BDT llevó a cabo varias actividades de capacitación, incluido un plan de estudios en la plataforma de la Academia de la UIT (por ejemplo, </w:t>
      </w:r>
      <w:hyperlink r:id="rId29" w:anchor="/es" w:history="1">
        <w:r w:rsidR="007F4F86" w:rsidRPr="00087C0D">
          <w:rPr>
            <w:rStyle w:val="Hyperlink"/>
            <w:lang w:val="es-ES"/>
          </w:rPr>
          <w:t>Previsión estratégica 101</w:t>
        </w:r>
      </w:hyperlink>
      <w:r w:rsidR="007F4F86" w:rsidRPr="00087C0D">
        <w:rPr>
          <w:lang w:val="es-ES"/>
        </w:rPr>
        <w:t xml:space="preserve"> y </w:t>
      </w:r>
      <w:hyperlink r:id="rId30" w:anchor="/es" w:history="1">
        <w:r w:rsidR="007F4F86" w:rsidRPr="00087C0D">
          <w:rPr>
            <w:rStyle w:val="Hyperlink"/>
            <w:lang w:val="es-ES"/>
          </w:rPr>
          <w:t>201</w:t>
        </w:r>
      </w:hyperlink>
      <w:r w:rsidR="007F4F86" w:rsidRPr="00087C0D">
        <w:rPr>
          <w:lang w:val="es-ES"/>
        </w:rPr>
        <w:t xml:space="preserve"> y el </w:t>
      </w:r>
      <w:hyperlink r:id="rId31" w:anchor="/es" w:history="1">
        <w:r w:rsidR="007F4F86" w:rsidRPr="00087C0D">
          <w:rPr>
            <w:rStyle w:val="Hyperlink"/>
            <w:lang w:val="es-ES"/>
          </w:rPr>
          <w:t>Desarrollo de iniciativas para el Ecosistema 201</w:t>
        </w:r>
      </w:hyperlink>
      <w:r w:rsidR="007F4F86" w:rsidRPr="00087C0D">
        <w:rPr>
          <w:lang w:val="es-ES"/>
        </w:rPr>
        <w:t>) y talleres de iCodi coorganizados por la TDRA en los EAU.</w:t>
      </w:r>
      <w:hyperlink r:id="rId32" w:history="1"/>
      <w:hyperlink r:id="rId33" w:history="1"/>
      <w:hyperlink r:id="rId34" w:history="1"/>
    </w:p>
    <w:p w14:paraId="20665FCD" w14:textId="77777777" w:rsidR="007F4F86" w:rsidRPr="00087C0D" w:rsidRDefault="007F4F86" w:rsidP="00077A4A">
      <w:pPr>
        <w:rPr>
          <w:rFonts w:cstheme="minorBidi"/>
          <w:lang w:val="es-ES"/>
        </w:rPr>
      </w:pPr>
      <w:r w:rsidRPr="00087C0D">
        <w:rPr>
          <w:lang w:val="es-ES"/>
        </w:rPr>
        <w:t xml:space="preserve">Si bien muchos centros ya han prestado servicios a sus ecosistemas objetivo, otros se lanzan oficialmente a su propio ritmo, a menudo en consonancia con los planes u oportunidades nacionales. </w:t>
      </w:r>
    </w:p>
    <w:p w14:paraId="1275FE89" w14:textId="371B6725" w:rsidR="007F4F86" w:rsidRPr="00087C0D" w:rsidRDefault="00077A4A" w:rsidP="00077A4A">
      <w:pPr>
        <w:pStyle w:val="enumlev1"/>
        <w:rPr>
          <w:lang w:val="es-ES"/>
        </w:rPr>
      </w:pPr>
      <w:r w:rsidRPr="00087C0D">
        <w:rPr>
          <w:lang w:val="es-ES"/>
        </w:rPr>
        <w:t>–</w:t>
      </w:r>
      <w:r w:rsidRPr="00087C0D">
        <w:rPr>
          <w:lang w:val="es-ES"/>
        </w:rPr>
        <w:tab/>
      </w:r>
      <w:r w:rsidR="007F4F86" w:rsidRPr="00087C0D">
        <w:rPr>
          <w:lang w:val="es-ES"/>
        </w:rPr>
        <w:t xml:space="preserve">En noviembre de 2025, Azerbaiyán inauguró su </w:t>
      </w:r>
      <w:hyperlink r:id="rId35" w:history="1">
        <w:r w:rsidR="007F4F86" w:rsidRPr="00087C0D">
          <w:rPr>
            <w:rStyle w:val="Hyperlink"/>
            <w:lang w:val="es-ES"/>
          </w:rPr>
          <w:t>Centro de Aceleración de la UIT</w:t>
        </w:r>
      </w:hyperlink>
      <w:r w:rsidR="007F4F86" w:rsidRPr="00087C0D">
        <w:rPr>
          <w:lang w:val="es-ES"/>
        </w:rPr>
        <w:t xml:space="preserve"> en Bakú (Azerbaiyán), al margen de la CMDT-25. Este centro, de propiedad y financiación nacional, sirve de centro para que las empresas emergentes, las empresas y el gobierno fomenten la transformación digital en la región de la CEI.</w:t>
      </w:r>
      <w:hyperlink r:id="rId36" w:history="1"/>
    </w:p>
    <w:p w14:paraId="53B2970C" w14:textId="77777777" w:rsidR="007F4F86" w:rsidRPr="00087C0D" w:rsidRDefault="007F4F86" w:rsidP="00077A4A">
      <w:pPr>
        <w:rPr>
          <w:rFonts w:cstheme="minorBidi"/>
          <w:lang w:val="es-ES"/>
        </w:rPr>
      </w:pPr>
      <w:r w:rsidRPr="00087C0D">
        <w:rPr>
          <w:lang w:val="es-ES"/>
        </w:rPr>
        <w:t xml:space="preserve">La BDT sigue prestando apoyo a los países, según las necesidades, para que estudien la posibilidad de convertirse en un Centro de Aceleración de la UIT. A este respecto, la BDT ayudó a la Comisión de Comunicaciones, Espacio y Tecnología del Reino de Arabia Saudita a diseñar un centro especializado centrado en las tecnologías cuánticas. Este hito demuestra el enfoque de la UIT, ya que los centros, en calidad de orquestadores de ecosistemas, pueden adoptar enfoques temáticos o sectoriales especializados en función de las necesidades nacionales, que se determinan durante el proceso de diseño del centro. </w:t>
      </w:r>
    </w:p>
    <w:p w14:paraId="055999EE" w14:textId="77777777" w:rsidR="007F4F86" w:rsidRPr="00087C0D" w:rsidRDefault="007F4F86" w:rsidP="00077A4A">
      <w:pPr>
        <w:rPr>
          <w:rFonts w:cstheme="minorBidi"/>
          <w:lang w:val="es-ES"/>
        </w:rPr>
      </w:pPr>
      <w:r w:rsidRPr="00087C0D">
        <w:rPr>
          <w:lang w:val="es-ES"/>
        </w:rPr>
        <w:t xml:space="preserve">Los países interesados en establecer un Centro de aceleración de la UIT o aprender de la experiencia de los centros existentes pueden ponerse en contacto con la Secretaría para obtener más información en </w:t>
      </w:r>
      <w:hyperlink r:id="rId37" w:history="1">
        <w:r w:rsidRPr="00087C0D">
          <w:rPr>
            <w:rStyle w:val="Hyperlink"/>
            <w:lang w:val="es-ES"/>
          </w:rPr>
          <w:t>BDTinnovation@itu.int</w:t>
        </w:r>
      </w:hyperlink>
      <w:r w:rsidRPr="00087C0D">
        <w:rPr>
          <w:lang w:val="es-ES"/>
        </w:rPr>
        <w:t xml:space="preserve">. </w:t>
      </w:r>
      <w:hyperlink r:id="rId38" w:history="1"/>
    </w:p>
    <w:p w14:paraId="0471670B" w14:textId="77777777" w:rsidR="0032529E" w:rsidRPr="00087C0D" w:rsidRDefault="0032529E">
      <w:pPr>
        <w:tabs>
          <w:tab w:val="clear" w:pos="1134"/>
          <w:tab w:val="clear" w:pos="1871"/>
          <w:tab w:val="clear" w:pos="2268"/>
        </w:tabs>
        <w:overflowPunct/>
        <w:autoSpaceDE/>
        <w:autoSpaceDN/>
        <w:adjustRightInd/>
        <w:spacing w:before="0"/>
        <w:textAlignment w:val="auto"/>
        <w:rPr>
          <w:b/>
          <w:lang w:val="es-ES"/>
        </w:rPr>
      </w:pPr>
      <w:r w:rsidRPr="00087C0D">
        <w:rPr>
          <w:lang w:val="es-ES"/>
        </w:rPr>
        <w:br w:type="page"/>
      </w:r>
    </w:p>
    <w:p w14:paraId="582A3E79" w14:textId="67AB7E6C" w:rsidR="0032529E" w:rsidRPr="00087C0D" w:rsidRDefault="00077A4A" w:rsidP="0032529E">
      <w:pPr>
        <w:pStyle w:val="Heading2"/>
        <w:rPr>
          <w:lang w:val="es-ES"/>
        </w:rPr>
      </w:pPr>
      <w:r w:rsidRPr="00087C0D">
        <w:rPr>
          <w:lang w:val="es-ES"/>
        </w:rPr>
        <w:lastRenderedPageBreak/>
        <w:t>1.3</w:t>
      </w:r>
      <w:r w:rsidRPr="00087C0D">
        <w:rPr>
          <w:lang w:val="es-ES"/>
        </w:rPr>
        <w:tab/>
      </w:r>
      <w:r w:rsidR="007F4F86" w:rsidRPr="00087C0D">
        <w:rPr>
          <w:lang w:val="es-ES"/>
        </w:rPr>
        <w:t>Laboratorio de Transformación Digital</w:t>
      </w:r>
    </w:p>
    <w:p w14:paraId="284F24D6" w14:textId="77777777" w:rsidR="007F4F86" w:rsidRPr="00087C0D" w:rsidRDefault="007F4F86" w:rsidP="00077A4A">
      <w:pPr>
        <w:rPr>
          <w:rFonts w:cstheme="minorBidi"/>
          <w:lang w:val="es-ES"/>
        </w:rPr>
      </w:pPr>
      <w:r w:rsidRPr="00087C0D">
        <w:rPr>
          <w:lang w:val="es-ES"/>
        </w:rPr>
        <w:t>El Laboratorio de Transformación Digital (DT Lab) desarrolla programas de conocimiento de innovación para fortalecer a la Alianza y a sus partes interesadas. Alcanza sus objetivos mediante:</w:t>
      </w:r>
    </w:p>
    <w:p w14:paraId="7F44FC81" w14:textId="4B2474F7" w:rsidR="007F4F86" w:rsidRPr="00087C0D" w:rsidRDefault="00077A4A" w:rsidP="00077A4A">
      <w:pPr>
        <w:pStyle w:val="enumlev1"/>
        <w:rPr>
          <w:rFonts w:eastAsia="Times New Roman" w:cstheme="minorBidi"/>
          <w:lang w:val="es-ES"/>
        </w:rPr>
      </w:pPr>
      <w:r w:rsidRPr="00087C0D">
        <w:rPr>
          <w:lang w:val="es-ES"/>
        </w:rPr>
        <w:t>–</w:t>
      </w:r>
      <w:r w:rsidRPr="00087C0D">
        <w:rPr>
          <w:lang w:val="es-ES"/>
        </w:rPr>
        <w:tab/>
      </w:r>
      <w:r w:rsidR="007F4F86" w:rsidRPr="00087C0D">
        <w:rPr>
          <w:lang w:val="es-ES"/>
        </w:rPr>
        <w:t>la elaboración de guías con marcos de conocimientos, procedimientos normalizados de trabajo y modelos de prestación de servicios para centros</w:t>
      </w:r>
      <w:r w:rsidR="0032529E" w:rsidRPr="00087C0D">
        <w:rPr>
          <w:lang w:val="es-ES"/>
        </w:rPr>
        <w:t>;</w:t>
      </w:r>
    </w:p>
    <w:p w14:paraId="1497EE1B" w14:textId="59CC7EA3" w:rsidR="007F4F86" w:rsidRPr="00087C0D" w:rsidRDefault="00077A4A" w:rsidP="00077A4A">
      <w:pPr>
        <w:pStyle w:val="enumlev1"/>
        <w:rPr>
          <w:rFonts w:eastAsia="Times New Roman" w:cstheme="minorBidi"/>
          <w:lang w:val="es-ES"/>
        </w:rPr>
      </w:pPr>
      <w:r w:rsidRPr="00087C0D">
        <w:rPr>
          <w:lang w:val="es-ES"/>
        </w:rPr>
        <w:t>–</w:t>
      </w:r>
      <w:r w:rsidRPr="00087C0D">
        <w:rPr>
          <w:lang w:val="es-ES"/>
        </w:rPr>
        <w:tab/>
      </w:r>
      <w:r w:rsidR="007F4F86" w:rsidRPr="00087C0D">
        <w:rPr>
          <w:lang w:val="es-ES"/>
        </w:rPr>
        <w:t>la creación de herramientas para que el contenido sea accesible a todos los interesados del ecosistema</w:t>
      </w:r>
      <w:r w:rsidR="0032529E" w:rsidRPr="00087C0D">
        <w:rPr>
          <w:lang w:val="es-ES"/>
        </w:rPr>
        <w:t>;</w:t>
      </w:r>
    </w:p>
    <w:p w14:paraId="2396446C" w14:textId="015EAE39" w:rsidR="007F4F86" w:rsidRPr="00087C0D" w:rsidRDefault="00077A4A" w:rsidP="00077A4A">
      <w:pPr>
        <w:pStyle w:val="enumlev1"/>
        <w:rPr>
          <w:rFonts w:eastAsia="Times New Roman" w:cstheme="minorBidi"/>
          <w:lang w:val="es-ES"/>
        </w:rPr>
      </w:pPr>
      <w:r w:rsidRPr="00087C0D">
        <w:rPr>
          <w:lang w:val="es-ES"/>
        </w:rPr>
        <w:t>–</w:t>
      </w:r>
      <w:r w:rsidRPr="00087C0D">
        <w:rPr>
          <w:lang w:val="es-ES"/>
        </w:rPr>
        <w:tab/>
      </w:r>
      <w:r w:rsidR="007F4F86" w:rsidRPr="00087C0D">
        <w:rPr>
          <w:lang w:val="es-ES"/>
        </w:rPr>
        <w:t>la realización de talleres y cursos de capacitación a través de la Academia de la UIT</w:t>
      </w:r>
      <w:r w:rsidR="0032529E" w:rsidRPr="00087C0D">
        <w:rPr>
          <w:lang w:val="es-ES"/>
        </w:rPr>
        <w:t>;</w:t>
      </w:r>
    </w:p>
    <w:p w14:paraId="56CBA911" w14:textId="620320D1" w:rsidR="007F4F86" w:rsidRPr="00087C0D" w:rsidRDefault="00077A4A" w:rsidP="00077A4A">
      <w:pPr>
        <w:pStyle w:val="enumlev1"/>
        <w:rPr>
          <w:rFonts w:eastAsia="Times New Roman" w:cstheme="minorBidi"/>
          <w:lang w:val="es-ES"/>
        </w:rPr>
      </w:pPr>
      <w:r w:rsidRPr="00087C0D">
        <w:rPr>
          <w:lang w:val="es-ES"/>
        </w:rPr>
        <w:t>–</w:t>
      </w:r>
      <w:r w:rsidRPr="00087C0D">
        <w:rPr>
          <w:lang w:val="es-ES"/>
        </w:rPr>
        <w:tab/>
      </w:r>
      <w:r w:rsidR="007F4F86" w:rsidRPr="00087C0D">
        <w:rPr>
          <w:lang w:val="es-ES"/>
        </w:rPr>
        <w:t>el apoyo a la Red de Expertos y a la Junta de Innovación Digital en la ejecución de sus planes de trabajo</w:t>
      </w:r>
      <w:r w:rsidR="0032529E" w:rsidRPr="00087C0D">
        <w:rPr>
          <w:lang w:val="es-ES"/>
        </w:rPr>
        <w:t>;</w:t>
      </w:r>
    </w:p>
    <w:p w14:paraId="5E21D61A" w14:textId="35D49315" w:rsidR="007F4F86" w:rsidRPr="00087C0D" w:rsidRDefault="00077A4A" w:rsidP="00077A4A">
      <w:pPr>
        <w:pStyle w:val="enumlev1"/>
        <w:rPr>
          <w:rFonts w:eastAsia="Times New Roman" w:cstheme="minorBidi"/>
          <w:lang w:val="es-ES"/>
        </w:rPr>
      </w:pPr>
      <w:r w:rsidRPr="00087C0D">
        <w:rPr>
          <w:lang w:val="es-ES"/>
        </w:rPr>
        <w:t>–</w:t>
      </w:r>
      <w:r w:rsidRPr="00087C0D">
        <w:rPr>
          <w:lang w:val="es-ES"/>
        </w:rPr>
        <w:tab/>
      </w:r>
      <w:r w:rsidR="007F4F86" w:rsidRPr="00087C0D">
        <w:rPr>
          <w:lang w:val="es-ES"/>
        </w:rPr>
        <w:t>la asistencia en el diseño y funcionamiento de centros.</w:t>
      </w:r>
    </w:p>
    <w:p w14:paraId="531F96FC" w14:textId="77777777" w:rsidR="007F4F86" w:rsidRPr="00087C0D" w:rsidRDefault="007F4F86" w:rsidP="00077A4A">
      <w:pPr>
        <w:rPr>
          <w:rFonts w:cstheme="minorBidi"/>
          <w:lang w:val="es-ES"/>
        </w:rPr>
      </w:pPr>
      <w:r w:rsidRPr="00087C0D">
        <w:rPr>
          <w:lang w:val="es-ES"/>
        </w:rPr>
        <w:t>En anteriores informes al GADT figura una lista exhaustiva de manuales e iniciativas y eventos de capacitación con los centros de aceleración de la UIT.</w:t>
      </w:r>
    </w:p>
    <w:p w14:paraId="7DF01ED4" w14:textId="77777777" w:rsidR="007F4F86" w:rsidRPr="00087C0D" w:rsidRDefault="007F4F86" w:rsidP="00077A4A">
      <w:pPr>
        <w:rPr>
          <w:rFonts w:cstheme="minorHAnsi"/>
          <w:szCs w:val="24"/>
          <w:lang w:val="es-ES"/>
        </w:rPr>
      </w:pPr>
      <w:r w:rsidRPr="00087C0D">
        <w:rPr>
          <w:lang w:val="es-ES"/>
        </w:rPr>
        <w:t xml:space="preserve">Además, en 2025, la BDT finalizó el conjunto de herramientas para el </w:t>
      </w:r>
      <w:hyperlink r:id="rId39" w:history="1">
        <w:r w:rsidRPr="00087C0D">
          <w:rPr>
            <w:rStyle w:val="Hyperlink"/>
            <w:lang w:val="es-ES"/>
          </w:rPr>
          <w:t>Acelerador de Iniciativas Regionales</w:t>
        </w:r>
      </w:hyperlink>
      <w:r w:rsidRPr="00087C0D">
        <w:rPr>
          <w:lang w:val="es-ES"/>
        </w:rPr>
        <w:t xml:space="preserve"> (Acelerador de IR), que se mejorará para apoyar la implementación de las iniciativas regionales de la CMDT-25 recientemente aprobadas. Se realizaron pruebas exhaustivas del Acelerador de IR utilizando las Iniciativas Regionales de Kigali y, en 2026, la BDT tiene previsto seguir poniendo en funcionamiento el Acelerador de IR utilizando las Iniciativas Regionales recientemente aprobadas de Bakú con las siguientes acciones:</w:t>
      </w:r>
      <w:hyperlink r:id="rId40"/>
    </w:p>
    <w:p w14:paraId="7FDBB0AF" w14:textId="009683CB" w:rsidR="007F4F86" w:rsidRPr="00087C0D" w:rsidRDefault="00077A4A" w:rsidP="00077A4A">
      <w:pPr>
        <w:pStyle w:val="enumlev1"/>
        <w:rPr>
          <w:lang w:val="es-ES"/>
        </w:rPr>
      </w:pPr>
      <w:r w:rsidRPr="00087C0D">
        <w:rPr>
          <w:lang w:val="es-ES"/>
        </w:rPr>
        <w:t>–</w:t>
      </w:r>
      <w:r w:rsidRPr="00087C0D">
        <w:rPr>
          <w:lang w:val="es-ES"/>
        </w:rPr>
        <w:tab/>
      </w:r>
      <w:r w:rsidR="007F4F86" w:rsidRPr="00087C0D">
        <w:rPr>
          <w:lang w:val="es-ES"/>
        </w:rPr>
        <w:t>organización de talleres sobre iniciativas regionales en las regiones de África y Asia</w:t>
      </w:r>
      <w:r w:rsidR="0032529E" w:rsidRPr="00087C0D">
        <w:rPr>
          <w:lang w:val="es-ES"/>
        </w:rPr>
        <w:noBreakHyphen/>
      </w:r>
      <w:r w:rsidR="007F4F86" w:rsidRPr="00087C0D">
        <w:rPr>
          <w:lang w:val="es-ES"/>
        </w:rPr>
        <w:t>Pacífico</w:t>
      </w:r>
      <w:r w:rsidR="0032529E" w:rsidRPr="00087C0D">
        <w:rPr>
          <w:lang w:val="es-ES"/>
        </w:rPr>
        <w:t>;</w:t>
      </w:r>
    </w:p>
    <w:p w14:paraId="2A162B94" w14:textId="322C3B28" w:rsidR="007F4F86" w:rsidRPr="00087C0D" w:rsidRDefault="00077A4A" w:rsidP="00077A4A">
      <w:pPr>
        <w:pStyle w:val="enumlev1"/>
        <w:rPr>
          <w:lang w:val="es-ES"/>
        </w:rPr>
      </w:pPr>
      <w:r w:rsidRPr="00087C0D">
        <w:rPr>
          <w:lang w:val="es-ES"/>
        </w:rPr>
        <w:t>–</w:t>
      </w:r>
      <w:r w:rsidRPr="00087C0D">
        <w:rPr>
          <w:lang w:val="es-ES"/>
        </w:rPr>
        <w:tab/>
      </w:r>
      <w:r w:rsidR="007F4F86" w:rsidRPr="00087C0D">
        <w:rPr>
          <w:lang w:val="es-ES"/>
        </w:rPr>
        <w:t>lanzamiento oficial del conjunto de herramientas</w:t>
      </w:r>
      <w:r w:rsidR="0032529E" w:rsidRPr="00087C0D">
        <w:rPr>
          <w:lang w:val="es-ES"/>
        </w:rPr>
        <w:t>;</w:t>
      </w:r>
    </w:p>
    <w:p w14:paraId="2F9285F0" w14:textId="0AA94B3F" w:rsidR="007F4F86" w:rsidRPr="00087C0D" w:rsidRDefault="00077A4A" w:rsidP="00077A4A">
      <w:pPr>
        <w:pStyle w:val="enumlev1"/>
        <w:rPr>
          <w:rFonts w:eastAsia="Times New Roman" w:cstheme="minorBidi"/>
          <w:lang w:val="es-ES"/>
        </w:rPr>
      </w:pPr>
      <w:r w:rsidRPr="00087C0D">
        <w:rPr>
          <w:lang w:val="es-ES"/>
        </w:rPr>
        <w:t>–</w:t>
      </w:r>
      <w:r w:rsidRPr="00087C0D">
        <w:rPr>
          <w:lang w:val="es-ES"/>
        </w:rPr>
        <w:tab/>
      </w:r>
      <w:r w:rsidR="007F4F86" w:rsidRPr="00087C0D">
        <w:rPr>
          <w:lang w:val="es-ES"/>
        </w:rPr>
        <w:t>elaboración e impartición de un curso de capacitación de la Academia de la UIT con un proyecto final para todas las regiones.</w:t>
      </w:r>
    </w:p>
    <w:p w14:paraId="2329125E" w14:textId="77777777" w:rsidR="007F4F86" w:rsidRPr="00087C0D" w:rsidRDefault="007F4F86" w:rsidP="00077A4A">
      <w:pPr>
        <w:rPr>
          <w:rFonts w:cstheme="minorBidi"/>
          <w:lang w:val="es-ES"/>
        </w:rPr>
      </w:pPr>
      <w:r w:rsidRPr="00087C0D">
        <w:rPr>
          <w:lang w:val="es-ES"/>
        </w:rPr>
        <w:t>La BDT también ha avanzado significativamente en la elaboración de una nueva herramienta sobre aceleración de la innovación y la normalización de tecnologías abiertas y emergentes, en apoyo de su colaboración con la TSB para reducir la brecha de normalización. Está previsto celebrar un taller piloto en 2026, antes de que se lance el conjunto de herramientas.</w:t>
      </w:r>
    </w:p>
    <w:p w14:paraId="79B2733E" w14:textId="77777777" w:rsidR="007F4F86" w:rsidRPr="00087C0D" w:rsidRDefault="007F4F86" w:rsidP="00077A4A">
      <w:pPr>
        <w:rPr>
          <w:rFonts w:cstheme="minorBidi"/>
          <w:lang w:val="es-ES"/>
        </w:rPr>
      </w:pPr>
      <w:r w:rsidRPr="00087C0D">
        <w:rPr>
          <w:lang w:val="es-ES"/>
        </w:rPr>
        <w:t>El Laboratorio de Transformación Digital sigue reforzando la capacidad de innovación interna de las divisiones, servicios y miembros de la BDT. Su experiencia ha respaldado numerosas iniciativas internas de creación conjunta, incluida la participación del personal y el desarrollo de productos y servicios innovadores en apoyo del Plan de Acción y las Resoluciones de la CMDT, así como el apoyo a la innovación para los Estados Miembros que lo soliciten. Se alienta a los miembros de la UIT a ponerse en contacto con la BDT para saber cómo utilizar este mecanismo.</w:t>
      </w:r>
    </w:p>
    <w:p w14:paraId="4DFBFC39" w14:textId="2BB694D2" w:rsidR="007F4F86" w:rsidRPr="00087C0D" w:rsidRDefault="00077A4A" w:rsidP="00077A4A">
      <w:pPr>
        <w:pStyle w:val="Heading2"/>
        <w:rPr>
          <w:rFonts w:cstheme="minorBidi"/>
          <w:lang w:val="es-ES"/>
        </w:rPr>
      </w:pPr>
      <w:r w:rsidRPr="00087C0D">
        <w:rPr>
          <w:lang w:val="es-ES"/>
        </w:rPr>
        <w:t>1.4</w:t>
      </w:r>
      <w:r w:rsidRPr="00087C0D">
        <w:rPr>
          <w:lang w:val="es-ES"/>
        </w:rPr>
        <w:tab/>
      </w:r>
      <w:r w:rsidR="007F4F86" w:rsidRPr="00087C0D">
        <w:rPr>
          <w:lang w:val="es-ES"/>
        </w:rPr>
        <w:t>Actualización de la CMDT-25</w:t>
      </w:r>
    </w:p>
    <w:p w14:paraId="5707E35C" w14:textId="77777777" w:rsidR="007F4F86" w:rsidRPr="00087C0D" w:rsidRDefault="007F4F86" w:rsidP="00077A4A">
      <w:pPr>
        <w:rPr>
          <w:rFonts w:cstheme="minorBidi"/>
          <w:lang w:val="es-ES"/>
        </w:rPr>
      </w:pPr>
      <w:r w:rsidRPr="00087C0D">
        <w:rPr>
          <w:lang w:val="es-ES"/>
        </w:rPr>
        <w:t xml:space="preserve">Tras la </w:t>
      </w:r>
      <w:hyperlink r:id="rId41" w:history="1">
        <w:r w:rsidRPr="00087C0D">
          <w:rPr>
            <w:rStyle w:val="Hyperlink"/>
            <w:lang w:val="es-ES"/>
          </w:rPr>
          <w:t>Conferencia Mundial de Desarrollo de las Telecomunicaciones (CMDT-25)</w:t>
        </w:r>
      </w:hyperlink>
      <w:r w:rsidRPr="00087C0D">
        <w:rPr>
          <w:lang w:val="es-ES"/>
        </w:rPr>
        <w:t xml:space="preserve"> celebrada en Bakú, la Alianza fue reconocida oficialmente en el marco del </w:t>
      </w:r>
      <w:hyperlink r:id="rId42" w:history="1">
        <w:r w:rsidRPr="00087C0D">
          <w:rPr>
            <w:rStyle w:val="Hyperlink"/>
            <w:lang w:val="es-ES"/>
          </w:rPr>
          <w:t>Plan de Acción de Bakú</w:t>
        </w:r>
      </w:hyperlink>
      <w:r w:rsidRPr="00087C0D">
        <w:rPr>
          <w:lang w:val="es-ES"/>
        </w:rPr>
        <w:t>:</w:t>
      </w:r>
      <w:hyperlink r:id="rId43" w:history="1"/>
      <w:hyperlink r:id="rId44" w:history="1"/>
    </w:p>
    <w:p w14:paraId="64AA134A" w14:textId="246F40BB" w:rsidR="007F4F86" w:rsidRPr="00087C0D" w:rsidRDefault="00077A4A" w:rsidP="00077A4A">
      <w:pPr>
        <w:pStyle w:val="enumlev1"/>
        <w:rPr>
          <w:lang w:val="es-ES"/>
        </w:rPr>
      </w:pPr>
      <w:r w:rsidRPr="00087C0D">
        <w:rPr>
          <w:lang w:val="es-ES"/>
        </w:rPr>
        <w:t>–</w:t>
      </w:r>
      <w:r w:rsidRPr="00087C0D">
        <w:rPr>
          <w:lang w:val="es-ES"/>
        </w:rPr>
        <w:tab/>
      </w:r>
      <w:r w:rsidR="007F4F86" w:rsidRPr="00087C0D">
        <w:rPr>
          <w:lang w:val="es-ES"/>
        </w:rPr>
        <w:t>Se ha reconocido que los Centros de la Alianza desempeñan un papel fundamental en el fortalecimiento de la presencia regional de la UIT, incluso mediante la adopción de la nueva Resolución 92 sobre el fortalecimiento de la presencia regional.</w:t>
      </w:r>
    </w:p>
    <w:p w14:paraId="6BB2FA09" w14:textId="6D5AEE98" w:rsidR="007F4F86" w:rsidRPr="00087C0D" w:rsidRDefault="00077A4A" w:rsidP="00077A4A">
      <w:pPr>
        <w:pStyle w:val="enumlev1"/>
        <w:rPr>
          <w:rFonts w:cstheme="minorBidi"/>
          <w:lang w:val="es-ES"/>
        </w:rPr>
      </w:pPr>
      <w:r w:rsidRPr="00087C0D">
        <w:rPr>
          <w:lang w:val="es-ES"/>
        </w:rPr>
        <w:t>–</w:t>
      </w:r>
      <w:r w:rsidRPr="00087C0D">
        <w:rPr>
          <w:lang w:val="es-ES"/>
        </w:rPr>
        <w:tab/>
      </w:r>
      <w:r w:rsidR="007F4F86" w:rsidRPr="00087C0D">
        <w:rPr>
          <w:lang w:val="es-ES"/>
        </w:rPr>
        <w:t xml:space="preserve">Los objetivos de alto nivel de la Alianza y sus productos, incluida la </w:t>
      </w:r>
      <w:hyperlink r:id="rId45" w:history="1">
        <w:r w:rsidR="007F4F86" w:rsidRPr="00087C0D">
          <w:rPr>
            <w:rStyle w:val="Hyperlink"/>
            <w:color w:val="auto"/>
            <w:u w:val="none"/>
            <w:lang w:val="es-ES"/>
          </w:rPr>
          <w:t>previsión estratégica</w:t>
        </w:r>
      </w:hyperlink>
      <w:r w:rsidR="007F4F86" w:rsidRPr="00087C0D">
        <w:rPr>
          <w:lang w:val="es-ES"/>
        </w:rPr>
        <w:t xml:space="preserve">, el desarrollo de un ecosistema de asociaciones y la función del </w:t>
      </w:r>
      <w:hyperlink r:id="rId46" w:history="1">
        <w:r w:rsidR="007F4F86" w:rsidRPr="00087C0D">
          <w:rPr>
            <w:rStyle w:val="Hyperlink"/>
            <w:lang w:val="es-ES"/>
          </w:rPr>
          <w:t xml:space="preserve">Acelerador </w:t>
        </w:r>
        <w:r w:rsidR="007F4F86" w:rsidRPr="00087C0D">
          <w:rPr>
            <w:rStyle w:val="Hyperlink"/>
            <w:lang w:val="es-ES"/>
          </w:rPr>
          <w:lastRenderedPageBreak/>
          <w:t>de Iniciativas Regionales</w:t>
        </w:r>
      </w:hyperlink>
      <w:r w:rsidR="007F4F86" w:rsidRPr="00087C0D">
        <w:rPr>
          <w:lang w:val="es-ES"/>
        </w:rPr>
        <w:t>, también han sido refrendados en las resoluciones pertinentes adoptadas en la CMDT-25.</w:t>
      </w:r>
      <w:hyperlink r:id="rId47"/>
      <w:hyperlink r:id="rId48" w:history="1"/>
    </w:p>
    <w:p w14:paraId="4C2F2AA6" w14:textId="77777777" w:rsidR="007F4F86" w:rsidRPr="00087C0D" w:rsidRDefault="007F4F86" w:rsidP="00077A4A">
      <w:pPr>
        <w:rPr>
          <w:rFonts w:cstheme="minorBidi"/>
          <w:lang w:val="es-ES"/>
        </w:rPr>
      </w:pPr>
      <w:r w:rsidRPr="00087C0D">
        <w:rPr>
          <w:lang w:val="es-ES"/>
        </w:rPr>
        <w:t>Además, en el marco del Plan de Acción de Bakú, la Alianza apoya los siguientes resultados previstos para la prioridad de transformación digital:</w:t>
      </w:r>
    </w:p>
    <w:p w14:paraId="4883F40D" w14:textId="6E199F94" w:rsidR="007F4F86" w:rsidRPr="00087C0D" w:rsidRDefault="00077A4A" w:rsidP="00077A4A">
      <w:pPr>
        <w:pStyle w:val="enumlev1"/>
        <w:rPr>
          <w:lang w:val="es-ES"/>
        </w:rPr>
      </w:pPr>
      <w:r w:rsidRPr="00087C0D">
        <w:rPr>
          <w:lang w:val="es-ES"/>
        </w:rPr>
        <w:t>–</w:t>
      </w:r>
      <w:r w:rsidRPr="00087C0D">
        <w:rPr>
          <w:lang w:val="es-ES"/>
        </w:rPr>
        <w:tab/>
      </w:r>
      <w:r w:rsidR="007F4F86" w:rsidRPr="00087C0D">
        <w:rPr>
          <w:lang w:val="es-ES"/>
        </w:rPr>
        <w:t>mayor capacidad nacional para el desarrollo y la adopción de telecomunicaciones/TIC locales</w:t>
      </w:r>
      <w:r w:rsidR="00B750F0" w:rsidRPr="00087C0D">
        <w:rPr>
          <w:lang w:val="es-ES"/>
        </w:rPr>
        <w:t>;</w:t>
      </w:r>
    </w:p>
    <w:p w14:paraId="09367716" w14:textId="2A8A6A0D" w:rsidR="007F4F86" w:rsidRPr="00087C0D" w:rsidRDefault="00077A4A" w:rsidP="00077A4A">
      <w:pPr>
        <w:pStyle w:val="enumlev1"/>
        <w:rPr>
          <w:lang w:val="es-ES"/>
        </w:rPr>
      </w:pPr>
      <w:r w:rsidRPr="00087C0D">
        <w:rPr>
          <w:lang w:val="es-ES"/>
        </w:rPr>
        <w:t>–</w:t>
      </w:r>
      <w:r w:rsidRPr="00087C0D">
        <w:rPr>
          <w:lang w:val="es-ES"/>
        </w:rPr>
        <w:tab/>
      </w:r>
      <w:r w:rsidR="007F4F86" w:rsidRPr="00087C0D">
        <w:rPr>
          <w:lang w:val="es-ES"/>
        </w:rPr>
        <w:t>refuerzo de la capacidad para desarrollar e integrar la innovación y la digitalización de las telecomunicaciones/TIC en las agendas nacionales de desarrollo</w:t>
      </w:r>
      <w:r w:rsidR="00B750F0" w:rsidRPr="00087C0D">
        <w:rPr>
          <w:lang w:val="es-ES"/>
        </w:rPr>
        <w:t>;</w:t>
      </w:r>
    </w:p>
    <w:p w14:paraId="09832ABD" w14:textId="1A03F233" w:rsidR="007F4F86" w:rsidRPr="00087C0D" w:rsidRDefault="00077A4A" w:rsidP="00077A4A">
      <w:pPr>
        <w:pStyle w:val="enumlev1"/>
        <w:rPr>
          <w:rFonts w:cstheme="minorBidi"/>
          <w:lang w:val="es-ES"/>
        </w:rPr>
      </w:pPr>
      <w:r w:rsidRPr="00087C0D">
        <w:rPr>
          <w:lang w:val="es-ES"/>
        </w:rPr>
        <w:t>–</w:t>
      </w:r>
      <w:r w:rsidRPr="00087C0D">
        <w:rPr>
          <w:lang w:val="es-ES"/>
        </w:rPr>
        <w:tab/>
      </w:r>
      <w:r w:rsidR="007F4F86" w:rsidRPr="00087C0D">
        <w:rPr>
          <w:lang w:val="es-ES"/>
        </w:rPr>
        <w:t>mejora de la capacidad humana e institucional de los miembros de la UIT en materia de telecomunicaciones/TIC para fomentar la transformación digital.</w:t>
      </w:r>
    </w:p>
    <w:p w14:paraId="080B3A6E" w14:textId="77777777" w:rsidR="007F4F86" w:rsidRPr="00087C0D" w:rsidRDefault="007F4F86" w:rsidP="00077A4A">
      <w:pPr>
        <w:rPr>
          <w:rFonts w:cstheme="minorBidi"/>
          <w:lang w:val="es-ES"/>
        </w:rPr>
      </w:pPr>
      <w:r w:rsidRPr="00087C0D">
        <w:rPr>
          <w:lang w:val="es-ES"/>
        </w:rPr>
        <w:t>La CMDT-25 reconoció el Acelerador de IR en Resoluciones e Iniciativas Regionales nuevas y existentes, lo que supone un hito que permite a la Alianza por la Innovación contribuir plenamente a la labor de la BDT y demostrar el enfoque flexible y sistémico de la Alianza.</w:t>
      </w:r>
    </w:p>
    <w:p w14:paraId="31CD300E" w14:textId="43A2E430" w:rsidR="007F4F86" w:rsidRPr="00087C0D" w:rsidRDefault="007F4F86" w:rsidP="00077A4A">
      <w:pPr>
        <w:rPr>
          <w:rFonts w:cstheme="minorBidi"/>
          <w:lang w:val="es-ES"/>
        </w:rPr>
      </w:pPr>
      <w:r w:rsidRPr="00087C0D">
        <w:rPr>
          <w:lang w:val="es-ES"/>
        </w:rPr>
        <w:t>Concretamente, en la Resolución 92 (Bakú, 2025), "Fortalecimiento del papel de las Oficinas Regionales de la UIT en la aceleración de la transformación digital y el aprovechamiento de las alianzas", se encarga al Director de la BDT "que establezca un marco acelerador de iniciativas regionales en las oficinas regionales, en colaboración con los Estados Miembros y los socios, para apoyar el diseño conjunto de proyectos viables que estén en consonancia con las prioridades del UIT</w:t>
      </w:r>
      <w:r w:rsidR="00B750F0" w:rsidRPr="00087C0D">
        <w:rPr>
          <w:lang w:val="es-ES"/>
        </w:rPr>
        <w:noBreakHyphen/>
      </w:r>
      <w:r w:rsidRPr="00087C0D">
        <w:rPr>
          <w:lang w:val="es-ES"/>
        </w:rPr>
        <w:t>D y las regiones, dentro de los recursos disponibles".</w:t>
      </w:r>
    </w:p>
    <w:p w14:paraId="27B9555D" w14:textId="5F6033BF" w:rsidR="007F4F86" w:rsidRPr="00087C0D" w:rsidRDefault="007F4F86" w:rsidP="00077A4A">
      <w:pPr>
        <w:rPr>
          <w:rFonts w:cstheme="minorBidi"/>
          <w:lang w:val="es-ES"/>
        </w:rPr>
      </w:pPr>
      <w:r w:rsidRPr="00087C0D">
        <w:rPr>
          <w:lang w:val="es-ES"/>
        </w:rPr>
        <w:t>La creciente necesidad del Acelerador de IR también se refleja en la iniciativa EUR</w:t>
      </w:r>
      <w:r w:rsidR="00B750F0" w:rsidRPr="00087C0D">
        <w:rPr>
          <w:lang w:val="es-ES"/>
        </w:rPr>
        <w:t> </w:t>
      </w:r>
      <w:r w:rsidRPr="00087C0D">
        <w:rPr>
          <w:lang w:val="es-ES"/>
        </w:rPr>
        <w:t>5, cuyos resultados previstos son las</w:t>
      </w:r>
      <w:r w:rsidR="00087C0D">
        <w:rPr>
          <w:lang w:val="es-ES"/>
        </w:rPr>
        <w:t xml:space="preserve"> </w:t>
      </w:r>
      <w:r w:rsidRPr="00087C0D">
        <w:rPr>
          <w:lang w:val="es-ES"/>
        </w:rPr>
        <w:t>"</w:t>
      </w:r>
      <w:r w:rsidRPr="00087C0D">
        <w:rPr>
          <w:lang w:val="es-ES" w:eastAsia="pl-PL"/>
        </w:rPr>
        <w:t>Iniciativas y proyectos de creación de ecosistemas desarrollados en consonancia con el Marco de Aceleración de Iniciativas Regionales, tales como entornos tecnológicos de prueba, programas de apoyo a las empresas tecnológicas de nueva creación y de fomento de la iniciativa empresarial, para lograr una repercusión concreta</w:t>
      </w:r>
      <w:r w:rsidRPr="00087C0D">
        <w:rPr>
          <w:lang w:val="es-ES"/>
        </w:rPr>
        <w:t>", y AFR</w:t>
      </w:r>
      <w:r w:rsidR="00B750F0" w:rsidRPr="00087C0D">
        <w:rPr>
          <w:lang w:val="es-ES"/>
        </w:rPr>
        <w:t> </w:t>
      </w:r>
      <w:r w:rsidRPr="00087C0D">
        <w:rPr>
          <w:lang w:val="es-ES"/>
        </w:rPr>
        <w:t>4 con un resultado previsto, cuyo objetivo es el "aprovechamiento de los marcos de aceleración de iniciativas regionales y Cafés de Innovación desarrollados por la Alianza para la Innovación y el Emprendimiento para apoyar el logro de iniciativas regionales".</w:t>
      </w:r>
    </w:p>
    <w:p w14:paraId="0C0CA72E" w14:textId="77777777" w:rsidR="007F4F86" w:rsidRPr="00087C0D" w:rsidRDefault="007F4F86" w:rsidP="00077A4A">
      <w:pPr>
        <w:rPr>
          <w:rFonts w:cstheme="minorBidi"/>
          <w:lang w:val="es-ES"/>
        </w:rPr>
      </w:pPr>
      <w:r w:rsidRPr="00087C0D">
        <w:rPr>
          <w:lang w:val="es-ES"/>
        </w:rPr>
        <w:t xml:space="preserve">La Alianza se ha visto reforzada por resoluciones nuevas y revisadas, entre ellas </w:t>
      </w:r>
    </w:p>
    <w:p w14:paraId="5C7653BF" w14:textId="72AD1F9D" w:rsidR="007F4F86" w:rsidRPr="00087C0D" w:rsidRDefault="00077A4A" w:rsidP="00077A4A">
      <w:pPr>
        <w:pStyle w:val="enumlev1"/>
        <w:rPr>
          <w:lang w:val="es-ES"/>
        </w:rPr>
      </w:pPr>
      <w:r w:rsidRPr="00087C0D">
        <w:rPr>
          <w:lang w:val="es-ES"/>
        </w:rPr>
        <w:t>–</w:t>
      </w:r>
      <w:r w:rsidRPr="00087C0D">
        <w:rPr>
          <w:lang w:val="es-ES"/>
        </w:rPr>
        <w:tab/>
      </w:r>
      <w:r w:rsidR="007F4F86" w:rsidRPr="00087C0D">
        <w:rPr>
          <w:lang w:val="es-ES"/>
        </w:rPr>
        <w:t>Resolución 17 (Rev. Bakú, 2025), Movilización de recursos, ejecución y cooperación para las Iniciativas Regionales aprobadas.</w:t>
      </w:r>
    </w:p>
    <w:p w14:paraId="42779D87" w14:textId="4C765524" w:rsidR="007F4F86" w:rsidRPr="00087C0D" w:rsidRDefault="00077A4A" w:rsidP="00077A4A">
      <w:pPr>
        <w:pStyle w:val="enumlev1"/>
        <w:rPr>
          <w:lang w:val="es-ES"/>
        </w:rPr>
      </w:pPr>
      <w:r w:rsidRPr="00087C0D">
        <w:rPr>
          <w:lang w:val="es-ES"/>
        </w:rPr>
        <w:t>–</w:t>
      </w:r>
      <w:r w:rsidRPr="00087C0D">
        <w:rPr>
          <w:lang w:val="es-ES"/>
        </w:rPr>
        <w:tab/>
      </w:r>
      <w:r w:rsidR="007F4F86" w:rsidRPr="00087C0D">
        <w:rPr>
          <w:lang w:val="es-ES"/>
        </w:rPr>
        <w:t>Resolución 85 (Rev. Bakú, 2025), Facilitación de la Internet de las cosas y las ciudades y comunidades inteligentes y sostenibles, incluidas las aldeas, para el desarrollo mundial.</w:t>
      </w:r>
    </w:p>
    <w:p w14:paraId="01E32767" w14:textId="781B5AC6" w:rsidR="007F4F86" w:rsidRPr="00087C0D" w:rsidRDefault="00077A4A" w:rsidP="00077A4A">
      <w:pPr>
        <w:pStyle w:val="enumlev1"/>
        <w:rPr>
          <w:lang w:val="es-ES"/>
        </w:rPr>
      </w:pPr>
      <w:r w:rsidRPr="00087C0D">
        <w:rPr>
          <w:lang w:val="es-ES"/>
        </w:rPr>
        <w:t>–</w:t>
      </w:r>
      <w:r w:rsidRPr="00087C0D">
        <w:rPr>
          <w:lang w:val="es-ES"/>
        </w:rPr>
        <w:tab/>
      </w:r>
      <w:r w:rsidR="007F4F86" w:rsidRPr="00087C0D">
        <w:rPr>
          <w:lang w:val="es-ES"/>
        </w:rPr>
        <w:t>Resolución 89 (Rev. Bakú, 2025), Transformación digital para el desarrollo sostenible.</w:t>
      </w:r>
    </w:p>
    <w:p w14:paraId="026B485A" w14:textId="34533B6C" w:rsidR="007F4F86" w:rsidRPr="00087C0D" w:rsidRDefault="00077A4A" w:rsidP="00077A4A">
      <w:pPr>
        <w:pStyle w:val="enumlev1"/>
        <w:rPr>
          <w:lang w:val="es-ES"/>
        </w:rPr>
      </w:pPr>
      <w:r w:rsidRPr="00087C0D">
        <w:rPr>
          <w:lang w:val="es-ES"/>
        </w:rPr>
        <w:t>–</w:t>
      </w:r>
      <w:r w:rsidRPr="00087C0D">
        <w:rPr>
          <w:lang w:val="es-ES"/>
        </w:rPr>
        <w:tab/>
      </w:r>
      <w:r w:rsidR="007F4F86" w:rsidRPr="00087C0D">
        <w:rPr>
          <w:lang w:val="es-ES"/>
        </w:rPr>
        <w:t>Resolución 90 (Rev. Bakú, 2025) Fomento de la iniciativa empresarial y los ecosistemas de innovación digital centrados en las telecomunicaciones/tecnologías de la información y la comunicación para un desarrollo digital sostenible.</w:t>
      </w:r>
    </w:p>
    <w:p w14:paraId="68C3656F" w14:textId="61CD9466" w:rsidR="007F4F86" w:rsidRPr="00087C0D" w:rsidRDefault="00077A4A" w:rsidP="00077A4A">
      <w:pPr>
        <w:pStyle w:val="enumlev1"/>
        <w:rPr>
          <w:rFonts w:cstheme="minorBidi"/>
          <w:lang w:val="es-ES"/>
        </w:rPr>
      </w:pPr>
      <w:r w:rsidRPr="00087C0D">
        <w:rPr>
          <w:lang w:val="es-ES"/>
        </w:rPr>
        <w:t>–</w:t>
      </w:r>
      <w:r w:rsidRPr="00087C0D">
        <w:rPr>
          <w:lang w:val="es-ES"/>
        </w:rPr>
        <w:tab/>
      </w:r>
      <w:r w:rsidR="007F4F86" w:rsidRPr="00087C0D">
        <w:rPr>
          <w:lang w:val="es-ES"/>
        </w:rPr>
        <w:t xml:space="preserve">Resolución 92 (Rev. Bakú, 2025), Fortalecimiento del papel de las Oficinas Regionales de la UIT en la </w:t>
      </w:r>
      <w:r w:rsidR="00087C0D" w:rsidRPr="00087C0D">
        <w:rPr>
          <w:lang w:val="es-ES"/>
        </w:rPr>
        <w:t>aceleración</w:t>
      </w:r>
      <w:r w:rsidR="007F4F86" w:rsidRPr="00087C0D">
        <w:rPr>
          <w:lang w:val="es-ES"/>
        </w:rPr>
        <w:t xml:space="preserve"> de la transformación digital y el aprovechamiento de las alianzas.</w:t>
      </w:r>
    </w:p>
    <w:p w14:paraId="2B1741C4" w14:textId="77777777" w:rsidR="007F4F86" w:rsidRPr="00087C0D" w:rsidRDefault="007F4F86" w:rsidP="00077A4A">
      <w:pPr>
        <w:rPr>
          <w:rFonts w:cstheme="minorBidi"/>
          <w:lang w:val="es-ES"/>
        </w:rPr>
      </w:pPr>
      <w:r w:rsidRPr="00087C0D">
        <w:rPr>
          <w:lang w:val="es-ES"/>
        </w:rPr>
        <w:t>Esto se suma a su contribución a la Resolución 205 de la PP-22.</w:t>
      </w:r>
    </w:p>
    <w:p w14:paraId="3642C45C" w14:textId="77777777" w:rsidR="007F4F86" w:rsidRPr="00087C0D" w:rsidRDefault="007F4F86" w:rsidP="00077A4A">
      <w:pPr>
        <w:rPr>
          <w:rFonts w:cstheme="minorBidi"/>
          <w:lang w:val="es-ES"/>
        </w:rPr>
      </w:pPr>
      <w:r w:rsidRPr="00087C0D">
        <w:rPr>
          <w:lang w:val="es-ES"/>
        </w:rPr>
        <w:t xml:space="preserve">Estas resoluciones destacan la importancia de fomentar la innovación centrada en las TIC para avanzar la economía y la sociedad digitales y reafirman el papel de liderazgo de la BDT en el </w:t>
      </w:r>
      <w:r w:rsidRPr="00087C0D">
        <w:rPr>
          <w:lang w:val="es-ES"/>
        </w:rPr>
        <w:lastRenderedPageBreak/>
        <w:t>fomento de la innovación para el desarrollo digital, en consonancia con el Plan Estratégico de la UIT recogido en la Resolución 71 (Rev. Bucarest, 2022) de la PP.</w:t>
      </w:r>
    </w:p>
    <w:p w14:paraId="3A73D431" w14:textId="77777777" w:rsidR="007F4F86" w:rsidRPr="00087C0D" w:rsidRDefault="007F4F86" w:rsidP="00077A4A">
      <w:pPr>
        <w:rPr>
          <w:rFonts w:cstheme="minorBidi"/>
          <w:lang w:val="es-ES"/>
        </w:rPr>
      </w:pPr>
      <w:r w:rsidRPr="00087C0D">
        <w:rPr>
          <w:lang w:val="es-ES"/>
        </w:rPr>
        <w:t>Además, muchas de las iniciativas regionales adoptadas recientemente en Bakú están directamente relacionadas con las capacidades de la Alianza y refuerzan su mandato y sus objetivos. Se trata, entre otras, de:</w:t>
      </w:r>
    </w:p>
    <w:p w14:paraId="08A01C51" w14:textId="7638F307" w:rsidR="007F4F86" w:rsidRPr="00087C0D" w:rsidRDefault="00077A4A" w:rsidP="00077A4A">
      <w:pPr>
        <w:pStyle w:val="enumlev1"/>
        <w:rPr>
          <w:rFonts w:cstheme="minorBidi"/>
          <w:lang w:val="es-ES"/>
        </w:rPr>
      </w:pPr>
      <w:r w:rsidRPr="00087C0D">
        <w:rPr>
          <w:lang w:val="es-ES"/>
        </w:rPr>
        <w:t>–</w:t>
      </w:r>
      <w:r w:rsidRPr="00087C0D">
        <w:rPr>
          <w:lang w:val="es-ES"/>
        </w:rPr>
        <w:tab/>
      </w:r>
      <w:r w:rsidR="007F4F86" w:rsidRPr="00087C0D">
        <w:rPr>
          <w:lang w:val="es-ES"/>
        </w:rPr>
        <w:t>AFR4: Desarrollo de aplicaciones digitales, microempresas y pequeñas y medianas empresas, y ecosistemas de innovación digital.</w:t>
      </w:r>
    </w:p>
    <w:p w14:paraId="016B11F7" w14:textId="3E163D42" w:rsidR="007F4F86" w:rsidRPr="00087C0D" w:rsidRDefault="00077A4A" w:rsidP="00077A4A">
      <w:pPr>
        <w:pStyle w:val="enumlev1"/>
        <w:rPr>
          <w:rFonts w:cstheme="minorBidi"/>
          <w:lang w:val="es-ES"/>
        </w:rPr>
      </w:pPr>
      <w:r w:rsidRPr="00087C0D">
        <w:rPr>
          <w:lang w:val="es-ES"/>
        </w:rPr>
        <w:t>–</w:t>
      </w:r>
      <w:r w:rsidRPr="00087C0D">
        <w:rPr>
          <w:lang w:val="es-ES"/>
        </w:rPr>
        <w:tab/>
      </w:r>
      <w:r w:rsidR="007F4F86" w:rsidRPr="00087C0D">
        <w:rPr>
          <w:lang w:val="es-ES"/>
        </w:rPr>
        <w:t>AMS3: Apoyo a los ecosistemas digitales innovadores y a la adopción y utilización de tecnologías incipientes.</w:t>
      </w:r>
    </w:p>
    <w:p w14:paraId="039CEF99" w14:textId="1E2270F6" w:rsidR="007F4F86" w:rsidRPr="00087C0D" w:rsidRDefault="00077A4A" w:rsidP="00077A4A">
      <w:pPr>
        <w:pStyle w:val="enumlev1"/>
        <w:rPr>
          <w:rFonts w:cstheme="minorBidi"/>
          <w:lang w:val="es-ES"/>
        </w:rPr>
      </w:pPr>
      <w:r w:rsidRPr="00087C0D">
        <w:rPr>
          <w:lang w:val="es-ES"/>
        </w:rPr>
        <w:t>–</w:t>
      </w:r>
      <w:r w:rsidRPr="00087C0D">
        <w:rPr>
          <w:lang w:val="es-ES"/>
        </w:rPr>
        <w:tab/>
      </w:r>
      <w:r w:rsidR="007F4F86" w:rsidRPr="00087C0D">
        <w:rPr>
          <w:lang w:val="es-ES"/>
        </w:rPr>
        <w:t xml:space="preserve">ARB4: Ecosistemas de innovación para facilitar la adopción y el desarrollo de </w:t>
      </w:r>
      <w:r w:rsidR="00087C0D" w:rsidRPr="00087C0D">
        <w:rPr>
          <w:lang w:val="es-ES"/>
        </w:rPr>
        <w:t>tecnologías</w:t>
      </w:r>
      <w:r w:rsidR="007F4F86" w:rsidRPr="00087C0D">
        <w:rPr>
          <w:lang w:val="es-ES"/>
        </w:rPr>
        <w:t xml:space="preserve"> incipientes, incluida la inteligencia artificial.</w:t>
      </w:r>
    </w:p>
    <w:p w14:paraId="36A08345" w14:textId="72F08D52" w:rsidR="007F4F86" w:rsidRPr="00087C0D" w:rsidRDefault="00077A4A" w:rsidP="00077A4A">
      <w:pPr>
        <w:pStyle w:val="enumlev1"/>
        <w:rPr>
          <w:rFonts w:cstheme="minorBidi"/>
          <w:lang w:val="es-ES"/>
        </w:rPr>
      </w:pPr>
      <w:r w:rsidRPr="00087C0D">
        <w:rPr>
          <w:lang w:val="es-ES"/>
        </w:rPr>
        <w:t>–</w:t>
      </w:r>
      <w:r w:rsidRPr="00087C0D">
        <w:rPr>
          <w:lang w:val="es-ES"/>
        </w:rPr>
        <w:tab/>
      </w:r>
      <w:r w:rsidR="007F4F86" w:rsidRPr="00087C0D">
        <w:rPr>
          <w:lang w:val="es-ES"/>
        </w:rPr>
        <w:t>ASP4: Propiciar un sector de telecomunicaciones/tecnologías de la información y la comunicación innovador y sostenible.</w:t>
      </w:r>
    </w:p>
    <w:p w14:paraId="46D8C65D" w14:textId="5F3AEF05" w:rsidR="007F4F86" w:rsidRPr="00087C0D" w:rsidRDefault="00077A4A" w:rsidP="00077A4A">
      <w:pPr>
        <w:pStyle w:val="enumlev1"/>
        <w:rPr>
          <w:rFonts w:cstheme="minorBidi"/>
          <w:lang w:val="es-ES"/>
        </w:rPr>
      </w:pPr>
      <w:r w:rsidRPr="00087C0D">
        <w:rPr>
          <w:lang w:val="es-ES"/>
        </w:rPr>
        <w:t>–</w:t>
      </w:r>
      <w:r w:rsidRPr="00087C0D">
        <w:rPr>
          <w:lang w:val="es-ES"/>
        </w:rPr>
        <w:tab/>
      </w:r>
      <w:r w:rsidR="007F4F86" w:rsidRPr="00087C0D">
        <w:rPr>
          <w:lang w:val="es-ES"/>
        </w:rPr>
        <w:t>CEI 4: Creación de un entorno propicio y reglamentación de las telecomunicaciones/tecnologías de la información y la comunicación.</w:t>
      </w:r>
    </w:p>
    <w:p w14:paraId="053EC5A4" w14:textId="6C1AE7C9" w:rsidR="007F4F86" w:rsidRPr="00087C0D" w:rsidRDefault="00077A4A" w:rsidP="00077A4A">
      <w:pPr>
        <w:pStyle w:val="enumlev1"/>
        <w:rPr>
          <w:rFonts w:cstheme="minorBidi"/>
          <w:lang w:val="es-ES"/>
        </w:rPr>
      </w:pPr>
      <w:r w:rsidRPr="00087C0D">
        <w:rPr>
          <w:lang w:val="es-ES"/>
        </w:rPr>
        <w:t>–</w:t>
      </w:r>
      <w:r w:rsidRPr="00087C0D">
        <w:rPr>
          <w:lang w:val="es-ES"/>
        </w:rPr>
        <w:tab/>
      </w:r>
      <w:r w:rsidR="007F4F86" w:rsidRPr="00087C0D">
        <w:rPr>
          <w:lang w:val="es-ES"/>
        </w:rPr>
        <w:t>EUR5: Ecosistemas de innovación digital.</w:t>
      </w:r>
    </w:p>
    <w:p w14:paraId="5430CE9D" w14:textId="77777777" w:rsidR="007F4F86" w:rsidRPr="00087C0D" w:rsidRDefault="007F4F86" w:rsidP="00077A4A">
      <w:pPr>
        <w:rPr>
          <w:rFonts w:cstheme="minorBidi"/>
          <w:lang w:val="es-ES"/>
        </w:rPr>
      </w:pPr>
      <w:r w:rsidRPr="00087C0D">
        <w:rPr>
          <w:lang w:val="es-ES"/>
        </w:rPr>
        <w:t>Básicamente, con el lanzamiento del Acelerador de Iniciativas Regionales, el mecanismo de la Alianza puede abordar todas las iniciativas regionales de la UIT, independientemente de su tema.</w:t>
      </w:r>
    </w:p>
    <w:p w14:paraId="6F73330D" w14:textId="77777777" w:rsidR="007F4F86" w:rsidRPr="00087C0D" w:rsidRDefault="007F4F86" w:rsidP="00B750F0">
      <w:pPr>
        <w:pStyle w:val="Headingb"/>
        <w:rPr>
          <w:rFonts w:cstheme="minorBidi"/>
          <w:lang w:val="es-ES"/>
        </w:rPr>
      </w:pPr>
      <w:r w:rsidRPr="00087C0D">
        <w:rPr>
          <w:lang w:val="es-ES"/>
        </w:rPr>
        <w:t>Camino a seguir</w:t>
      </w:r>
    </w:p>
    <w:p w14:paraId="317A67A5" w14:textId="77777777" w:rsidR="007F4F86" w:rsidRPr="00087C0D" w:rsidRDefault="007F4F86" w:rsidP="00077A4A">
      <w:pPr>
        <w:rPr>
          <w:rFonts w:eastAsia="Times New Roman"/>
          <w:lang w:val="es-ES"/>
        </w:rPr>
      </w:pPr>
      <w:r w:rsidRPr="00087C0D">
        <w:rPr>
          <w:lang w:val="es-ES"/>
        </w:rPr>
        <w:t>La BDT seguirá poniendo en funcionamiento todos los medios de la Alianza y acelerará su incidencia en la labor de la UIT.</w:t>
      </w:r>
    </w:p>
    <w:p w14:paraId="3FE6EA66" w14:textId="77777777" w:rsidR="007F4F86" w:rsidRPr="00087C0D" w:rsidRDefault="007F4F86" w:rsidP="00077A4A">
      <w:pPr>
        <w:rPr>
          <w:color w:val="000000" w:themeColor="text1"/>
          <w:lang w:val="es-ES"/>
        </w:rPr>
      </w:pPr>
      <w:r w:rsidRPr="00087C0D">
        <w:rPr>
          <w:lang w:val="es-ES"/>
        </w:rPr>
        <w:t>La BDT fortalecerá el trabajo de la Alianza y sus iniciativas con las siguientes actividades, entre las que cabe citar algunas:</w:t>
      </w:r>
    </w:p>
    <w:p w14:paraId="18BB3382" w14:textId="4FD9DF10" w:rsidR="007F4F86" w:rsidRPr="00087C0D" w:rsidRDefault="00077A4A" w:rsidP="00077A4A">
      <w:pPr>
        <w:pStyle w:val="enumlev1"/>
        <w:rPr>
          <w:lang w:val="es-ES"/>
        </w:rPr>
      </w:pPr>
      <w:r w:rsidRPr="00087C0D">
        <w:rPr>
          <w:lang w:val="es-ES"/>
        </w:rPr>
        <w:t>–</w:t>
      </w:r>
      <w:r w:rsidRPr="00087C0D">
        <w:rPr>
          <w:lang w:val="es-ES"/>
        </w:rPr>
        <w:tab/>
      </w:r>
      <w:r w:rsidR="00B750F0" w:rsidRPr="00087C0D">
        <w:rPr>
          <w:lang w:val="es-ES"/>
        </w:rPr>
        <w:t>S</w:t>
      </w:r>
      <w:r w:rsidR="007F4F86" w:rsidRPr="00087C0D">
        <w:rPr>
          <w:lang w:val="es-ES"/>
        </w:rPr>
        <w:t>eguir desarrollando e implementando guías y programas de capacitación para los centros de la Alianza.</w:t>
      </w:r>
    </w:p>
    <w:p w14:paraId="60B3BDA5" w14:textId="206F0A53" w:rsidR="007F4F86" w:rsidRPr="00087C0D" w:rsidRDefault="00077A4A" w:rsidP="00077A4A">
      <w:pPr>
        <w:pStyle w:val="enumlev1"/>
        <w:rPr>
          <w:rStyle w:val="s22"/>
          <w:lang w:val="es-ES"/>
        </w:rPr>
      </w:pPr>
      <w:r w:rsidRPr="00087C0D">
        <w:rPr>
          <w:lang w:val="es-ES"/>
        </w:rPr>
        <w:t>–</w:t>
      </w:r>
      <w:r w:rsidRPr="00087C0D">
        <w:rPr>
          <w:lang w:val="es-ES"/>
        </w:rPr>
        <w:tab/>
      </w:r>
      <w:r w:rsidR="00B750F0" w:rsidRPr="00087C0D">
        <w:rPr>
          <w:lang w:val="es-ES"/>
        </w:rPr>
        <w:t>P</w:t>
      </w:r>
      <w:r w:rsidR="007F4F86" w:rsidRPr="00087C0D">
        <w:rPr>
          <w:lang w:val="es-ES"/>
        </w:rPr>
        <w:t>restar apoyo a los centros para la prestación de servicios a sus comunidades y el cumplimiento de sus mandatos.</w:t>
      </w:r>
    </w:p>
    <w:p w14:paraId="6A7F3E5A" w14:textId="17EC6D70" w:rsidR="007F4F86" w:rsidRPr="00087C0D" w:rsidRDefault="00077A4A" w:rsidP="00077A4A">
      <w:pPr>
        <w:pStyle w:val="enumlev1"/>
        <w:rPr>
          <w:rStyle w:val="s22"/>
          <w:lang w:val="es-ES"/>
        </w:rPr>
      </w:pPr>
      <w:r w:rsidRPr="00087C0D">
        <w:rPr>
          <w:lang w:val="es-ES"/>
        </w:rPr>
        <w:t>–</w:t>
      </w:r>
      <w:r w:rsidRPr="00087C0D">
        <w:rPr>
          <w:lang w:val="es-ES"/>
        </w:rPr>
        <w:tab/>
      </w:r>
      <w:r w:rsidR="00B750F0" w:rsidRPr="00087C0D">
        <w:rPr>
          <w:lang w:val="es-ES"/>
        </w:rPr>
        <w:t>E</w:t>
      </w:r>
      <w:r w:rsidR="007F4F86" w:rsidRPr="00087C0D">
        <w:rPr>
          <w:lang w:val="es-ES"/>
        </w:rPr>
        <w:t>xplorar oportunidades para que los países u organizaciones se unan o se asocien a la Alianza y a su labor.</w:t>
      </w:r>
    </w:p>
    <w:p w14:paraId="2E87F39D" w14:textId="7CF581CE" w:rsidR="007F4F86" w:rsidRPr="00087C0D" w:rsidRDefault="00077A4A" w:rsidP="00077A4A">
      <w:pPr>
        <w:pStyle w:val="enumlev1"/>
        <w:rPr>
          <w:rStyle w:val="s22"/>
          <w:lang w:val="es-ES"/>
        </w:rPr>
      </w:pPr>
      <w:r w:rsidRPr="00087C0D">
        <w:rPr>
          <w:lang w:val="es-ES"/>
        </w:rPr>
        <w:t>–</w:t>
      </w:r>
      <w:r w:rsidRPr="00087C0D">
        <w:rPr>
          <w:lang w:val="es-ES"/>
        </w:rPr>
        <w:tab/>
      </w:r>
      <w:r w:rsidR="00B750F0" w:rsidRPr="00087C0D">
        <w:rPr>
          <w:lang w:val="es-ES"/>
        </w:rPr>
        <w:t>P</w:t>
      </w:r>
      <w:r w:rsidR="007F4F86" w:rsidRPr="00087C0D">
        <w:rPr>
          <w:lang w:val="es-ES"/>
        </w:rPr>
        <w:t>oner a prueba con la TSB el conjunto de herramientas para acelerar la innovación y la normalización de tecnologías abiertas y emergentes.</w:t>
      </w:r>
    </w:p>
    <w:p w14:paraId="30999D9C" w14:textId="6FB44F34" w:rsidR="007F4F86" w:rsidRPr="00087C0D" w:rsidRDefault="00077A4A" w:rsidP="00077A4A">
      <w:pPr>
        <w:pStyle w:val="enumlev1"/>
        <w:rPr>
          <w:rStyle w:val="s22"/>
          <w:lang w:val="es-ES"/>
        </w:rPr>
      </w:pPr>
      <w:r w:rsidRPr="00087C0D">
        <w:rPr>
          <w:lang w:val="es-ES"/>
        </w:rPr>
        <w:t>–</w:t>
      </w:r>
      <w:r w:rsidRPr="00087C0D">
        <w:rPr>
          <w:lang w:val="es-ES"/>
        </w:rPr>
        <w:tab/>
      </w:r>
      <w:r w:rsidR="003414D2" w:rsidRPr="00087C0D">
        <w:rPr>
          <w:lang w:val="es-ES"/>
        </w:rPr>
        <w:t>C</w:t>
      </w:r>
      <w:r w:rsidR="007F4F86" w:rsidRPr="00087C0D">
        <w:rPr>
          <w:lang w:val="es-ES"/>
        </w:rPr>
        <w:t>ontinuar fortaleciendo el Centro de Innovación de la Oficina de Zona de la UIT para Asia Meridional.</w:t>
      </w:r>
    </w:p>
    <w:p w14:paraId="10403FC5" w14:textId="4A3B00C3" w:rsidR="007F4F86" w:rsidRPr="00087C0D" w:rsidRDefault="00077A4A" w:rsidP="00077A4A">
      <w:pPr>
        <w:pStyle w:val="enumlev1"/>
        <w:rPr>
          <w:rStyle w:val="s22"/>
          <w:lang w:val="es-ES"/>
        </w:rPr>
      </w:pPr>
      <w:r w:rsidRPr="00087C0D">
        <w:rPr>
          <w:lang w:val="es-ES"/>
        </w:rPr>
        <w:t>–</w:t>
      </w:r>
      <w:r w:rsidRPr="00087C0D">
        <w:rPr>
          <w:lang w:val="es-ES"/>
        </w:rPr>
        <w:tab/>
      </w:r>
      <w:r w:rsidR="003414D2" w:rsidRPr="00087C0D">
        <w:rPr>
          <w:lang w:val="es-ES"/>
        </w:rPr>
        <w:t>S</w:t>
      </w:r>
      <w:r w:rsidR="007F4F86" w:rsidRPr="00087C0D">
        <w:rPr>
          <w:lang w:val="es-ES"/>
        </w:rPr>
        <w:t>eguir poniendo en marcha y mantener la Red de Expertos y sus hojas de ruta.</w:t>
      </w:r>
    </w:p>
    <w:p w14:paraId="0BDB10BB" w14:textId="0DBF4249" w:rsidR="007F4F86" w:rsidRPr="00087C0D" w:rsidRDefault="00077A4A" w:rsidP="00077A4A">
      <w:pPr>
        <w:pStyle w:val="enumlev1"/>
        <w:rPr>
          <w:rStyle w:val="s22"/>
          <w:lang w:val="es-ES"/>
        </w:rPr>
      </w:pPr>
      <w:r w:rsidRPr="00087C0D">
        <w:rPr>
          <w:lang w:val="es-ES"/>
        </w:rPr>
        <w:t>–</w:t>
      </w:r>
      <w:r w:rsidRPr="00087C0D">
        <w:rPr>
          <w:lang w:val="es-ES"/>
        </w:rPr>
        <w:tab/>
      </w:r>
      <w:r w:rsidR="003414D2" w:rsidRPr="00087C0D">
        <w:rPr>
          <w:lang w:val="es-ES"/>
        </w:rPr>
        <w:t>S</w:t>
      </w:r>
      <w:r w:rsidR="007F4F86" w:rsidRPr="00087C0D">
        <w:rPr>
          <w:lang w:val="es-ES"/>
        </w:rPr>
        <w:t>eguir poniendo en marcha el Acelerador de Iniciativas Regionales e implicar a los miembros de la UIT en su utilización.</w:t>
      </w:r>
    </w:p>
    <w:p w14:paraId="6E1D9732" w14:textId="32758A96" w:rsidR="007F4F86" w:rsidRPr="00087C0D" w:rsidRDefault="00077A4A" w:rsidP="00077A4A">
      <w:pPr>
        <w:pStyle w:val="enumlev1"/>
        <w:rPr>
          <w:rStyle w:val="s22"/>
          <w:rFonts w:cstheme="minorHAnsi"/>
          <w:color w:val="000000"/>
          <w:szCs w:val="24"/>
          <w:lang w:val="es-ES"/>
        </w:rPr>
      </w:pPr>
      <w:r w:rsidRPr="00087C0D">
        <w:rPr>
          <w:lang w:val="es-ES"/>
        </w:rPr>
        <w:t>–</w:t>
      </w:r>
      <w:r w:rsidRPr="00087C0D">
        <w:rPr>
          <w:lang w:val="es-ES"/>
        </w:rPr>
        <w:tab/>
      </w:r>
      <w:r w:rsidR="003414D2" w:rsidRPr="00087C0D">
        <w:rPr>
          <w:lang w:val="es-ES"/>
        </w:rPr>
        <w:t>E</w:t>
      </w:r>
      <w:r w:rsidR="007F4F86" w:rsidRPr="00087C0D">
        <w:rPr>
          <w:lang w:val="es-ES"/>
        </w:rPr>
        <w:t>stablecer asociaciones adicionales con las Naciones Unidas y otras organizaciones internacionales pertinentes.</w:t>
      </w:r>
    </w:p>
    <w:p w14:paraId="4C88BCCA" w14:textId="003E3B06" w:rsidR="00B06557" w:rsidRPr="00087C0D" w:rsidRDefault="007F4F86" w:rsidP="00077A4A">
      <w:pPr>
        <w:rPr>
          <w:lang w:val="es-ES"/>
        </w:rPr>
      </w:pPr>
      <w:r w:rsidRPr="00087C0D">
        <w:rPr>
          <w:lang w:val="es-ES"/>
        </w:rPr>
        <w:t>Se invita al GADT a tomar nota de este documento y formular las orientaciones que estime convenientes.</w:t>
      </w:r>
    </w:p>
    <w:p w14:paraId="34BF757D" w14:textId="77777777" w:rsidR="00B06557" w:rsidRPr="007F4F86" w:rsidRDefault="00B06557" w:rsidP="003414D2">
      <w:pPr>
        <w:spacing w:before="0"/>
        <w:jc w:val="center"/>
        <w:rPr>
          <w:lang w:val="es-ES"/>
        </w:rPr>
      </w:pPr>
      <w:r w:rsidRPr="007F4F86">
        <w:rPr>
          <w:lang w:val="es-ES"/>
        </w:rPr>
        <w:t>______________</w:t>
      </w:r>
    </w:p>
    <w:sectPr w:rsidR="00B06557" w:rsidRPr="007F4F86" w:rsidSect="0081159E">
      <w:headerReference w:type="default" r:id="rId49"/>
      <w:footerReference w:type="first" r:id="rId50"/>
      <w:pgSz w:w="11907" w:h="16840" w:code="9"/>
      <w:pgMar w:top="1418" w:right="1134"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BC234" w14:textId="77777777" w:rsidR="007F4F86" w:rsidRDefault="007F4F86">
      <w:r>
        <w:separator/>
      </w:r>
    </w:p>
    <w:p w14:paraId="19762D0B" w14:textId="77777777" w:rsidR="007F4F86" w:rsidRDefault="007F4F86"/>
  </w:endnote>
  <w:endnote w:type="continuationSeparator" w:id="0">
    <w:p w14:paraId="6350BDD0" w14:textId="77777777" w:rsidR="007F4F86" w:rsidRDefault="007F4F86">
      <w:r>
        <w:continuationSeparator/>
      </w:r>
    </w:p>
    <w:p w14:paraId="2B8EC3FC" w14:textId="77777777" w:rsidR="007F4F86" w:rsidRDefault="007F4F86"/>
  </w:endnote>
  <w:endnote w:type="continuationNotice" w:id="1">
    <w:p w14:paraId="10ADA742" w14:textId="77777777" w:rsidR="007F4F86" w:rsidRDefault="007F4F86">
      <w:pPr>
        <w:spacing w:before="0"/>
      </w:pPr>
    </w:p>
    <w:p w14:paraId="70F65602" w14:textId="77777777" w:rsidR="007F4F86" w:rsidRDefault="007F4F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GulimChe">
    <w:charset w:val="81"/>
    <w:family w:val="modern"/>
    <w:pitch w:val="fixed"/>
    <w:sig w:usb0="B00002AF" w:usb1="69D77CFB" w:usb2="00000030" w:usb3="00000000" w:csb0="0008009F" w:csb1="00000000"/>
  </w:font>
  <w:font w:name="Avenir Book">
    <w:altName w:val="Tw Cen MT"/>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3" w:type="dxa"/>
      <w:tblLayout w:type="fixed"/>
      <w:tblLook w:val="04A0" w:firstRow="1" w:lastRow="0" w:firstColumn="1" w:lastColumn="0" w:noHBand="0" w:noVBand="1"/>
    </w:tblPr>
    <w:tblGrid>
      <w:gridCol w:w="1526"/>
      <w:gridCol w:w="2524"/>
      <w:gridCol w:w="5873"/>
    </w:tblGrid>
    <w:tr w:rsidR="00602CFD" w:rsidRPr="008D280A" w14:paraId="3BC038F2" w14:textId="77777777" w:rsidTr="00357049">
      <w:tc>
        <w:tcPr>
          <w:tcW w:w="1526" w:type="dxa"/>
          <w:tcBorders>
            <w:top w:val="single" w:sz="4" w:space="0" w:color="000000"/>
          </w:tcBorders>
        </w:tcPr>
        <w:p w14:paraId="06DF389A" w14:textId="77777777" w:rsidR="00602CFD" w:rsidRPr="00F42215" w:rsidRDefault="00602CFD" w:rsidP="00B06557">
          <w:pPr>
            <w:pStyle w:val="FirstFooter"/>
            <w:tabs>
              <w:tab w:val="left" w:pos="2302"/>
            </w:tabs>
            <w:ind w:left="2302" w:hanging="2302"/>
            <w:rPr>
              <w:sz w:val="18"/>
              <w:szCs w:val="18"/>
              <w:lang w:val="es-ES"/>
            </w:rPr>
          </w:pPr>
          <w:r w:rsidRPr="00F42215">
            <w:rPr>
              <w:sz w:val="18"/>
              <w:szCs w:val="18"/>
              <w:lang w:val="es-ES"/>
            </w:rPr>
            <w:t>Contact</w:t>
          </w:r>
          <w:r w:rsidR="00357049" w:rsidRPr="00F42215">
            <w:rPr>
              <w:sz w:val="18"/>
              <w:szCs w:val="18"/>
              <w:lang w:val="es-ES"/>
            </w:rPr>
            <w:t>o</w:t>
          </w:r>
          <w:r w:rsidRPr="00F42215">
            <w:rPr>
              <w:sz w:val="18"/>
              <w:szCs w:val="18"/>
              <w:lang w:val="es-ES"/>
            </w:rPr>
            <w:t>:</w:t>
          </w:r>
        </w:p>
      </w:tc>
      <w:tc>
        <w:tcPr>
          <w:tcW w:w="2524" w:type="dxa"/>
          <w:tcBorders>
            <w:top w:val="single" w:sz="4" w:space="0" w:color="000000"/>
          </w:tcBorders>
        </w:tcPr>
        <w:p w14:paraId="3C8B312E" w14:textId="77777777" w:rsidR="00602CFD" w:rsidRPr="00F42215" w:rsidRDefault="00357049" w:rsidP="00602CFD">
          <w:pPr>
            <w:pStyle w:val="FirstFooter"/>
            <w:tabs>
              <w:tab w:val="left" w:pos="2302"/>
            </w:tabs>
            <w:ind w:left="2302" w:hanging="2302"/>
            <w:rPr>
              <w:sz w:val="18"/>
              <w:szCs w:val="18"/>
              <w:lang w:val="es-ES"/>
            </w:rPr>
          </w:pPr>
          <w:r w:rsidRPr="00F42215">
            <w:rPr>
              <w:sz w:val="18"/>
              <w:szCs w:val="18"/>
              <w:lang w:val="es-ES"/>
            </w:rPr>
            <w:t>Nombre/Organización/Entidad:</w:t>
          </w:r>
        </w:p>
      </w:tc>
      <w:tc>
        <w:tcPr>
          <w:tcW w:w="5873" w:type="dxa"/>
          <w:tcBorders>
            <w:top w:val="single" w:sz="4" w:space="0" w:color="000000"/>
          </w:tcBorders>
        </w:tcPr>
        <w:p w14:paraId="42EA90C2" w14:textId="66A8E165" w:rsidR="00602CFD" w:rsidRPr="007F4F86" w:rsidRDefault="007F4F86" w:rsidP="00602CFD">
          <w:pPr>
            <w:pStyle w:val="FirstFooter"/>
            <w:tabs>
              <w:tab w:val="left" w:pos="2302"/>
            </w:tabs>
            <w:rPr>
              <w:sz w:val="18"/>
              <w:szCs w:val="18"/>
              <w:lang w:val="es-ES"/>
            </w:rPr>
          </w:pPr>
          <w:r w:rsidRPr="007F4F86">
            <w:rPr>
              <w:sz w:val="18"/>
              <w:szCs w:val="18"/>
              <w:lang w:val="es-ES"/>
            </w:rPr>
            <w:t>Sra. Sofie Maddens, Jefa del Departamento de Sociedad del Conocimiento Digital, Oficina de Desarrollo de las Telecomunicaciones</w:t>
          </w:r>
        </w:p>
      </w:tc>
      <w:bookmarkStart w:id="10" w:name="OrgName"/>
      <w:bookmarkEnd w:id="10"/>
    </w:tr>
    <w:tr w:rsidR="00602CFD" w:rsidRPr="004D495C" w14:paraId="60E44838" w14:textId="77777777" w:rsidTr="00357049">
      <w:tc>
        <w:tcPr>
          <w:tcW w:w="1526" w:type="dxa"/>
        </w:tcPr>
        <w:p w14:paraId="585566EB" w14:textId="77777777" w:rsidR="00602CFD" w:rsidRPr="00F42215" w:rsidRDefault="00602CFD" w:rsidP="00602CFD">
          <w:pPr>
            <w:pStyle w:val="FirstFooter"/>
            <w:tabs>
              <w:tab w:val="left" w:pos="1559"/>
              <w:tab w:val="left" w:pos="3828"/>
            </w:tabs>
            <w:rPr>
              <w:sz w:val="18"/>
              <w:szCs w:val="18"/>
              <w:lang w:val="es-ES"/>
            </w:rPr>
          </w:pPr>
        </w:p>
      </w:tc>
      <w:tc>
        <w:tcPr>
          <w:tcW w:w="2524" w:type="dxa"/>
        </w:tcPr>
        <w:p w14:paraId="5F5A1864" w14:textId="77777777" w:rsidR="00602CFD" w:rsidRPr="00F42215" w:rsidRDefault="00357049" w:rsidP="00B06557">
          <w:pPr>
            <w:pStyle w:val="FirstFooter"/>
            <w:tabs>
              <w:tab w:val="left" w:pos="2302"/>
            </w:tabs>
            <w:ind w:left="2302" w:hanging="2302"/>
            <w:rPr>
              <w:sz w:val="18"/>
              <w:szCs w:val="18"/>
              <w:lang w:val="es-ES"/>
            </w:rPr>
          </w:pPr>
          <w:r w:rsidRPr="00F42215">
            <w:rPr>
              <w:sz w:val="18"/>
              <w:szCs w:val="18"/>
              <w:lang w:val="es-ES"/>
            </w:rPr>
            <w:t>Teléfono:</w:t>
          </w:r>
        </w:p>
      </w:tc>
      <w:tc>
        <w:tcPr>
          <w:tcW w:w="5873" w:type="dxa"/>
        </w:tcPr>
        <w:p w14:paraId="1E66980F" w14:textId="5BEB419A" w:rsidR="00602CFD" w:rsidRPr="007F4F86" w:rsidRDefault="007F4F86" w:rsidP="00602CFD">
          <w:pPr>
            <w:pStyle w:val="FirstFooter"/>
            <w:tabs>
              <w:tab w:val="left" w:pos="2302"/>
            </w:tabs>
            <w:rPr>
              <w:sz w:val="18"/>
              <w:szCs w:val="18"/>
              <w:lang w:val="es-ES"/>
            </w:rPr>
          </w:pPr>
          <w:r w:rsidRPr="007F4F86">
            <w:rPr>
              <w:sz w:val="18"/>
              <w:szCs w:val="18"/>
              <w:lang w:val="es-ES"/>
            </w:rPr>
            <w:t>+41 22 730 6256</w:t>
          </w:r>
        </w:p>
      </w:tc>
      <w:bookmarkStart w:id="11" w:name="PhoneNo"/>
      <w:bookmarkEnd w:id="11"/>
    </w:tr>
    <w:tr w:rsidR="00602CFD" w:rsidRPr="004D495C" w14:paraId="33A9A68A" w14:textId="77777777" w:rsidTr="00357049">
      <w:tc>
        <w:tcPr>
          <w:tcW w:w="1526" w:type="dxa"/>
        </w:tcPr>
        <w:p w14:paraId="30B38534" w14:textId="77777777" w:rsidR="00602CFD" w:rsidRPr="00F42215" w:rsidRDefault="00602CFD" w:rsidP="00602CFD">
          <w:pPr>
            <w:pStyle w:val="FirstFooter"/>
            <w:tabs>
              <w:tab w:val="left" w:pos="1559"/>
              <w:tab w:val="left" w:pos="3828"/>
            </w:tabs>
            <w:rPr>
              <w:sz w:val="18"/>
              <w:szCs w:val="18"/>
              <w:lang w:val="es-ES"/>
            </w:rPr>
          </w:pPr>
        </w:p>
      </w:tc>
      <w:tc>
        <w:tcPr>
          <w:tcW w:w="2524" w:type="dxa"/>
        </w:tcPr>
        <w:p w14:paraId="7209F534" w14:textId="77777777" w:rsidR="00602CFD" w:rsidRPr="00F42215" w:rsidRDefault="00357049" w:rsidP="00864A15">
          <w:pPr>
            <w:pStyle w:val="FirstFooter"/>
            <w:tabs>
              <w:tab w:val="left" w:pos="2302"/>
            </w:tabs>
            <w:ind w:left="2302" w:hanging="2302"/>
            <w:rPr>
              <w:sz w:val="18"/>
              <w:szCs w:val="18"/>
              <w:lang w:val="es-ES"/>
            </w:rPr>
          </w:pPr>
          <w:r w:rsidRPr="00F42215">
            <w:rPr>
              <w:sz w:val="18"/>
              <w:szCs w:val="18"/>
              <w:lang w:val="es-ES"/>
            </w:rPr>
            <w:t>Correo-e:</w:t>
          </w:r>
        </w:p>
      </w:tc>
      <w:tc>
        <w:tcPr>
          <w:tcW w:w="5873" w:type="dxa"/>
        </w:tcPr>
        <w:p w14:paraId="0310B984" w14:textId="76FE2557" w:rsidR="007F4F86" w:rsidRPr="00F42215" w:rsidRDefault="00087C0D" w:rsidP="007F4F86">
          <w:pPr>
            <w:pStyle w:val="FirstFooter"/>
            <w:tabs>
              <w:tab w:val="left" w:pos="2302"/>
            </w:tabs>
            <w:rPr>
              <w:sz w:val="18"/>
              <w:szCs w:val="18"/>
              <w:lang w:val="es-ES"/>
            </w:rPr>
          </w:pPr>
          <w:hyperlink r:id="rId1" w:history="1">
            <w:r w:rsidR="007F4F86" w:rsidRPr="00F129BB">
              <w:rPr>
                <w:rStyle w:val="Hyperlink"/>
                <w:sz w:val="18"/>
                <w:szCs w:val="18"/>
                <w:lang w:val="es-ES"/>
              </w:rPr>
              <w:t>sofie.maddens@itu.int</w:t>
            </w:r>
          </w:hyperlink>
        </w:p>
      </w:tc>
      <w:bookmarkStart w:id="12" w:name="Email"/>
      <w:bookmarkEnd w:id="12"/>
    </w:tr>
  </w:tbl>
  <w:p w14:paraId="0E66CEB6" w14:textId="77777777" w:rsidR="00602CFD" w:rsidRPr="00602CFD" w:rsidRDefault="00602CFD" w:rsidP="00602C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0C77E" w14:textId="77777777" w:rsidR="007F4F86" w:rsidRPr="0054377E" w:rsidRDefault="007F4F86" w:rsidP="0054377E">
      <w:pPr>
        <w:spacing w:before="0"/>
      </w:pPr>
      <w:r w:rsidRPr="0054377E">
        <w:rPr>
          <w:b/>
        </w:rPr>
        <w:t>_______________</w:t>
      </w:r>
    </w:p>
  </w:footnote>
  <w:footnote w:type="continuationSeparator" w:id="0">
    <w:p w14:paraId="5DC7E2F4" w14:textId="77777777" w:rsidR="007F4F86" w:rsidRDefault="007F4F86" w:rsidP="0054377E">
      <w:pPr>
        <w:spacing w:before="0"/>
      </w:pPr>
      <w:r>
        <w:continuationSeparator/>
      </w:r>
    </w:p>
    <w:p w14:paraId="585AA5F9" w14:textId="77777777" w:rsidR="007F4F86" w:rsidRDefault="007F4F86"/>
  </w:footnote>
  <w:footnote w:type="continuationNotice" w:id="1">
    <w:p w14:paraId="546D4593" w14:textId="77777777" w:rsidR="007F4F86" w:rsidRDefault="007F4F86">
      <w:pPr>
        <w:spacing w:before="0"/>
      </w:pPr>
    </w:p>
    <w:p w14:paraId="7F12F4A3" w14:textId="77777777" w:rsidR="007F4F86" w:rsidRDefault="007F4F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4537E" w14:textId="10B23A9D" w:rsidR="00636181" w:rsidRPr="00B41165" w:rsidRDefault="00636181" w:rsidP="00B41165">
    <w:pPr>
      <w:tabs>
        <w:tab w:val="clear" w:pos="1134"/>
        <w:tab w:val="clear" w:pos="1871"/>
        <w:tab w:val="clear" w:pos="2268"/>
        <w:tab w:val="center" w:pos="4820"/>
        <w:tab w:val="right" w:pos="14003"/>
      </w:tabs>
      <w:ind w:right="1"/>
      <w:rPr>
        <w:smallCaps/>
        <w:spacing w:val="24"/>
        <w:sz w:val="22"/>
        <w:szCs w:val="22"/>
        <w:lang w:val="es-ES_tradnl"/>
      </w:rPr>
    </w:pPr>
    <w:r w:rsidRPr="004D495C">
      <w:rPr>
        <w:sz w:val="22"/>
        <w:szCs w:val="22"/>
      </w:rPr>
      <w:tab/>
    </w:r>
    <w:r>
      <w:rPr>
        <w:sz w:val="22"/>
        <w:szCs w:val="22"/>
        <w:lang w:val="es-ES_tradnl"/>
      </w:rPr>
      <w:t>TDAG-2</w:t>
    </w:r>
    <w:r w:rsidR="00EF4D25">
      <w:rPr>
        <w:sz w:val="22"/>
        <w:szCs w:val="22"/>
        <w:lang w:val="es-ES_tradnl"/>
      </w:rPr>
      <w:t>6</w:t>
    </w:r>
    <w:r w:rsidRPr="00FF089C">
      <w:rPr>
        <w:sz w:val="22"/>
        <w:szCs w:val="22"/>
        <w:lang w:val="es-ES_tradnl"/>
      </w:rPr>
      <w:t>/</w:t>
    </w:r>
    <w:r w:rsidR="007F4F86">
      <w:rPr>
        <w:sz w:val="22"/>
        <w:szCs w:val="22"/>
        <w:lang w:val="es-ES_tradnl"/>
      </w:rPr>
      <w:t>21</w:t>
    </w:r>
    <w:r w:rsidRPr="00FF089C">
      <w:rPr>
        <w:sz w:val="22"/>
        <w:szCs w:val="22"/>
        <w:lang w:val="es-ES_tradnl"/>
      </w:rPr>
      <w:t>-</w:t>
    </w:r>
    <w:r w:rsidR="00357049">
      <w:rPr>
        <w:sz w:val="22"/>
        <w:szCs w:val="22"/>
        <w:lang w:val="es-ES_tradnl"/>
      </w:rPr>
      <w:t>S</w:t>
    </w:r>
    <w:r w:rsidRPr="00FF089C">
      <w:rPr>
        <w:sz w:val="22"/>
        <w:szCs w:val="22"/>
        <w:lang w:val="es-ES_tradnl"/>
      </w:rPr>
      <w:tab/>
      <w:t>P</w:t>
    </w:r>
    <w:r w:rsidR="00357049">
      <w:rPr>
        <w:sz w:val="22"/>
        <w:szCs w:val="22"/>
        <w:lang w:val="es-ES_tradnl"/>
      </w:rPr>
      <w:t>ágina</w:t>
    </w:r>
    <w:r w:rsidRPr="00FF089C">
      <w:rPr>
        <w:sz w:val="22"/>
        <w:szCs w:val="22"/>
        <w:lang w:val="es-ES_tradnl"/>
      </w:rPr>
      <w:t xml:space="preserve"> </w:t>
    </w:r>
    <w:r w:rsidRPr="004D495C">
      <w:rPr>
        <w:sz w:val="22"/>
        <w:szCs w:val="22"/>
      </w:rPr>
      <w:fldChar w:fldCharType="begin"/>
    </w:r>
    <w:r w:rsidRPr="00FF089C">
      <w:rPr>
        <w:sz w:val="22"/>
        <w:szCs w:val="22"/>
        <w:lang w:val="es-ES_tradnl"/>
      </w:rPr>
      <w:instrText xml:space="preserve"> PAGE </w:instrText>
    </w:r>
    <w:r w:rsidRPr="004D495C">
      <w:rPr>
        <w:sz w:val="22"/>
        <w:szCs w:val="22"/>
      </w:rPr>
      <w:fldChar w:fldCharType="separate"/>
    </w:r>
    <w:r w:rsidR="00893B2C">
      <w:rPr>
        <w:noProof/>
        <w:sz w:val="22"/>
        <w:szCs w:val="22"/>
        <w:lang w:val="es-ES_tradnl"/>
      </w:rPr>
      <w:t>19</w:t>
    </w:r>
    <w:r w:rsidRPr="004D495C">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56A9A"/>
    <w:multiLevelType w:val="hybridMultilevel"/>
    <w:tmpl w:val="D34C9912"/>
    <w:lvl w:ilvl="0" w:tplc="F560203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B0027C"/>
    <w:multiLevelType w:val="hybridMultilevel"/>
    <w:tmpl w:val="08C85172"/>
    <w:lvl w:ilvl="0" w:tplc="F560203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BD3988"/>
    <w:multiLevelType w:val="hybridMultilevel"/>
    <w:tmpl w:val="87B235E0"/>
    <w:lvl w:ilvl="0" w:tplc="F560203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9B47E2"/>
    <w:multiLevelType w:val="hybridMultilevel"/>
    <w:tmpl w:val="F7B6A39A"/>
    <w:lvl w:ilvl="0" w:tplc="F560203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B433A6"/>
    <w:multiLevelType w:val="hybridMultilevel"/>
    <w:tmpl w:val="CEA8A022"/>
    <w:lvl w:ilvl="0" w:tplc="93E6492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9F1E81"/>
    <w:multiLevelType w:val="hybridMultilevel"/>
    <w:tmpl w:val="FBCC4E5A"/>
    <w:lvl w:ilvl="0" w:tplc="F560203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5549C7"/>
    <w:multiLevelType w:val="hybridMultilevel"/>
    <w:tmpl w:val="4AC8673E"/>
    <w:lvl w:ilvl="0" w:tplc="F560203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9C1758"/>
    <w:multiLevelType w:val="hybridMultilevel"/>
    <w:tmpl w:val="B17681F4"/>
    <w:lvl w:ilvl="0" w:tplc="93E6492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ED24127"/>
    <w:multiLevelType w:val="hybridMultilevel"/>
    <w:tmpl w:val="529E0E86"/>
    <w:lvl w:ilvl="0" w:tplc="F560203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EB00B7"/>
    <w:multiLevelType w:val="hybridMultilevel"/>
    <w:tmpl w:val="5B30B0BC"/>
    <w:lvl w:ilvl="0" w:tplc="93E6492E">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13C653A"/>
    <w:multiLevelType w:val="hybridMultilevel"/>
    <w:tmpl w:val="08445C4A"/>
    <w:lvl w:ilvl="0" w:tplc="93E6492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4123BF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9B22758"/>
    <w:multiLevelType w:val="multilevel"/>
    <w:tmpl w:val="A720FDCA"/>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58D60B3"/>
    <w:multiLevelType w:val="hybridMultilevel"/>
    <w:tmpl w:val="98047D6E"/>
    <w:lvl w:ilvl="0" w:tplc="93E6492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D475877"/>
    <w:multiLevelType w:val="hybridMultilevel"/>
    <w:tmpl w:val="17C080E4"/>
    <w:lvl w:ilvl="0" w:tplc="F560203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75242682">
    <w:abstractNumId w:val="12"/>
  </w:num>
  <w:num w:numId="2" w16cid:durableId="721946781">
    <w:abstractNumId w:val="4"/>
  </w:num>
  <w:num w:numId="3" w16cid:durableId="703096384">
    <w:abstractNumId w:val="10"/>
  </w:num>
  <w:num w:numId="4" w16cid:durableId="2046563536">
    <w:abstractNumId w:val="7"/>
  </w:num>
  <w:num w:numId="5" w16cid:durableId="841505356">
    <w:abstractNumId w:val="11"/>
  </w:num>
  <w:num w:numId="6" w16cid:durableId="1517964479">
    <w:abstractNumId w:val="9"/>
  </w:num>
  <w:num w:numId="7" w16cid:durableId="1991713275">
    <w:abstractNumId w:val="13"/>
  </w:num>
  <w:num w:numId="8" w16cid:durableId="1693534358">
    <w:abstractNumId w:val="14"/>
  </w:num>
  <w:num w:numId="9" w16cid:durableId="1890458069">
    <w:abstractNumId w:val="8"/>
  </w:num>
  <w:num w:numId="10" w16cid:durableId="896480170">
    <w:abstractNumId w:val="1"/>
  </w:num>
  <w:num w:numId="11" w16cid:durableId="958494560">
    <w:abstractNumId w:val="0"/>
  </w:num>
  <w:num w:numId="12" w16cid:durableId="1690109403">
    <w:abstractNumId w:val="6"/>
  </w:num>
  <w:num w:numId="13" w16cid:durableId="1538002470">
    <w:abstractNumId w:val="3"/>
  </w:num>
  <w:num w:numId="14" w16cid:durableId="1752189952">
    <w:abstractNumId w:val="5"/>
  </w:num>
  <w:num w:numId="15" w16cid:durableId="1946116256">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SyMDczsDAwtzQxNTFU0lEKTi0uzszPAykwqgUADu+8fCwAAAA="/>
  </w:docVars>
  <w:rsids>
    <w:rsidRoot w:val="00A066F1"/>
    <w:rsid w:val="00002BBA"/>
    <w:rsid w:val="000041EA"/>
    <w:rsid w:val="00004EB7"/>
    <w:rsid w:val="00005A53"/>
    <w:rsid w:val="00005FBD"/>
    <w:rsid w:val="00011ECB"/>
    <w:rsid w:val="000150B0"/>
    <w:rsid w:val="00015E52"/>
    <w:rsid w:val="00022A29"/>
    <w:rsid w:val="00025801"/>
    <w:rsid w:val="00025926"/>
    <w:rsid w:val="00025965"/>
    <w:rsid w:val="00026EE2"/>
    <w:rsid w:val="00030D2A"/>
    <w:rsid w:val="000355FD"/>
    <w:rsid w:val="0003589F"/>
    <w:rsid w:val="0005184F"/>
    <w:rsid w:val="00051E39"/>
    <w:rsid w:val="00053725"/>
    <w:rsid w:val="00054B72"/>
    <w:rsid w:val="0005581A"/>
    <w:rsid w:val="0005619C"/>
    <w:rsid w:val="0005747E"/>
    <w:rsid w:val="000604E5"/>
    <w:rsid w:val="000617DF"/>
    <w:rsid w:val="0006550B"/>
    <w:rsid w:val="0007000B"/>
    <w:rsid w:val="000735FD"/>
    <w:rsid w:val="00074109"/>
    <w:rsid w:val="00074C4D"/>
    <w:rsid w:val="00075C63"/>
    <w:rsid w:val="00076288"/>
    <w:rsid w:val="00077239"/>
    <w:rsid w:val="000778CA"/>
    <w:rsid w:val="00077A4A"/>
    <w:rsid w:val="000805BB"/>
    <w:rsid w:val="00080905"/>
    <w:rsid w:val="00081C9D"/>
    <w:rsid w:val="000822BE"/>
    <w:rsid w:val="000829BB"/>
    <w:rsid w:val="00082B11"/>
    <w:rsid w:val="000840A7"/>
    <w:rsid w:val="00085C6A"/>
    <w:rsid w:val="00086491"/>
    <w:rsid w:val="00087C0D"/>
    <w:rsid w:val="000904F9"/>
    <w:rsid w:val="000909ED"/>
    <w:rsid w:val="00091346"/>
    <w:rsid w:val="00091C80"/>
    <w:rsid w:val="0009581F"/>
    <w:rsid w:val="00095901"/>
    <w:rsid w:val="00097074"/>
    <w:rsid w:val="000A3B54"/>
    <w:rsid w:val="000A59AE"/>
    <w:rsid w:val="000B738A"/>
    <w:rsid w:val="000C03F4"/>
    <w:rsid w:val="000C17EA"/>
    <w:rsid w:val="000C2592"/>
    <w:rsid w:val="000C42BA"/>
    <w:rsid w:val="000C4FD1"/>
    <w:rsid w:val="000D1759"/>
    <w:rsid w:val="000D38EB"/>
    <w:rsid w:val="000D4875"/>
    <w:rsid w:val="000D6891"/>
    <w:rsid w:val="000D6E8D"/>
    <w:rsid w:val="000E71F8"/>
    <w:rsid w:val="000F29EC"/>
    <w:rsid w:val="000F38EA"/>
    <w:rsid w:val="000F542E"/>
    <w:rsid w:val="000F641B"/>
    <w:rsid w:val="000F73FF"/>
    <w:rsid w:val="000F7F1C"/>
    <w:rsid w:val="00102175"/>
    <w:rsid w:val="00102343"/>
    <w:rsid w:val="001029B3"/>
    <w:rsid w:val="00105DCD"/>
    <w:rsid w:val="001066B3"/>
    <w:rsid w:val="001114AC"/>
    <w:rsid w:val="00114584"/>
    <w:rsid w:val="00114CF7"/>
    <w:rsid w:val="00115411"/>
    <w:rsid w:val="00115B33"/>
    <w:rsid w:val="00116B95"/>
    <w:rsid w:val="00117233"/>
    <w:rsid w:val="00123B68"/>
    <w:rsid w:val="00124AF4"/>
    <w:rsid w:val="00124CAA"/>
    <w:rsid w:val="00125E69"/>
    <w:rsid w:val="00126F2E"/>
    <w:rsid w:val="00127FC6"/>
    <w:rsid w:val="001424DC"/>
    <w:rsid w:val="00143A87"/>
    <w:rsid w:val="00144E69"/>
    <w:rsid w:val="00146F6F"/>
    <w:rsid w:val="0014714E"/>
    <w:rsid w:val="00147DA1"/>
    <w:rsid w:val="00152957"/>
    <w:rsid w:val="00166196"/>
    <w:rsid w:val="001664A7"/>
    <w:rsid w:val="00167327"/>
    <w:rsid w:val="00167A9D"/>
    <w:rsid w:val="00170C5A"/>
    <w:rsid w:val="00171758"/>
    <w:rsid w:val="0017500F"/>
    <w:rsid w:val="00176991"/>
    <w:rsid w:val="00180444"/>
    <w:rsid w:val="001832B9"/>
    <w:rsid w:val="00183CE2"/>
    <w:rsid w:val="00185737"/>
    <w:rsid w:val="00187BD9"/>
    <w:rsid w:val="0019060A"/>
    <w:rsid w:val="00190B55"/>
    <w:rsid w:val="00191F5C"/>
    <w:rsid w:val="00192FA9"/>
    <w:rsid w:val="00194CFB"/>
    <w:rsid w:val="001A1FFD"/>
    <w:rsid w:val="001A2AB4"/>
    <w:rsid w:val="001A3858"/>
    <w:rsid w:val="001A4BD2"/>
    <w:rsid w:val="001B2ED3"/>
    <w:rsid w:val="001B643A"/>
    <w:rsid w:val="001B6675"/>
    <w:rsid w:val="001B7EA3"/>
    <w:rsid w:val="001C3B5F"/>
    <w:rsid w:val="001C61EA"/>
    <w:rsid w:val="001D058F"/>
    <w:rsid w:val="001D2025"/>
    <w:rsid w:val="001D520B"/>
    <w:rsid w:val="001E0384"/>
    <w:rsid w:val="001E24AF"/>
    <w:rsid w:val="001E252D"/>
    <w:rsid w:val="001E43DC"/>
    <w:rsid w:val="002009EA"/>
    <w:rsid w:val="00202CA0"/>
    <w:rsid w:val="00207A5D"/>
    <w:rsid w:val="002154A6"/>
    <w:rsid w:val="002162CD"/>
    <w:rsid w:val="00216478"/>
    <w:rsid w:val="00220634"/>
    <w:rsid w:val="00221C1D"/>
    <w:rsid w:val="002226B9"/>
    <w:rsid w:val="00224B7C"/>
    <w:rsid w:val="00224CDD"/>
    <w:rsid w:val="002255B3"/>
    <w:rsid w:val="0023164A"/>
    <w:rsid w:val="002319F6"/>
    <w:rsid w:val="0023409C"/>
    <w:rsid w:val="002346C7"/>
    <w:rsid w:val="002351D4"/>
    <w:rsid w:val="00236E8A"/>
    <w:rsid w:val="00240BC8"/>
    <w:rsid w:val="002420D0"/>
    <w:rsid w:val="00242487"/>
    <w:rsid w:val="00243411"/>
    <w:rsid w:val="00246B32"/>
    <w:rsid w:val="00251A53"/>
    <w:rsid w:val="0025489C"/>
    <w:rsid w:val="0026406F"/>
    <w:rsid w:val="002653F2"/>
    <w:rsid w:val="00266589"/>
    <w:rsid w:val="00267792"/>
    <w:rsid w:val="002712A9"/>
    <w:rsid w:val="00271316"/>
    <w:rsid w:val="00272417"/>
    <w:rsid w:val="00274CC3"/>
    <w:rsid w:val="00276414"/>
    <w:rsid w:val="00283F74"/>
    <w:rsid w:val="00286C1D"/>
    <w:rsid w:val="00286C4C"/>
    <w:rsid w:val="00294BF6"/>
    <w:rsid w:val="00294D5A"/>
    <w:rsid w:val="002955DA"/>
    <w:rsid w:val="00295A71"/>
    <w:rsid w:val="00296313"/>
    <w:rsid w:val="00296DA0"/>
    <w:rsid w:val="00297006"/>
    <w:rsid w:val="002A0A7A"/>
    <w:rsid w:val="002A0D8C"/>
    <w:rsid w:val="002A27F8"/>
    <w:rsid w:val="002A51DF"/>
    <w:rsid w:val="002A684E"/>
    <w:rsid w:val="002B074A"/>
    <w:rsid w:val="002B10D5"/>
    <w:rsid w:val="002B3296"/>
    <w:rsid w:val="002B3C84"/>
    <w:rsid w:val="002B5490"/>
    <w:rsid w:val="002C12ED"/>
    <w:rsid w:val="002C49BA"/>
    <w:rsid w:val="002C4B75"/>
    <w:rsid w:val="002C73F6"/>
    <w:rsid w:val="002C7D5E"/>
    <w:rsid w:val="002D58BE"/>
    <w:rsid w:val="002E4D1D"/>
    <w:rsid w:val="002E51E0"/>
    <w:rsid w:val="002E5411"/>
    <w:rsid w:val="002E7A84"/>
    <w:rsid w:val="002F1BD0"/>
    <w:rsid w:val="003013EE"/>
    <w:rsid w:val="00304031"/>
    <w:rsid w:val="00311808"/>
    <w:rsid w:val="00311851"/>
    <w:rsid w:val="00311CD5"/>
    <w:rsid w:val="00316725"/>
    <w:rsid w:val="00316A69"/>
    <w:rsid w:val="003231C6"/>
    <w:rsid w:val="00323E49"/>
    <w:rsid w:val="003247A5"/>
    <w:rsid w:val="0032529E"/>
    <w:rsid w:val="00325939"/>
    <w:rsid w:val="003273BC"/>
    <w:rsid w:val="00331F05"/>
    <w:rsid w:val="00335759"/>
    <w:rsid w:val="00337750"/>
    <w:rsid w:val="003414D2"/>
    <w:rsid w:val="0034384D"/>
    <w:rsid w:val="00345D42"/>
    <w:rsid w:val="00346224"/>
    <w:rsid w:val="0034636C"/>
    <w:rsid w:val="0035089A"/>
    <w:rsid w:val="003511BC"/>
    <w:rsid w:val="00356083"/>
    <w:rsid w:val="00357049"/>
    <w:rsid w:val="00361609"/>
    <w:rsid w:val="00364098"/>
    <w:rsid w:val="00366978"/>
    <w:rsid w:val="0037003F"/>
    <w:rsid w:val="00372BCF"/>
    <w:rsid w:val="00373365"/>
    <w:rsid w:val="00377BD3"/>
    <w:rsid w:val="003807EA"/>
    <w:rsid w:val="003829D8"/>
    <w:rsid w:val="0038304D"/>
    <w:rsid w:val="00384088"/>
    <w:rsid w:val="0038489B"/>
    <w:rsid w:val="00384EDD"/>
    <w:rsid w:val="00385BE9"/>
    <w:rsid w:val="0039169B"/>
    <w:rsid w:val="00392277"/>
    <w:rsid w:val="00394B90"/>
    <w:rsid w:val="003968CC"/>
    <w:rsid w:val="003A03FF"/>
    <w:rsid w:val="003A04F5"/>
    <w:rsid w:val="003A22FC"/>
    <w:rsid w:val="003A5137"/>
    <w:rsid w:val="003A6BAC"/>
    <w:rsid w:val="003A6BED"/>
    <w:rsid w:val="003A7F8C"/>
    <w:rsid w:val="003B08DA"/>
    <w:rsid w:val="003B11F9"/>
    <w:rsid w:val="003B2B56"/>
    <w:rsid w:val="003B532E"/>
    <w:rsid w:val="003B6306"/>
    <w:rsid w:val="003B6602"/>
    <w:rsid w:val="003B6F14"/>
    <w:rsid w:val="003B6F60"/>
    <w:rsid w:val="003C1870"/>
    <w:rsid w:val="003C6136"/>
    <w:rsid w:val="003D0F8B"/>
    <w:rsid w:val="003D39F2"/>
    <w:rsid w:val="003D5A63"/>
    <w:rsid w:val="003D6425"/>
    <w:rsid w:val="003D66A7"/>
    <w:rsid w:val="003D7EE8"/>
    <w:rsid w:val="003F0A6C"/>
    <w:rsid w:val="003F0F49"/>
    <w:rsid w:val="003F1363"/>
    <w:rsid w:val="00403C69"/>
    <w:rsid w:val="00405EC2"/>
    <w:rsid w:val="00406278"/>
    <w:rsid w:val="00406297"/>
    <w:rsid w:val="00412C81"/>
    <w:rsid w:val="004131D4"/>
    <w:rsid w:val="0041348E"/>
    <w:rsid w:val="00414895"/>
    <w:rsid w:val="004208C6"/>
    <w:rsid w:val="00421605"/>
    <w:rsid w:val="00426222"/>
    <w:rsid w:val="004269E6"/>
    <w:rsid w:val="00433357"/>
    <w:rsid w:val="00435762"/>
    <w:rsid w:val="00435E45"/>
    <w:rsid w:val="004364D9"/>
    <w:rsid w:val="00437819"/>
    <w:rsid w:val="00437A8D"/>
    <w:rsid w:val="00440C4F"/>
    <w:rsid w:val="00441E8B"/>
    <w:rsid w:val="004445FD"/>
    <w:rsid w:val="00446FBA"/>
    <w:rsid w:val="00447308"/>
    <w:rsid w:val="00447990"/>
    <w:rsid w:val="004500BC"/>
    <w:rsid w:val="00451B1B"/>
    <w:rsid w:val="004552B4"/>
    <w:rsid w:val="00460CF8"/>
    <w:rsid w:val="00462253"/>
    <w:rsid w:val="00462CB2"/>
    <w:rsid w:val="004631CC"/>
    <w:rsid w:val="00467DB2"/>
    <w:rsid w:val="00472FC1"/>
    <w:rsid w:val="004755BA"/>
    <w:rsid w:val="004765FF"/>
    <w:rsid w:val="00481E58"/>
    <w:rsid w:val="0048520E"/>
    <w:rsid w:val="00486163"/>
    <w:rsid w:val="00492075"/>
    <w:rsid w:val="0049304E"/>
    <w:rsid w:val="00495290"/>
    <w:rsid w:val="004969AD"/>
    <w:rsid w:val="00496E2A"/>
    <w:rsid w:val="004A0244"/>
    <w:rsid w:val="004A3FF4"/>
    <w:rsid w:val="004A7674"/>
    <w:rsid w:val="004A783D"/>
    <w:rsid w:val="004B13CB"/>
    <w:rsid w:val="004B2466"/>
    <w:rsid w:val="004B3C6F"/>
    <w:rsid w:val="004B4FDF"/>
    <w:rsid w:val="004B4FF2"/>
    <w:rsid w:val="004B716F"/>
    <w:rsid w:val="004B7C16"/>
    <w:rsid w:val="004B7E77"/>
    <w:rsid w:val="004C3355"/>
    <w:rsid w:val="004D04E2"/>
    <w:rsid w:val="004D4243"/>
    <w:rsid w:val="004D5D5C"/>
    <w:rsid w:val="004D752D"/>
    <w:rsid w:val="004D7763"/>
    <w:rsid w:val="004E27DE"/>
    <w:rsid w:val="004E2F10"/>
    <w:rsid w:val="004E3276"/>
    <w:rsid w:val="004E4F74"/>
    <w:rsid w:val="004E5959"/>
    <w:rsid w:val="004E704A"/>
    <w:rsid w:val="004F051F"/>
    <w:rsid w:val="004F3D95"/>
    <w:rsid w:val="004F660E"/>
    <w:rsid w:val="004F7270"/>
    <w:rsid w:val="005004A4"/>
    <w:rsid w:val="0050139F"/>
    <w:rsid w:val="0050712D"/>
    <w:rsid w:val="00510692"/>
    <w:rsid w:val="00510F4D"/>
    <w:rsid w:val="00516722"/>
    <w:rsid w:val="00517624"/>
    <w:rsid w:val="00520565"/>
    <w:rsid w:val="00521223"/>
    <w:rsid w:val="00523934"/>
    <w:rsid w:val="00523D3E"/>
    <w:rsid w:val="00524DF1"/>
    <w:rsid w:val="005252E6"/>
    <w:rsid w:val="0052716E"/>
    <w:rsid w:val="00531317"/>
    <w:rsid w:val="00533CBA"/>
    <w:rsid w:val="00536513"/>
    <w:rsid w:val="00536DB4"/>
    <w:rsid w:val="00541D24"/>
    <w:rsid w:val="00543159"/>
    <w:rsid w:val="0054377E"/>
    <w:rsid w:val="0054450F"/>
    <w:rsid w:val="0055140B"/>
    <w:rsid w:val="00552F9E"/>
    <w:rsid w:val="00554C4F"/>
    <w:rsid w:val="00561D72"/>
    <w:rsid w:val="00564F36"/>
    <w:rsid w:val="00566EEB"/>
    <w:rsid w:val="00570FA3"/>
    <w:rsid w:val="00571767"/>
    <w:rsid w:val="00572AFD"/>
    <w:rsid w:val="00576FB4"/>
    <w:rsid w:val="00581664"/>
    <w:rsid w:val="00585238"/>
    <w:rsid w:val="005855FC"/>
    <w:rsid w:val="00586EB9"/>
    <w:rsid w:val="00592321"/>
    <w:rsid w:val="005933B2"/>
    <w:rsid w:val="00593B87"/>
    <w:rsid w:val="005964AB"/>
    <w:rsid w:val="005A2BEB"/>
    <w:rsid w:val="005A3485"/>
    <w:rsid w:val="005A5E0C"/>
    <w:rsid w:val="005A6739"/>
    <w:rsid w:val="005B0278"/>
    <w:rsid w:val="005B25C3"/>
    <w:rsid w:val="005B2DD6"/>
    <w:rsid w:val="005B41B7"/>
    <w:rsid w:val="005B44F5"/>
    <w:rsid w:val="005B6D88"/>
    <w:rsid w:val="005C099A"/>
    <w:rsid w:val="005C116F"/>
    <w:rsid w:val="005C13B5"/>
    <w:rsid w:val="005C26D1"/>
    <w:rsid w:val="005C3173"/>
    <w:rsid w:val="005C31A5"/>
    <w:rsid w:val="005C3248"/>
    <w:rsid w:val="005C33FB"/>
    <w:rsid w:val="005C3F17"/>
    <w:rsid w:val="005C4740"/>
    <w:rsid w:val="005D0BEA"/>
    <w:rsid w:val="005D4916"/>
    <w:rsid w:val="005E0641"/>
    <w:rsid w:val="005E0D2B"/>
    <w:rsid w:val="005E10C9"/>
    <w:rsid w:val="005E61DD"/>
    <w:rsid w:val="005E6321"/>
    <w:rsid w:val="005F5413"/>
    <w:rsid w:val="00600B9C"/>
    <w:rsid w:val="006023DF"/>
    <w:rsid w:val="00602CFD"/>
    <w:rsid w:val="0060693B"/>
    <w:rsid w:val="006117C6"/>
    <w:rsid w:val="00611CD2"/>
    <w:rsid w:val="00615AB9"/>
    <w:rsid w:val="00617602"/>
    <w:rsid w:val="00620ECD"/>
    <w:rsid w:val="00621FDD"/>
    <w:rsid w:val="00622B63"/>
    <w:rsid w:val="00624A81"/>
    <w:rsid w:val="0062697F"/>
    <w:rsid w:val="00627881"/>
    <w:rsid w:val="00636181"/>
    <w:rsid w:val="00637E99"/>
    <w:rsid w:val="006422AD"/>
    <w:rsid w:val="006430DA"/>
    <w:rsid w:val="0064322F"/>
    <w:rsid w:val="006449A5"/>
    <w:rsid w:val="00644F99"/>
    <w:rsid w:val="006463EE"/>
    <w:rsid w:val="00657DE0"/>
    <w:rsid w:val="006608C4"/>
    <w:rsid w:val="006612C2"/>
    <w:rsid w:val="00661FB8"/>
    <w:rsid w:val="00665B75"/>
    <w:rsid w:val="00667F38"/>
    <w:rsid w:val="0067199F"/>
    <w:rsid w:val="006747D8"/>
    <w:rsid w:val="00674AEF"/>
    <w:rsid w:val="00675DB5"/>
    <w:rsid w:val="00676ED7"/>
    <w:rsid w:val="00677048"/>
    <w:rsid w:val="00680225"/>
    <w:rsid w:val="00685313"/>
    <w:rsid w:val="00690B44"/>
    <w:rsid w:val="006912F3"/>
    <w:rsid w:val="00696E7A"/>
    <w:rsid w:val="006A0D14"/>
    <w:rsid w:val="006A47E5"/>
    <w:rsid w:val="006A6E9B"/>
    <w:rsid w:val="006A747C"/>
    <w:rsid w:val="006A7603"/>
    <w:rsid w:val="006B1038"/>
    <w:rsid w:val="006B502E"/>
    <w:rsid w:val="006B73C2"/>
    <w:rsid w:val="006B7C2A"/>
    <w:rsid w:val="006C03CD"/>
    <w:rsid w:val="006C23DA"/>
    <w:rsid w:val="006C7898"/>
    <w:rsid w:val="006C7CA9"/>
    <w:rsid w:val="006D2DD5"/>
    <w:rsid w:val="006D4843"/>
    <w:rsid w:val="006D6130"/>
    <w:rsid w:val="006D6DDA"/>
    <w:rsid w:val="006E099C"/>
    <w:rsid w:val="006E3D45"/>
    <w:rsid w:val="006E64F1"/>
    <w:rsid w:val="006E7629"/>
    <w:rsid w:val="006F0C99"/>
    <w:rsid w:val="006F1889"/>
    <w:rsid w:val="006F7874"/>
    <w:rsid w:val="006F7BD3"/>
    <w:rsid w:val="007034D9"/>
    <w:rsid w:val="00705932"/>
    <w:rsid w:val="007149F9"/>
    <w:rsid w:val="0071531C"/>
    <w:rsid w:val="0071541F"/>
    <w:rsid w:val="007167D5"/>
    <w:rsid w:val="00720DD1"/>
    <w:rsid w:val="007265FE"/>
    <w:rsid w:val="00730009"/>
    <w:rsid w:val="00733A30"/>
    <w:rsid w:val="007372E2"/>
    <w:rsid w:val="007379E5"/>
    <w:rsid w:val="00743072"/>
    <w:rsid w:val="00745AEE"/>
    <w:rsid w:val="00747028"/>
    <w:rsid w:val="007479EA"/>
    <w:rsid w:val="00747A98"/>
    <w:rsid w:val="00750F10"/>
    <w:rsid w:val="0075242F"/>
    <w:rsid w:val="00756ADC"/>
    <w:rsid w:val="00761CEF"/>
    <w:rsid w:val="007654FE"/>
    <w:rsid w:val="00765BA5"/>
    <w:rsid w:val="007664D4"/>
    <w:rsid w:val="00770D7E"/>
    <w:rsid w:val="007742CA"/>
    <w:rsid w:val="0077509B"/>
    <w:rsid w:val="00776DB1"/>
    <w:rsid w:val="0077768B"/>
    <w:rsid w:val="0077794B"/>
    <w:rsid w:val="00792DB8"/>
    <w:rsid w:val="00793BB0"/>
    <w:rsid w:val="00794ABD"/>
    <w:rsid w:val="00795C00"/>
    <w:rsid w:val="0079605E"/>
    <w:rsid w:val="007A7FAF"/>
    <w:rsid w:val="007B12EB"/>
    <w:rsid w:val="007B2EB6"/>
    <w:rsid w:val="007B3BF6"/>
    <w:rsid w:val="007B4578"/>
    <w:rsid w:val="007C0A4D"/>
    <w:rsid w:val="007C2360"/>
    <w:rsid w:val="007C5A7B"/>
    <w:rsid w:val="007D06F0"/>
    <w:rsid w:val="007D35D0"/>
    <w:rsid w:val="007D3C25"/>
    <w:rsid w:val="007D45E3"/>
    <w:rsid w:val="007D5320"/>
    <w:rsid w:val="007D714B"/>
    <w:rsid w:val="007E065B"/>
    <w:rsid w:val="007E0A1D"/>
    <w:rsid w:val="007E28A9"/>
    <w:rsid w:val="007E713F"/>
    <w:rsid w:val="007E7819"/>
    <w:rsid w:val="007E799D"/>
    <w:rsid w:val="007F236E"/>
    <w:rsid w:val="007F2668"/>
    <w:rsid w:val="007F26E3"/>
    <w:rsid w:val="007F4F86"/>
    <w:rsid w:val="007F535C"/>
    <w:rsid w:val="007F54EB"/>
    <w:rsid w:val="007F735C"/>
    <w:rsid w:val="00800972"/>
    <w:rsid w:val="00804475"/>
    <w:rsid w:val="0081159E"/>
    <w:rsid w:val="00811633"/>
    <w:rsid w:val="00814C00"/>
    <w:rsid w:val="00821CEF"/>
    <w:rsid w:val="00823BDC"/>
    <w:rsid w:val="00832828"/>
    <w:rsid w:val="008334AF"/>
    <w:rsid w:val="0083645A"/>
    <w:rsid w:val="0083797D"/>
    <w:rsid w:val="00837AB9"/>
    <w:rsid w:val="00840B0F"/>
    <w:rsid w:val="00840FD0"/>
    <w:rsid w:val="0084590A"/>
    <w:rsid w:val="00845C0D"/>
    <w:rsid w:val="008529D3"/>
    <w:rsid w:val="00853243"/>
    <w:rsid w:val="00854840"/>
    <w:rsid w:val="0085555B"/>
    <w:rsid w:val="00855FDC"/>
    <w:rsid w:val="00860F8A"/>
    <w:rsid w:val="0086299C"/>
    <w:rsid w:val="00863096"/>
    <w:rsid w:val="00863578"/>
    <w:rsid w:val="00863FC4"/>
    <w:rsid w:val="00864A15"/>
    <w:rsid w:val="00867B8E"/>
    <w:rsid w:val="008711AE"/>
    <w:rsid w:val="00872FC8"/>
    <w:rsid w:val="00874817"/>
    <w:rsid w:val="00877397"/>
    <w:rsid w:val="00877D80"/>
    <w:rsid w:val="008801D3"/>
    <w:rsid w:val="00880325"/>
    <w:rsid w:val="008806F3"/>
    <w:rsid w:val="00881DBB"/>
    <w:rsid w:val="00882996"/>
    <w:rsid w:val="00883866"/>
    <w:rsid w:val="008845D0"/>
    <w:rsid w:val="0089151A"/>
    <w:rsid w:val="00893B2C"/>
    <w:rsid w:val="00894F96"/>
    <w:rsid w:val="008A0BFE"/>
    <w:rsid w:val="008A2753"/>
    <w:rsid w:val="008A3933"/>
    <w:rsid w:val="008A7165"/>
    <w:rsid w:val="008B20A4"/>
    <w:rsid w:val="008B3713"/>
    <w:rsid w:val="008B43F2"/>
    <w:rsid w:val="008B54AB"/>
    <w:rsid w:val="008B54D9"/>
    <w:rsid w:val="008B61EA"/>
    <w:rsid w:val="008B63AA"/>
    <w:rsid w:val="008B6CFF"/>
    <w:rsid w:val="008C28A0"/>
    <w:rsid w:val="008C3D02"/>
    <w:rsid w:val="008C4ADD"/>
    <w:rsid w:val="008D06CB"/>
    <w:rsid w:val="008D279B"/>
    <w:rsid w:val="008D280A"/>
    <w:rsid w:val="008D2B46"/>
    <w:rsid w:val="008D678E"/>
    <w:rsid w:val="008E33DA"/>
    <w:rsid w:val="008E6B36"/>
    <w:rsid w:val="008E7DF8"/>
    <w:rsid w:val="008F04EE"/>
    <w:rsid w:val="008F238A"/>
    <w:rsid w:val="008F3284"/>
    <w:rsid w:val="008F36FB"/>
    <w:rsid w:val="009006A0"/>
    <w:rsid w:val="00900E22"/>
    <w:rsid w:val="009023DF"/>
    <w:rsid w:val="0090293E"/>
    <w:rsid w:val="0091016B"/>
    <w:rsid w:val="00910408"/>
    <w:rsid w:val="00910B26"/>
    <w:rsid w:val="00912004"/>
    <w:rsid w:val="009238B9"/>
    <w:rsid w:val="009274B4"/>
    <w:rsid w:val="00934743"/>
    <w:rsid w:val="00934EA2"/>
    <w:rsid w:val="009373C9"/>
    <w:rsid w:val="00941B98"/>
    <w:rsid w:val="00942FC1"/>
    <w:rsid w:val="00943545"/>
    <w:rsid w:val="00944A5C"/>
    <w:rsid w:val="00944A99"/>
    <w:rsid w:val="00951816"/>
    <w:rsid w:val="00952A66"/>
    <w:rsid w:val="00953C32"/>
    <w:rsid w:val="00964C68"/>
    <w:rsid w:val="009737F9"/>
    <w:rsid w:val="00980AD1"/>
    <w:rsid w:val="00980AD6"/>
    <w:rsid w:val="009828A4"/>
    <w:rsid w:val="00985001"/>
    <w:rsid w:val="00986EBB"/>
    <w:rsid w:val="009907F3"/>
    <w:rsid w:val="00990A55"/>
    <w:rsid w:val="00992F9A"/>
    <w:rsid w:val="009944BE"/>
    <w:rsid w:val="00996913"/>
    <w:rsid w:val="00996ACA"/>
    <w:rsid w:val="00997678"/>
    <w:rsid w:val="009A04EC"/>
    <w:rsid w:val="009A234F"/>
    <w:rsid w:val="009A291A"/>
    <w:rsid w:val="009B28F2"/>
    <w:rsid w:val="009B5126"/>
    <w:rsid w:val="009B71C3"/>
    <w:rsid w:val="009B75FF"/>
    <w:rsid w:val="009C39A2"/>
    <w:rsid w:val="009C4D44"/>
    <w:rsid w:val="009C56E5"/>
    <w:rsid w:val="009C6F7B"/>
    <w:rsid w:val="009D3343"/>
    <w:rsid w:val="009D3429"/>
    <w:rsid w:val="009E3F7C"/>
    <w:rsid w:val="009E5FC8"/>
    <w:rsid w:val="009E687A"/>
    <w:rsid w:val="009E72E7"/>
    <w:rsid w:val="009F1542"/>
    <w:rsid w:val="00A00AC6"/>
    <w:rsid w:val="00A03C5C"/>
    <w:rsid w:val="00A04FB0"/>
    <w:rsid w:val="00A066F1"/>
    <w:rsid w:val="00A1280A"/>
    <w:rsid w:val="00A141AF"/>
    <w:rsid w:val="00A15958"/>
    <w:rsid w:val="00A16D29"/>
    <w:rsid w:val="00A20E5E"/>
    <w:rsid w:val="00A2101B"/>
    <w:rsid w:val="00A21E18"/>
    <w:rsid w:val="00A235FD"/>
    <w:rsid w:val="00A2618D"/>
    <w:rsid w:val="00A27146"/>
    <w:rsid w:val="00A30305"/>
    <w:rsid w:val="00A31315"/>
    <w:rsid w:val="00A31D2D"/>
    <w:rsid w:val="00A32267"/>
    <w:rsid w:val="00A32291"/>
    <w:rsid w:val="00A33D45"/>
    <w:rsid w:val="00A34772"/>
    <w:rsid w:val="00A35D6D"/>
    <w:rsid w:val="00A4049B"/>
    <w:rsid w:val="00A43642"/>
    <w:rsid w:val="00A44D51"/>
    <w:rsid w:val="00A4600A"/>
    <w:rsid w:val="00A524E6"/>
    <w:rsid w:val="00A538A6"/>
    <w:rsid w:val="00A54C25"/>
    <w:rsid w:val="00A56C71"/>
    <w:rsid w:val="00A612BB"/>
    <w:rsid w:val="00A62F73"/>
    <w:rsid w:val="00A67FB8"/>
    <w:rsid w:val="00A710E7"/>
    <w:rsid w:val="00A7140C"/>
    <w:rsid w:val="00A7372E"/>
    <w:rsid w:val="00A74739"/>
    <w:rsid w:val="00A76372"/>
    <w:rsid w:val="00A76BD5"/>
    <w:rsid w:val="00A80D65"/>
    <w:rsid w:val="00A81F59"/>
    <w:rsid w:val="00A83E00"/>
    <w:rsid w:val="00A853F5"/>
    <w:rsid w:val="00A9323C"/>
    <w:rsid w:val="00A93364"/>
    <w:rsid w:val="00A93B85"/>
    <w:rsid w:val="00A96F7D"/>
    <w:rsid w:val="00AA05FD"/>
    <w:rsid w:val="00AA0B18"/>
    <w:rsid w:val="00AA4774"/>
    <w:rsid w:val="00AA666F"/>
    <w:rsid w:val="00AA7A11"/>
    <w:rsid w:val="00AB15BE"/>
    <w:rsid w:val="00AB4006"/>
    <w:rsid w:val="00AB4927"/>
    <w:rsid w:val="00AB4EF9"/>
    <w:rsid w:val="00AC007A"/>
    <w:rsid w:val="00AC034F"/>
    <w:rsid w:val="00AC1A8E"/>
    <w:rsid w:val="00AC4C17"/>
    <w:rsid w:val="00AC4DB5"/>
    <w:rsid w:val="00AD0AEB"/>
    <w:rsid w:val="00AD4C7B"/>
    <w:rsid w:val="00AF17A2"/>
    <w:rsid w:val="00AF2081"/>
    <w:rsid w:val="00AF2664"/>
    <w:rsid w:val="00AF57EF"/>
    <w:rsid w:val="00B004E5"/>
    <w:rsid w:val="00B053F3"/>
    <w:rsid w:val="00B06557"/>
    <w:rsid w:val="00B10A09"/>
    <w:rsid w:val="00B124F9"/>
    <w:rsid w:val="00B13FFC"/>
    <w:rsid w:val="00B15F9D"/>
    <w:rsid w:val="00B17325"/>
    <w:rsid w:val="00B17BDC"/>
    <w:rsid w:val="00B20035"/>
    <w:rsid w:val="00B20480"/>
    <w:rsid w:val="00B20F6D"/>
    <w:rsid w:val="00B21BEA"/>
    <w:rsid w:val="00B2212C"/>
    <w:rsid w:val="00B232A2"/>
    <w:rsid w:val="00B247C3"/>
    <w:rsid w:val="00B27180"/>
    <w:rsid w:val="00B27EA8"/>
    <w:rsid w:val="00B30ECC"/>
    <w:rsid w:val="00B35A1C"/>
    <w:rsid w:val="00B35BC5"/>
    <w:rsid w:val="00B36A3C"/>
    <w:rsid w:val="00B4012B"/>
    <w:rsid w:val="00B41165"/>
    <w:rsid w:val="00B41367"/>
    <w:rsid w:val="00B423AE"/>
    <w:rsid w:val="00B43D73"/>
    <w:rsid w:val="00B44083"/>
    <w:rsid w:val="00B441B1"/>
    <w:rsid w:val="00B45C98"/>
    <w:rsid w:val="00B50520"/>
    <w:rsid w:val="00B5544A"/>
    <w:rsid w:val="00B639E9"/>
    <w:rsid w:val="00B6598C"/>
    <w:rsid w:val="00B66F17"/>
    <w:rsid w:val="00B71863"/>
    <w:rsid w:val="00B7345F"/>
    <w:rsid w:val="00B750F0"/>
    <w:rsid w:val="00B817CD"/>
    <w:rsid w:val="00B81D00"/>
    <w:rsid w:val="00B825BC"/>
    <w:rsid w:val="00B830CC"/>
    <w:rsid w:val="00B850F8"/>
    <w:rsid w:val="00B86916"/>
    <w:rsid w:val="00B87DA1"/>
    <w:rsid w:val="00B9105F"/>
    <w:rsid w:val="00B911B2"/>
    <w:rsid w:val="00B917E9"/>
    <w:rsid w:val="00B92195"/>
    <w:rsid w:val="00B92520"/>
    <w:rsid w:val="00B951D0"/>
    <w:rsid w:val="00B95DA2"/>
    <w:rsid w:val="00B97C6E"/>
    <w:rsid w:val="00BA231A"/>
    <w:rsid w:val="00BA2D00"/>
    <w:rsid w:val="00BA2FE8"/>
    <w:rsid w:val="00BB1F53"/>
    <w:rsid w:val="00BB29C8"/>
    <w:rsid w:val="00BB3A95"/>
    <w:rsid w:val="00BB42AD"/>
    <w:rsid w:val="00BB4491"/>
    <w:rsid w:val="00BB66DD"/>
    <w:rsid w:val="00BB6DD0"/>
    <w:rsid w:val="00BC00FB"/>
    <w:rsid w:val="00BC0382"/>
    <w:rsid w:val="00BC1DBF"/>
    <w:rsid w:val="00BC31AC"/>
    <w:rsid w:val="00BC401E"/>
    <w:rsid w:val="00BC6488"/>
    <w:rsid w:val="00BD11D6"/>
    <w:rsid w:val="00BD239D"/>
    <w:rsid w:val="00BD31E7"/>
    <w:rsid w:val="00BD50BD"/>
    <w:rsid w:val="00BD618D"/>
    <w:rsid w:val="00BD62C6"/>
    <w:rsid w:val="00BE34A3"/>
    <w:rsid w:val="00BE7042"/>
    <w:rsid w:val="00BE7870"/>
    <w:rsid w:val="00BF095D"/>
    <w:rsid w:val="00BF3618"/>
    <w:rsid w:val="00BF4F16"/>
    <w:rsid w:val="00BF65C9"/>
    <w:rsid w:val="00C0018F"/>
    <w:rsid w:val="00C02828"/>
    <w:rsid w:val="00C03779"/>
    <w:rsid w:val="00C05634"/>
    <w:rsid w:val="00C07B4E"/>
    <w:rsid w:val="00C10393"/>
    <w:rsid w:val="00C14872"/>
    <w:rsid w:val="00C14874"/>
    <w:rsid w:val="00C166D0"/>
    <w:rsid w:val="00C16D39"/>
    <w:rsid w:val="00C20466"/>
    <w:rsid w:val="00C214ED"/>
    <w:rsid w:val="00C227EF"/>
    <w:rsid w:val="00C234E6"/>
    <w:rsid w:val="00C24E20"/>
    <w:rsid w:val="00C324A8"/>
    <w:rsid w:val="00C349B4"/>
    <w:rsid w:val="00C35C13"/>
    <w:rsid w:val="00C36662"/>
    <w:rsid w:val="00C40DF2"/>
    <w:rsid w:val="00C54517"/>
    <w:rsid w:val="00C55DBA"/>
    <w:rsid w:val="00C56E3C"/>
    <w:rsid w:val="00C60AEF"/>
    <w:rsid w:val="00C6240E"/>
    <w:rsid w:val="00C6439C"/>
    <w:rsid w:val="00C64CD8"/>
    <w:rsid w:val="00C720B0"/>
    <w:rsid w:val="00C73347"/>
    <w:rsid w:val="00C75E0E"/>
    <w:rsid w:val="00C75FF8"/>
    <w:rsid w:val="00C76A6C"/>
    <w:rsid w:val="00C80652"/>
    <w:rsid w:val="00C80A64"/>
    <w:rsid w:val="00C87447"/>
    <w:rsid w:val="00C90579"/>
    <w:rsid w:val="00C976EE"/>
    <w:rsid w:val="00C97C68"/>
    <w:rsid w:val="00CA18A2"/>
    <w:rsid w:val="00CA1A47"/>
    <w:rsid w:val="00CA36C5"/>
    <w:rsid w:val="00CA48CF"/>
    <w:rsid w:val="00CB1404"/>
    <w:rsid w:val="00CB1D84"/>
    <w:rsid w:val="00CB3537"/>
    <w:rsid w:val="00CB40E5"/>
    <w:rsid w:val="00CB615D"/>
    <w:rsid w:val="00CB6664"/>
    <w:rsid w:val="00CC247A"/>
    <w:rsid w:val="00CC41F6"/>
    <w:rsid w:val="00CC5CD7"/>
    <w:rsid w:val="00CD2733"/>
    <w:rsid w:val="00CD2A68"/>
    <w:rsid w:val="00CD2BC1"/>
    <w:rsid w:val="00CD3139"/>
    <w:rsid w:val="00CD4117"/>
    <w:rsid w:val="00CD7BC2"/>
    <w:rsid w:val="00CD7EC4"/>
    <w:rsid w:val="00CE5ACA"/>
    <w:rsid w:val="00CE5E47"/>
    <w:rsid w:val="00CE7A25"/>
    <w:rsid w:val="00CF020F"/>
    <w:rsid w:val="00CF269A"/>
    <w:rsid w:val="00CF2A29"/>
    <w:rsid w:val="00CF2B5B"/>
    <w:rsid w:val="00CF33C0"/>
    <w:rsid w:val="00CF4A84"/>
    <w:rsid w:val="00D00E2A"/>
    <w:rsid w:val="00D0723D"/>
    <w:rsid w:val="00D10D23"/>
    <w:rsid w:val="00D12A27"/>
    <w:rsid w:val="00D14CE0"/>
    <w:rsid w:val="00D217E0"/>
    <w:rsid w:val="00D233CB"/>
    <w:rsid w:val="00D27D0F"/>
    <w:rsid w:val="00D33DC1"/>
    <w:rsid w:val="00D36333"/>
    <w:rsid w:val="00D42CDE"/>
    <w:rsid w:val="00D42FEE"/>
    <w:rsid w:val="00D44DE2"/>
    <w:rsid w:val="00D45A9C"/>
    <w:rsid w:val="00D53EAE"/>
    <w:rsid w:val="00D541E4"/>
    <w:rsid w:val="00D5651D"/>
    <w:rsid w:val="00D56836"/>
    <w:rsid w:val="00D61378"/>
    <w:rsid w:val="00D62D8E"/>
    <w:rsid w:val="00D634E2"/>
    <w:rsid w:val="00D67A2E"/>
    <w:rsid w:val="00D71278"/>
    <w:rsid w:val="00D724BE"/>
    <w:rsid w:val="00D73CFE"/>
    <w:rsid w:val="00D74898"/>
    <w:rsid w:val="00D75941"/>
    <w:rsid w:val="00D75EB3"/>
    <w:rsid w:val="00D801ED"/>
    <w:rsid w:val="00D83BF5"/>
    <w:rsid w:val="00D8609B"/>
    <w:rsid w:val="00D864B0"/>
    <w:rsid w:val="00D87035"/>
    <w:rsid w:val="00D87E9C"/>
    <w:rsid w:val="00D91F0E"/>
    <w:rsid w:val="00D925C2"/>
    <w:rsid w:val="00D936BC"/>
    <w:rsid w:val="00D95534"/>
    <w:rsid w:val="00D9621A"/>
    <w:rsid w:val="00D96530"/>
    <w:rsid w:val="00D96B4B"/>
    <w:rsid w:val="00DA2345"/>
    <w:rsid w:val="00DA273A"/>
    <w:rsid w:val="00DA3AC1"/>
    <w:rsid w:val="00DA3AC4"/>
    <w:rsid w:val="00DA453A"/>
    <w:rsid w:val="00DA561A"/>
    <w:rsid w:val="00DA5C6F"/>
    <w:rsid w:val="00DA6B46"/>
    <w:rsid w:val="00DA7078"/>
    <w:rsid w:val="00DB1086"/>
    <w:rsid w:val="00DB2FB8"/>
    <w:rsid w:val="00DB4598"/>
    <w:rsid w:val="00DB4E0A"/>
    <w:rsid w:val="00DB6C72"/>
    <w:rsid w:val="00DB71F7"/>
    <w:rsid w:val="00DB750F"/>
    <w:rsid w:val="00DC19DC"/>
    <w:rsid w:val="00DC2A65"/>
    <w:rsid w:val="00DC3758"/>
    <w:rsid w:val="00DC3FC1"/>
    <w:rsid w:val="00DC574F"/>
    <w:rsid w:val="00DC6EEA"/>
    <w:rsid w:val="00DD08B4"/>
    <w:rsid w:val="00DD44AF"/>
    <w:rsid w:val="00DE2AC3"/>
    <w:rsid w:val="00DE434C"/>
    <w:rsid w:val="00DE5692"/>
    <w:rsid w:val="00DE5E67"/>
    <w:rsid w:val="00DE7766"/>
    <w:rsid w:val="00DE79F1"/>
    <w:rsid w:val="00DF02A0"/>
    <w:rsid w:val="00DF1E46"/>
    <w:rsid w:val="00DF21DF"/>
    <w:rsid w:val="00DF2D60"/>
    <w:rsid w:val="00DF6F8E"/>
    <w:rsid w:val="00E02014"/>
    <w:rsid w:val="00E03C94"/>
    <w:rsid w:val="00E03CF8"/>
    <w:rsid w:val="00E06603"/>
    <w:rsid w:val="00E06AEA"/>
    <w:rsid w:val="00E07105"/>
    <w:rsid w:val="00E11115"/>
    <w:rsid w:val="00E12074"/>
    <w:rsid w:val="00E1307C"/>
    <w:rsid w:val="00E17BAD"/>
    <w:rsid w:val="00E21B22"/>
    <w:rsid w:val="00E239BD"/>
    <w:rsid w:val="00E241C9"/>
    <w:rsid w:val="00E26226"/>
    <w:rsid w:val="00E31B77"/>
    <w:rsid w:val="00E36E67"/>
    <w:rsid w:val="00E378D8"/>
    <w:rsid w:val="00E4021C"/>
    <w:rsid w:val="00E4059F"/>
    <w:rsid w:val="00E4165C"/>
    <w:rsid w:val="00E422AC"/>
    <w:rsid w:val="00E425D0"/>
    <w:rsid w:val="00E45D05"/>
    <w:rsid w:val="00E528F8"/>
    <w:rsid w:val="00E5442B"/>
    <w:rsid w:val="00E55816"/>
    <w:rsid w:val="00E55AEF"/>
    <w:rsid w:val="00E61442"/>
    <w:rsid w:val="00E64B4B"/>
    <w:rsid w:val="00E66A93"/>
    <w:rsid w:val="00E71B64"/>
    <w:rsid w:val="00E7419F"/>
    <w:rsid w:val="00E81961"/>
    <w:rsid w:val="00E82877"/>
    <w:rsid w:val="00E83BBB"/>
    <w:rsid w:val="00E84088"/>
    <w:rsid w:val="00E90BE9"/>
    <w:rsid w:val="00E976C1"/>
    <w:rsid w:val="00EA025D"/>
    <w:rsid w:val="00EA07F0"/>
    <w:rsid w:val="00EA12E5"/>
    <w:rsid w:val="00EA2136"/>
    <w:rsid w:val="00EA36A2"/>
    <w:rsid w:val="00EA3D99"/>
    <w:rsid w:val="00EA66A4"/>
    <w:rsid w:val="00EB00F7"/>
    <w:rsid w:val="00EB0E5E"/>
    <w:rsid w:val="00EB2238"/>
    <w:rsid w:val="00EB4C45"/>
    <w:rsid w:val="00EC00DF"/>
    <w:rsid w:val="00EC0FC2"/>
    <w:rsid w:val="00EC3585"/>
    <w:rsid w:val="00EC6B65"/>
    <w:rsid w:val="00ED29AB"/>
    <w:rsid w:val="00ED335C"/>
    <w:rsid w:val="00ED44A8"/>
    <w:rsid w:val="00ED5AAF"/>
    <w:rsid w:val="00EE3198"/>
    <w:rsid w:val="00EE4646"/>
    <w:rsid w:val="00EE67EC"/>
    <w:rsid w:val="00EF33D5"/>
    <w:rsid w:val="00EF481F"/>
    <w:rsid w:val="00EF4D25"/>
    <w:rsid w:val="00F000EA"/>
    <w:rsid w:val="00F02766"/>
    <w:rsid w:val="00F03EB7"/>
    <w:rsid w:val="00F04067"/>
    <w:rsid w:val="00F0520E"/>
    <w:rsid w:val="00F05BD4"/>
    <w:rsid w:val="00F07F46"/>
    <w:rsid w:val="00F11A98"/>
    <w:rsid w:val="00F13242"/>
    <w:rsid w:val="00F1463E"/>
    <w:rsid w:val="00F15368"/>
    <w:rsid w:val="00F15E05"/>
    <w:rsid w:val="00F16F35"/>
    <w:rsid w:val="00F20CA2"/>
    <w:rsid w:val="00F21A1D"/>
    <w:rsid w:val="00F277F9"/>
    <w:rsid w:val="00F339E3"/>
    <w:rsid w:val="00F340C8"/>
    <w:rsid w:val="00F349CB"/>
    <w:rsid w:val="00F354F7"/>
    <w:rsid w:val="00F357E0"/>
    <w:rsid w:val="00F42215"/>
    <w:rsid w:val="00F45892"/>
    <w:rsid w:val="00F53615"/>
    <w:rsid w:val="00F579D6"/>
    <w:rsid w:val="00F61818"/>
    <w:rsid w:val="00F623D9"/>
    <w:rsid w:val="00F64274"/>
    <w:rsid w:val="00F64DBC"/>
    <w:rsid w:val="00F659A6"/>
    <w:rsid w:val="00F65C19"/>
    <w:rsid w:val="00F6660F"/>
    <w:rsid w:val="00F66B3A"/>
    <w:rsid w:val="00F67276"/>
    <w:rsid w:val="00F7338B"/>
    <w:rsid w:val="00F7440E"/>
    <w:rsid w:val="00F76603"/>
    <w:rsid w:val="00F772D4"/>
    <w:rsid w:val="00F808C6"/>
    <w:rsid w:val="00F83F60"/>
    <w:rsid w:val="00F8476E"/>
    <w:rsid w:val="00F848EE"/>
    <w:rsid w:val="00F84DF8"/>
    <w:rsid w:val="00F91898"/>
    <w:rsid w:val="00F94FEF"/>
    <w:rsid w:val="00F971FB"/>
    <w:rsid w:val="00FA4CD4"/>
    <w:rsid w:val="00FA579C"/>
    <w:rsid w:val="00FA668B"/>
    <w:rsid w:val="00FB20E0"/>
    <w:rsid w:val="00FB34B9"/>
    <w:rsid w:val="00FC0BEF"/>
    <w:rsid w:val="00FC24DA"/>
    <w:rsid w:val="00FC4678"/>
    <w:rsid w:val="00FC6545"/>
    <w:rsid w:val="00FD0183"/>
    <w:rsid w:val="00FD037B"/>
    <w:rsid w:val="00FD2546"/>
    <w:rsid w:val="00FD772E"/>
    <w:rsid w:val="00FE3346"/>
    <w:rsid w:val="00FE3926"/>
    <w:rsid w:val="00FE48BE"/>
    <w:rsid w:val="00FE7205"/>
    <w:rsid w:val="00FE78C7"/>
    <w:rsid w:val="00FF21ED"/>
    <w:rsid w:val="00FF2A26"/>
    <w:rsid w:val="00FF3D55"/>
    <w:rsid w:val="00FF43AC"/>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92C171"/>
  <w15:docId w15:val="{2B1DDD2B-189C-45BE-AE9C-2EE3A3BAF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Batang" w:hAnsi="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13EE"/>
    <w:pPr>
      <w:tabs>
        <w:tab w:val="left" w:pos="1134"/>
        <w:tab w:val="left" w:pos="1871"/>
        <w:tab w:val="left" w:pos="2268"/>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qFormat/>
    <w:rsid w:val="00CB3537"/>
    <w:pPr>
      <w:keepNext/>
      <w:keepLines/>
      <w:spacing w:before="280"/>
      <w:ind w:left="1134" w:hanging="1134"/>
      <w:outlineLvl w:val="0"/>
    </w:pPr>
    <w:rPr>
      <w:b/>
      <w:sz w:val="28"/>
    </w:rPr>
  </w:style>
  <w:style w:type="paragraph" w:styleId="Heading2">
    <w:name w:val="heading 2"/>
    <w:basedOn w:val="Heading1"/>
    <w:next w:val="Normal"/>
    <w:qFormat/>
    <w:rsid w:val="00CB3537"/>
    <w:pPr>
      <w:spacing w:before="200"/>
      <w:outlineLvl w:val="1"/>
    </w:pPr>
    <w:rPr>
      <w:sz w:val="24"/>
    </w:rPr>
  </w:style>
  <w:style w:type="paragraph" w:styleId="Heading3">
    <w:name w:val="heading 3"/>
    <w:basedOn w:val="Heading1"/>
    <w:next w:val="Normal"/>
    <w:qFormat/>
    <w:rsid w:val="00CB3537"/>
    <w:pPr>
      <w:tabs>
        <w:tab w:val="clear" w:pos="1134"/>
      </w:tabs>
      <w:spacing w:before="200"/>
      <w:outlineLvl w:val="2"/>
    </w:pPr>
    <w:rPr>
      <w:sz w:val="24"/>
    </w:rPr>
  </w:style>
  <w:style w:type="paragraph" w:styleId="Heading4">
    <w:name w:val="heading 4"/>
    <w:basedOn w:val="Heading3"/>
    <w:next w:val="Normal"/>
    <w:qFormat/>
    <w:rsid w:val="00CB3537"/>
    <w:pPr>
      <w:outlineLvl w:val="3"/>
    </w:pPr>
  </w:style>
  <w:style w:type="paragraph" w:styleId="Heading5">
    <w:name w:val="heading 5"/>
    <w:basedOn w:val="Heading4"/>
    <w:next w:val="Normal"/>
    <w:qFormat/>
    <w:rsid w:val="00CB3537"/>
    <w:pPr>
      <w:outlineLvl w:val="4"/>
    </w:pPr>
  </w:style>
  <w:style w:type="paragraph" w:styleId="Heading6">
    <w:name w:val="heading 6"/>
    <w:basedOn w:val="Heading4"/>
    <w:next w:val="Normal"/>
    <w:qFormat/>
    <w:rsid w:val="00CB3537"/>
    <w:pPr>
      <w:outlineLvl w:val="5"/>
    </w:pPr>
  </w:style>
  <w:style w:type="paragraph" w:styleId="Heading7">
    <w:name w:val="heading 7"/>
    <w:basedOn w:val="Heading6"/>
    <w:next w:val="Normal"/>
    <w:qFormat/>
    <w:rsid w:val="00CB3537"/>
    <w:pPr>
      <w:outlineLvl w:val="6"/>
    </w:pPr>
  </w:style>
  <w:style w:type="paragraph" w:styleId="Heading8">
    <w:name w:val="heading 8"/>
    <w:basedOn w:val="Heading6"/>
    <w:next w:val="Normal"/>
    <w:qFormat/>
    <w:rsid w:val="00CB3537"/>
    <w:pPr>
      <w:outlineLvl w:val="7"/>
    </w:pPr>
  </w:style>
  <w:style w:type="paragraph" w:styleId="Heading9">
    <w:name w:val="heading 9"/>
    <w:basedOn w:val="Heading6"/>
    <w:next w:val="Normal"/>
    <w:qFormat/>
    <w:rsid w:val="00CB3537"/>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D96B4B"/>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D96B4B"/>
    <w:pPr>
      <w:keepNext/>
      <w:keepLines/>
      <w:spacing w:before="240" w:after="280"/>
      <w:jc w:val="center"/>
    </w:pPr>
    <w:rPr>
      <w:b/>
      <w:sz w:val="28"/>
    </w:rPr>
  </w:style>
  <w:style w:type="character" w:customStyle="1" w:styleId="Appdef">
    <w:name w:val="App_def"/>
    <w:basedOn w:val="DefaultParagraphFont"/>
    <w:rsid w:val="00D96B4B"/>
    <w:rPr>
      <w:rFonts w:asciiTheme="minorHAnsi" w:hAnsiTheme="minorHAnsi"/>
      <w:b/>
    </w:rPr>
  </w:style>
  <w:style w:type="character" w:customStyle="1" w:styleId="Appref">
    <w:name w:val="App_ref"/>
    <w:basedOn w:val="DefaultParagraphFont"/>
    <w:rsid w:val="00D96B4B"/>
    <w:rPr>
      <w:rFonts w:asciiTheme="minorHAnsi" w:hAnsiTheme="minorHAnsi"/>
    </w:rPr>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D96B4B"/>
    <w:rPr>
      <w:rFonts w:asciiTheme="minorHAnsi" w:hAnsiTheme="minorHAnsi"/>
      <w:b/>
    </w:rPr>
  </w:style>
  <w:style w:type="paragraph" w:customStyle="1" w:styleId="Artheading">
    <w:name w:val="Art_heading"/>
    <w:basedOn w:val="Normal"/>
    <w:next w:val="Normal"/>
    <w:rsid w:val="00D96B4B"/>
    <w:pPr>
      <w:spacing w:before="480"/>
      <w:jc w:val="center"/>
    </w:pPr>
    <w:rPr>
      <w:b/>
      <w:sz w:val="28"/>
    </w:rPr>
  </w:style>
  <w:style w:type="paragraph" w:customStyle="1" w:styleId="ArtNo">
    <w:name w:val="Art_No"/>
    <w:basedOn w:val="Normal"/>
    <w:next w:val="Normal"/>
    <w:rsid w:val="00745AEE"/>
    <w:pPr>
      <w:keepNext/>
      <w:keepLines/>
      <w:spacing w:before="480"/>
      <w:jc w:val="center"/>
    </w:pPr>
    <w:rPr>
      <w:caps/>
      <w:sz w:val="28"/>
    </w:rPr>
  </w:style>
  <w:style w:type="character" w:customStyle="1" w:styleId="Artref">
    <w:name w:val="Art_ref"/>
    <w:basedOn w:val="DefaultParagraphFont"/>
    <w:rsid w:val="00D96B4B"/>
    <w:rPr>
      <w:rFonts w:asciiTheme="minorHAnsi" w:hAnsiTheme="minorHAnsi"/>
    </w:rPr>
  </w:style>
  <w:style w:type="paragraph" w:customStyle="1" w:styleId="Arttitle">
    <w:name w:val="Art_title"/>
    <w:basedOn w:val="Normal"/>
    <w:next w:val="Normal"/>
    <w:rsid w:val="00745AEE"/>
    <w:pPr>
      <w:keepNext/>
      <w:keepLines/>
      <w:spacing w:before="240"/>
      <w:jc w:val="center"/>
    </w:pPr>
    <w:rPr>
      <w:b/>
      <w:sz w:val="28"/>
    </w:rPr>
  </w:style>
  <w:style w:type="paragraph" w:customStyle="1" w:styleId="Call">
    <w:name w:val="Call"/>
    <w:basedOn w:val="Normal"/>
    <w:next w:val="Normal"/>
    <w:rsid w:val="00745AEE"/>
    <w:pPr>
      <w:keepNext/>
      <w:keepLines/>
      <w:spacing w:before="160"/>
      <w:ind w:left="1134"/>
    </w:pPr>
    <w:rPr>
      <w:i/>
    </w:rPr>
  </w:style>
  <w:style w:type="paragraph" w:customStyle="1" w:styleId="ChapNo">
    <w:name w:val="Chap_No"/>
    <w:basedOn w:val="ArtNo"/>
    <w:next w:val="Normal"/>
    <w:rsid w:val="00D96B4B"/>
    <w:rPr>
      <w:b/>
    </w:rPr>
  </w:style>
  <w:style w:type="paragraph" w:customStyle="1" w:styleId="Chaptitle">
    <w:name w:val="Chap_title"/>
    <w:basedOn w:val="Arttitle"/>
    <w:next w:val="Normal"/>
    <w:rsid w:val="00745AEE"/>
  </w:style>
  <w:style w:type="paragraph" w:customStyle="1" w:styleId="enumlev1">
    <w:name w:val="enumlev1"/>
    <w:basedOn w:val="Normal"/>
    <w:link w:val="enumlev1Char"/>
    <w:qFormat/>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2154A6"/>
    <w:pPr>
      <w:keepNext/>
      <w:keepLines/>
      <w:spacing w:before="0" w:after="480"/>
      <w:jc w:val="center"/>
    </w:pPr>
    <w:rPr>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rsid w:val="00745AEE"/>
    <w:pPr>
      <w:tabs>
        <w:tab w:val="clear" w:pos="1134"/>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Ref,de nota al pie,Style 12,(NECG) Footnote Reference,Style 124,o,fr,Style 13,FR,Style 17,Appel note de bas de p + 11 pt,Italic,Footnote,Appel note de bas de p1,Style 3"/>
    <w:basedOn w:val="DefaultParagraphFont"/>
    <w:qFormat/>
    <w:rsid w:val="002154A6"/>
    <w:rPr>
      <w:rFonts w:asciiTheme="minorHAnsi" w:hAnsiTheme="minorHAnsi"/>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qFormat/>
    <w:rsid w:val="00745AEE"/>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qFormat/>
    <w:rsid w:val="00745AEE"/>
    <w:rPr>
      <w:rFonts w:ascii="Times New Roman" w:hAnsi="Times New Roman"/>
      <w:sz w:val="24"/>
      <w:lang w:val="en-GB" w:eastAsia="en-US"/>
    </w:rPr>
  </w:style>
  <w:style w:type="paragraph" w:styleId="Header">
    <w:name w:val="header"/>
    <w:basedOn w:val="Normal"/>
    <w:link w:val="HeaderChar"/>
    <w:rsid w:val="00745AEE"/>
    <w:pPr>
      <w:spacing w:before="0"/>
      <w:jc w:val="center"/>
    </w:pPr>
    <w:rPr>
      <w:sz w:val="18"/>
    </w:rPr>
  </w:style>
  <w:style w:type="character" w:customStyle="1" w:styleId="HeaderChar">
    <w:name w:val="Header Char"/>
    <w:basedOn w:val="DefaultParagraphFont"/>
    <w:link w:val="Header"/>
    <w:rsid w:val="00745AEE"/>
    <w:rPr>
      <w:rFonts w:ascii="Times New Roman" w:hAnsi="Times New Roman"/>
      <w:sz w:val="18"/>
      <w:lang w:val="en-GB" w:eastAsia="en-US"/>
    </w:rPr>
  </w:style>
  <w:style w:type="paragraph" w:customStyle="1" w:styleId="Normalaftertitle">
    <w:name w:val="Normal after title"/>
    <w:basedOn w:val="Normal"/>
    <w:next w:val="Normal"/>
    <w:link w:val="NormalaftertitleChar"/>
    <w:rsid w:val="00190B55"/>
    <w:pPr>
      <w:spacing w:before="280"/>
    </w:pPr>
  </w:style>
  <w:style w:type="paragraph" w:customStyle="1" w:styleId="Section1">
    <w:name w:val="Section_1"/>
    <w:basedOn w:val="Normal"/>
    <w:rsid w:val="00190B55"/>
    <w:pPr>
      <w:tabs>
        <w:tab w:val="clear" w:pos="1134"/>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190B55"/>
    <w:pPr>
      <w:spacing w:before="840"/>
      <w:jc w:val="center"/>
    </w:pPr>
    <w:rPr>
      <w:b/>
      <w:sz w:val="28"/>
    </w:rPr>
  </w:style>
  <w:style w:type="paragraph" w:customStyle="1" w:styleId="SpecialFooter">
    <w:name w:val="Special Footer"/>
    <w:basedOn w:val="Footer"/>
    <w:rsid w:val="00190B55"/>
    <w:pPr>
      <w:tabs>
        <w:tab w:val="left" w:pos="1134"/>
        <w:tab w:val="left" w:pos="2268"/>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D96B4B"/>
    <w:rPr>
      <w:rFonts w:asciiTheme="minorHAnsi" w:hAnsiTheme="minorHAnsi"/>
      <w:b/>
      <w:color w:val="auto"/>
      <w:sz w:val="20"/>
    </w:rPr>
  </w:style>
  <w:style w:type="paragraph" w:customStyle="1" w:styleId="Tablehead">
    <w:name w:val="Table_head"/>
    <w:basedOn w:val="Normal"/>
    <w:rsid w:val="00D96B4B"/>
    <w:pPr>
      <w:keepNext/>
      <w:spacing w:before="80" w:after="80"/>
      <w:jc w:val="center"/>
    </w:pPr>
    <w:rPr>
      <w:rFonts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DE5692"/>
    <w:pPr>
      <w:keepNext/>
      <w:spacing w:before="240"/>
    </w:pPr>
    <w:rPr>
      <w:rFonts w:hAnsi="Times New Roman Bold"/>
    </w:rPr>
  </w:style>
  <w:style w:type="paragraph" w:customStyle="1" w:styleId="Reasons">
    <w:name w:val="Reasons"/>
    <w:basedOn w:val="Normal"/>
    <w:qFormat/>
    <w:rsid w:val="00DE5692"/>
    <w:pPr>
      <w:tabs>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D96B4B"/>
    <w:pPr>
      <w:keepNext/>
      <w:keepLines/>
      <w:spacing w:before="240"/>
      <w:jc w:val="center"/>
    </w:pPr>
    <w:rPr>
      <w:b/>
      <w:sz w:val="28"/>
    </w:rPr>
  </w:style>
  <w:style w:type="paragraph" w:styleId="TOC1">
    <w:name w:val="toc 1"/>
    <w:basedOn w:val="Normal"/>
    <w:rsid w:val="001D058F"/>
    <w:pPr>
      <w:keepLines/>
      <w:tabs>
        <w:tab w:val="clear" w:pos="1134"/>
        <w:tab w:val="clear" w:pos="2268"/>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1D058F"/>
    <w:pPr>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rsid w:val="001D058F"/>
    <w:pPr>
      <w:tabs>
        <w:tab w:val="left" w:pos="284"/>
        <w:tab w:val="left" w:pos="851"/>
        <w:tab w:val="left" w:pos="1418"/>
        <w:tab w:val="left" w:pos="1985"/>
        <w:tab w:val="left" w:pos="2552"/>
        <w:tab w:val="left" w:pos="3119"/>
        <w:tab w:val="left" w:pos="3402"/>
        <w:tab w:val="left" w:pos="3686"/>
        <w:tab w:val="left" w:pos="3969"/>
      </w:tabs>
      <w:spacing w:before="40" w:after="40"/>
    </w:pPr>
    <w:rPr>
      <w:sz w:val="20"/>
    </w:rPr>
  </w:style>
  <w:style w:type="paragraph" w:customStyle="1" w:styleId="Tabletitle">
    <w:name w:val="Table_title"/>
    <w:basedOn w:val="Normal"/>
    <w:next w:val="Tabletext"/>
    <w:rsid w:val="00D96B4B"/>
    <w:pPr>
      <w:keepNext/>
      <w:keepLines/>
      <w:spacing w:before="0" w:after="120"/>
      <w:jc w:val="center"/>
    </w:pPr>
    <w:rPr>
      <w:b/>
      <w:sz w:val="20"/>
    </w:rPr>
  </w:style>
  <w:style w:type="paragraph" w:customStyle="1" w:styleId="Headingi">
    <w:name w:val="Heading_i"/>
    <w:basedOn w:val="Normal"/>
    <w:next w:val="Normal"/>
    <w:qFormat/>
    <w:rsid w:val="00EA12E5"/>
    <w:pPr>
      <w:spacing w:before="160"/>
    </w:pPr>
    <w:rPr>
      <w:i/>
    </w:rPr>
  </w:style>
  <w:style w:type="paragraph" w:customStyle="1" w:styleId="Headingb">
    <w:name w:val="Heading_b"/>
    <w:basedOn w:val="Normal"/>
    <w:next w:val="Normal"/>
    <w:qFormat/>
    <w:rsid w:val="00D96B4B"/>
    <w:pPr>
      <w:spacing w:before="160"/>
    </w:pPr>
    <w:rPr>
      <w:rFonts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rPr>
      <w:sz w:val="22"/>
    </w:rPr>
  </w:style>
  <w:style w:type="paragraph" w:customStyle="1" w:styleId="RecNo">
    <w:name w:val="Rec_No"/>
    <w:basedOn w:val="Normal"/>
    <w:next w:val="Normal"/>
    <w:rsid w:val="00DE2AC3"/>
    <w:pPr>
      <w:keepNext/>
      <w:keepLines/>
      <w:spacing w:before="480"/>
      <w:jc w:val="center"/>
    </w:pPr>
    <w:rPr>
      <w:caps/>
      <w:sz w:val="28"/>
    </w:rPr>
  </w:style>
  <w:style w:type="paragraph" w:customStyle="1" w:styleId="Rectitle">
    <w:name w:val="Rec_title"/>
    <w:basedOn w:val="RecNo"/>
    <w:next w:val="Normal"/>
    <w:rsid w:val="00D96B4B"/>
    <w:pPr>
      <w:spacing w:before="240"/>
    </w:pPr>
    <w:rPr>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styleId="ListParagraph">
    <w:name w:val="List Paragraph"/>
    <w:aliases w:val="List Paragraph1,Recommendation,List Paragraph11,O5,Para_sk,Resume Title,- Bullets,Equipment,Numbered Indented Text,Figure_name"/>
    <w:basedOn w:val="Normal"/>
    <w:link w:val="ListParagraphChar"/>
    <w:uiPriority w:val="34"/>
    <w:qFormat/>
    <w:rsid w:val="00D925C2"/>
    <w:pPr>
      <w:ind w:left="720"/>
      <w:contextualSpacing/>
    </w:pPr>
  </w:style>
  <w:style w:type="paragraph" w:customStyle="1" w:styleId="Opiniontitle">
    <w:name w:val="Opinion_title"/>
    <w:basedOn w:val="Rectitle"/>
    <w:next w:val="Normalaftertitle"/>
    <w:qFormat/>
    <w:rsid w:val="00152957"/>
  </w:style>
  <w:style w:type="paragraph" w:customStyle="1" w:styleId="OpinionNo">
    <w:name w:val="Opinion_No"/>
    <w:basedOn w:val="RecNo"/>
    <w:next w:val="Opiniontitle"/>
    <w:qFormat/>
    <w:rsid w:val="00152957"/>
  </w:style>
  <w:style w:type="paragraph" w:customStyle="1" w:styleId="Volumetitle">
    <w:name w:val="Volume_title"/>
    <w:basedOn w:val="Normal"/>
    <w:qFormat/>
    <w:rsid w:val="007D45E3"/>
    <w:pPr>
      <w:tabs>
        <w:tab w:val="clear" w:pos="1134"/>
        <w:tab w:val="clear" w:pos="2268"/>
      </w:tabs>
      <w:overflowPunct/>
      <w:autoSpaceDE/>
      <w:autoSpaceDN/>
      <w:adjustRightInd/>
      <w:spacing w:before="0"/>
      <w:textAlignment w:val="auto"/>
    </w:pPr>
    <w:rPr>
      <w:b/>
      <w:sz w:val="28"/>
      <w:lang w:val="en-US"/>
    </w:rPr>
  </w:style>
  <w:style w:type="paragraph" w:styleId="BalloonText">
    <w:name w:val="Balloon Text"/>
    <w:basedOn w:val="Normal"/>
    <w:link w:val="BalloonTextChar"/>
    <w:rsid w:val="004131D4"/>
    <w:pPr>
      <w:spacing w:before="0"/>
    </w:pPr>
    <w:rPr>
      <w:rFonts w:ascii="Tahoma" w:hAnsi="Tahoma" w:cs="Tahoma"/>
      <w:sz w:val="16"/>
      <w:szCs w:val="16"/>
    </w:rPr>
  </w:style>
  <w:style w:type="character" w:customStyle="1" w:styleId="BalloonTextChar">
    <w:name w:val="Balloon Text Char"/>
    <w:basedOn w:val="DefaultParagraphFont"/>
    <w:link w:val="BalloonText"/>
    <w:rsid w:val="004131D4"/>
    <w:rPr>
      <w:rFonts w:ascii="Tahoma" w:hAnsi="Tahoma" w:cs="Tahoma"/>
      <w:sz w:val="16"/>
      <w:szCs w:val="16"/>
      <w:lang w:val="en-GB" w:eastAsia="en-US"/>
    </w:rPr>
  </w:style>
  <w:style w:type="paragraph" w:customStyle="1" w:styleId="Committee">
    <w:name w:val="Committee"/>
    <w:basedOn w:val="Normal"/>
    <w:qFormat/>
    <w:rsid w:val="004131D4"/>
    <w:pPr>
      <w:framePr w:hSpace="180" w:wrap="around" w:hAnchor="margin" w:y="-675"/>
      <w:tabs>
        <w:tab w:val="left" w:pos="851"/>
      </w:tabs>
      <w:spacing w:before="0" w:line="240" w:lineRule="atLeast"/>
    </w:pPr>
    <w:rPr>
      <w:rFonts w:cstheme="minorHAnsi"/>
      <w:b/>
      <w:szCs w:val="24"/>
    </w:rPr>
  </w:style>
  <w:style w:type="character" w:styleId="Hyperlink">
    <w:name w:val="Hyperlink"/>
    <w:aliases w:val="CEO_Hyperlink,超级链接,超?级链,Style 58,超????,하이퍼링크2,超链接1,超?级链?,Style?,S,하이퍼링크21,ECC Hyperlink,超??级链Ú,fL????,fL?级,超??级链,超?级链ïÈ,õ±?级链,õ±链ïÈ1,õ±???"/>
    <w:uiPriority w:val="99"/>
    <w:qFormat/>
    <w:rsid w:val="00D83BF5"/>
    <w:rPr>
      <w:color w:val="0000FF"/>
      <w:u w:val="single"/>
    </w:rPr>
  </w:style>
  <w:style w:type="character" w:customStyle="1" w:styleId="NormalaftertitleChar">
    <w:name w:val="Normal after title Char"/>
    <w:basedOn w:val="DefaultParagraphFont"/>
    <w:link w:val="Normalaftertitle"/>
    <w:locked/>
    <w:rsid w:val="00D83BF5"/>
    <w:rPr>
      <w:rFonts w:asciiTheme="minorHAnsi" w:hAnsiTheme="minorHAnsi"/>
      <w:sz w:val="24"/>
      <w:lang w:val="en-GB" w:eastAsia="en-US"/>
    </w:rPr>
  </w:style>
  <w:style w:type="table" w:styleId="TableGrid">
    <w:name w:val="Table Grid"/>
    <w:basedOn w:val="TableNormal"/>
    <w:uiPriority w:val="39"/>
    <w:rsid w:val="001E252D"/>
    <w:rPr>
      <w:rFonts w:ascii="CG Times" w:hAnsi="CG Tim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List Paragraph1 Char,Recommendation Char,List Paragraph11 Char,O5 Char,Para_sk Char,Resume Title Char,- Bullets Char,Equipment Char,Numbered Indented Text Char,Figure_name Char"/>
    <w:link w:val="ListParagraph"/>
    <w:uiPriority w:val="34"/>
    <w:qFormat/>
    <w:rsid w:val="003F1363"/>
    <w:rPr>
      <w:rFonts w:asciiTheme="minorHAnsi" w:hAnsiTheme="minorHAnsi"/>
      <w:sz w:val="24"/>
      <w:lang w:val="en-GB" w:eastAsia="en-US"/>
    </w:rPr>
  </w:style>
  <w:style w:type="character" w:styleId="FollowedHyperlink">
    <w:name w:val="FollowedHyperlink"/>
    <w:basedOn w:val="DefaultParagraphFont"/>
    <w:semiHidden/>
    <w:unhideWhenUsed/>
    <w:rsid w:val="00412C81"/>
    <w:rPr>
      <w:color w:val="800080" w:themeColor="followedHyperlink"/>
      <w:u w:val="single"/>
    </w:rPr>
  </w:style>
  <w:style w:type="paragraph" w:customStyle="1" w:styleId="Default">
    <w:name w:val="Default"/>
    <w:rsid w:val="00DB4598"/>
    <w:pPr>
      <w:autoSpaceDE w:val="0"/>
      <w:autoSpaceDN w:val="0"/>
      <w:adjustRightInd w:val="0"/>
    </w:pPr>
    <w:rPr>
      <w:rFonts w:ascii="Verdana" w:hAnsi="Verdana" w:cs="Verdana"/>
      <w:color w:val="000000"/>
      <w:sz w:val="24"/>
      <w:szCs w:val="24"/>
      <w:lang w:val="en-GB"/>
    </w:rPr>
  </w:style>
  <w:style w:type="paragraph" w:customStyle="1" w:styleId="CEOcontributionStart">
    <w:name w:val="CEO_contributionStart"/>
    <w:basedOn w:val="Normal"/>
    <w:rsid w:val="003C1870"/>
    <w:pPr>
      <w:tabs>
        <w:tab w:val="clear" w:pos="1134"/>
        <w:tab w:val="clear" w:pos="1871"/>
        <w:tab w:val="clear" w:pos="2268"/>
      </w:tabs>
      <w:overflowPunct/>
      <w:autoSpaceDE/>
      <w:autoSpaceDN/>
      <w:adjustRightInd/>
      <w:spacing w:before="360" w:after="120"/>
      <w:textAlignment w:val="auto"/>
    </w:pPr>
    <w:rPr>
      <w:rFonts w:ascii="Verdana" w:eastAsia="SimHei" w:hAnsi="Verdana" w:cs="Simplified Arabic"/>
      <w:sz w:val="19"/>
      <w:szCs w:val="19"/>
    </w:rPr>
  </w:style>
  <w:style w:type="character" w:styleId="CommentReference">
    <w:name w:val="annotation reference"/>
    <w:basedOn w:val="DefaultParagraphFont"/>
    <w:semiHidden/>
    <w:unhideWhenUsed/>
    <w:rsid w:val="006747D8"/>
    <w:rPr>
      <w:sz w:val="16"/>
      <w:szCs w:val="16"/>
    </w:rPr>
  </w:style>
  <w:style w:type="paragraph" w:styleId="CommentText">
    <w:name w:val="annotation text"/>
    <w:basedOn w:val="Normal"/>
    <w:link w:val="CommentTextChar"/>
    <w:unhideWhenUsed/>
    <w:rsid w:val="006747D8"/>
    <w:rPr>
      <w:sz w:val="20"/>
    </w:rPr>
  </w:style>
  <w:style w:type="character" w:customStyle="1" w:styleId="CommentTextChar">
    <w:name w:val="Comment Text Char"/>
    <w:basedOn w:val="DefaultParagraphFont"/>
    <w:link w:val="CommentText"/>
    <w:rsid w:val="006747D8"/>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6747D8"/>
    <w:rPr>
      <w:b/>
      <w:bCs/>
    </w:rPr>
  </w:style>
  <w:style w:type="character" w:customStyle="1" w:styleId="CommentSubjectChar">
    <w:name w:val="Comment Subject Char"/>
    <w:basedOn w:val="CommentTextChar"/>
    <w:link w:val="CommentSubject"/>
    <w:semiHidden/>
    <w:rsid w:val="006747D8"/>
    <w:rPr>
      <w:rFonts w:asciiTheme="minorHAnsi" w:hAnsiTheme="minorHAnsi"/>
      <w:b/>
      <w:bCs/>
      <w:lang w:val="en-GB" w:eastAsia="en-US"/>
    </w:rPr>
  </w:style>
  <w:style w:type="paragraph" w:styleId="Revision">
    <w:name w:val="Revision"/>
    <w:hidden/>
    <w:uiPriority w:val="99"/>
    <w:semiHidden/>
    <w:rsid w:val="006747D8"/>
    <w:rPr>
      <w:rFonts w:asciiTheme="minorHAnsi" w:hAnsiTheme="minorHAnsi"/>
      <w:sz w:val="24"/>
      <w:lang w:val="en-GB" w:eastAsia="en-US"/>
    </w:rPr>
  </w:style>
  <w:style w:type="character" w:customStyle="1" w:styleId="UnresolvedMention1">
    <w:name w:val="Unresolved Mention1"/>
    <w:basedOn w:val="DefaultParagraphFont"/>
    <w:uiPriority w:val="99"/>
    <w:semiHidden/>
    <w:unhideWhenUsed/>
    <w:rsid w:val="006449A5"/>
    <w:rPr>
      <w:color w:val="605E5C"/>
      <w:shd w:val="clear" w:color="auto" w:fill="E1DFDD"/>
    </w:rPr>
  </w:style>
  <w:style w:type="paragraph" w:customStyle="1" w:styleId="CEOAgendaItemN">
    <w:name w:val="CEO_AgendaItemN°"/>
    <w:basedOn w:val="Normal"/>
    <w:rsid w:val="00BF4F16"/>
    <w:pPr>
      <w:tabs>
        <w:tab w:val="clear" w:pos="1134"/>
        <w:tab w:val="clear" w:pos="1871"/>
        <w:tab w:val="clear" w:pos="2268"/>
      </w:tabs>
      <w:overflowPunct/>
      <w:autoSpaceDE/>
      <w:autoSpaceDN/>
      <w:adjustRightInd/>
      <w:spacing w:before="60" w:after="60"/>
      <w:ind w:right="12"/>
      <w:jc w:val="right"/>
      <w:textAlignment w:val="auto"/>
    </w:pPr>
    <w:rPr>
      <w:rFonts w:ascii="Verdana" w:eastAsia="SimHei" w:hAnsi="Verdana" w:cs="Simplified Arabic"/>
      <w:bCs/>
      <w:sz w:val="19"/>
      <w:szCs w:val="19"/>
      <w:lang w:val="en-US"/>
    </w:rPr>
  </w:style>
  <w:style w:type="character" w:customStyle="1" w:styleId="enumlev1Char">
    <w:name w:val="enumlev1 Char"/>
    <w:link w:val="enumlev1"/>
    <w:qFormat/>
    <w:rsid w:val="00A62F73"/>
    <w:rPr>
      <w:rFonts w:asciiTheme="minorHAnsi" w:hAnsiTheme="minorHAnsi"/>
      <w:sz w:val="24"/>
      <w:lang w:val="en-GB" w:eastAsia="en-US"/>
    </w:rPr>
  </w:style>
  <w:style w:type="character" w:customStyle="1" w:styleId="UnresolvedMention2">
    <w:name w:val="Unresolved Mention2"/>
    <w:basedOn w:val="DefaultParagraphFont"/>
    <w:uiPriority w:val="99"/>
    <w:semiHidden/>
    <w:unhideWhenUsed/>
    <w:rsid w:val="00B7345F"/>
    <w:rPr>
      <w:color w:val="605E5C"/>
      <w:shd w:val="clear" w:color="auto" w:fill="E1DFDD"/>
    </w:rPr>
  </w:style>
  <w:style w:type="paragraph" w:styleId="HTMLPreformatted">
    <w:name w:val="HTML Preformatted"/>
    <w:basedOn w:val="Normal"/>
    <w:link w:val="HTMLPreformattedChar"/>
    <w:uiPriority w:val="99"/>
    <w:unhideWhenUsed/>
    <w:qFormat/>
    <w:rsid w:val="00636181"/>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GulimChe" w:eastAsia="GulimChe" w:hAnsi="GulimChe"/>
      <w:szCs w:val="24"/>
      <w:lang w:val="zh-CN" w:eastAsia="zh-CN"/>
    </w:rPr>
  </w:style>
  <w:style w:type="character" w:customStyle="1" w:styleId="HTMLPreformattedChar">
    <w:name w:val="HTML Preformatted Char"/>
    <w:basedOn w:val="DefaultParagraphFont"/>
    <w:link w:val="HTMLPreformatted"/>
    <w:uiPriority w:val="99"/>
    <w:qFormat/>
    <w:rsid w:val="00636181"/>
    <w:rPr>
      <w:rFonts w:ascii="GulimChe" w:eastAsia="GulimChe" w:hAnsi="GulimChe"/>
      <w:sz w:val="24"/>
      <w:szCs w:val="24"/>
      <w:lang w:val="zh-CN"/>
    </w:rPr>
  </w:style>
  <w:style w:type="character" w:styleId="UnresolvedMention">
    <w:name w:val="Unresolved Mention"/>
    <w:basedOn w:val="DefaultParagraphFont"/>
    <w:uiPriority w:val="99"/>
    <w:semiHidden/>
    <w:unhideWhenUsed/>
    <w:rsid w:val="00D10D23"/>
    <w:rPr>
      <w:color w:val="605E5C"/>
      <w:shd w:val="clear" w:color="auto" w:fill="E1DFDD"/>
    </w:rPr>
  </w:style>
  <w:style w:type="character" w:customStyle="1" w:styleId="s22">
    <w:name w:val="s22"/>
    <w:basedOn w:val="DefaultParagraphFont"/>
    <w:rsid w:val="007F4F86"/>
  </w:style>
  <w:style w:type="paragraph" w:customStyle="1" w:styleId="s19">
    <w:name w:val="s19"/>
    <w:basedOn w:val="Normal"/>
    <w:rsid w:val="007F4F86"/>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eastAsia="en-GB"/>
    </w:rPr>
  </w:style>
  <w:style w:type="paragraph" w:customStyle="1" w:styleId="Body">
    <w:name w:val="Body"/>
    <w:rsid w:val="007F4F86"/>
    <w:pPr>
      <w:pBdr>
        <w:top w:val="nil"/>
        <w:left w:val="nil"/>
        <w:bottom w:val="nil"/>
        <w:right w:val="nil"/>
        <w:between w:val="nil"/>
        <w:bar w:val="nil"/>
      </w:pBdr>
      <w:spacing w:after="240"/>
    </w:pPr>
    <w:rPr>
      <w:rFonts w:ascii="Avenir Book" w:eastAsia="Arial Unicode MS" w:hAnsi="Avenir Book" w:cs="Arial Unicode MS"/>
      <w:color w:val="000000"/>
      <w:sz w:val="22"/>
      <w:szCs w:val="22"/>
      <w:bdr w:val="nil"/>
      <w:lang w:val="en-GB" w:eastAsia="en-GB"/>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06998">
      <w:bodyDiv w:val="1"/>
      <w:marLeft w:val="0"/>
      <w:marRight w:val="0"/>
      <w:marTop w:val="0"/>
      <w:marBottom w:val="0"/>
      <w:divBdr>
        <w:top w:val="none" w:sz="0" w:space="0" w:color="auto"/>
        <w:left w:val="none" w:sz="0" w:space="0" w:color="auto"/>
        <w:bottom w:val="none" w:sz="0" w:space="0" w:color="auto"/>
        <w:right w:val="none" w:sz="0" w:space="0" w:color="auto"/>
      </w:divBdr>
    </w:div>
    <w:div w:id="297612129">
      <w:bodyDiv w:val="1"/>
      <w:marLeft w:val="0"/>
      <w:marRight w:val="0"/>
      <w:marTop w:val="0"/>
      <w:marBottom w:val="0"/>
      <w:divBdr>
        <w:top w:val="none" w:sz="0" w:space="0" w:color="auto"/>
        <w:left w:val="none" w:sz="0" w:space="0" w:color="auto"/>
        <w:bottom w:val="none" w:sz="0" w:space="0" w:color="auto"/>
        <w:right w:val="none" w:sz="0" w:space="0" w:color="auto"/>
      </w:divBdr>
    </w:div>
    <w:div w:id="353574869">
      <w:bodyDiv w:val="1"/>
      <w:marLeft w:val="0"/>
      <w:marRight w:val="0"/>
      <w:marTop w:val="0"/>
      <w:marBottom w:val="0"/>
      <w:divBdr>
        <w:top w:val="none" w:sz="0" w:space="0" w:color="auto"/>
        <w:left w:val="none" w:sz="0" w:space="0" w:color="auto"/>
        <w:bottom w:val="none" w:sz="0" w:space="0" w:color="auto"/>
        <w:right w:val="none" w:sz="0" w:space="0" w:color="auto"/>
      </w:divBdr>
    </w:div>
    <w:div w:id="452552559">
      <w:bodyDiv w:val="1"/>
      <w:marLeft w:val="0"/>
      <w:marRight w:val="0"/>
      <w:marTop w:val="0"/>
      <w:marBottom w:val="0"/>
      <w:divBdr>
        <w:top w:val="none" w:sz="0" w:space="0" w:color="auto"/>
        <w:left w:val="none" w:sz="0" w:space="0" w:color="auto"/>
        <w:bottom w:val="none" w:sz="0" w:space="0" w:color="auto"/>
        <w:right w:val="none" w:sz="0" w:space="0" w:color="auto"/>
      </w:divBdr>
    </w:div>
    <w:div w:id="452796831">
      <w:bodyDiv w:val="1"/>
      <w:marLeft w:val="0"/>
      <w:marRight w:val="0"/>
      <w:marTop w:val="0"/>
      <w:marBottom w:val="0"/>
      <w:divBdr>
        <w:top w:val="none" w:sz="0" w:space="0" w:color="auto"/>
        <w:left w:val="none" w:sz="0" w:space="0" w:color="auto"/>
        <w:bottom w:val="none" w:sz="0" w:space="0" w:color="auto"/>
        <w:right w:val="none" w:sz="0" w:space="0" w:color="auto"/>
      </w:divBdr>
    </w:div>
    <w:div w:id="667026217">
      <w:bodyDiv w:val="1"/>
      <w:marLeft w:val="0"/>
      <w:marRight w:val="0"/>
      <w:marTop w:val="0"/>
      <w:marBottom w:val="0"/>
      <w:divBdr>
        <w:top w:val="none" w:sz="0" w:space="0" w:color="auto"/>
        <w:left w:val="none" w:sz="0" w:space="0" w:color="auto"/>
        <w:bottom w:val="none" w:sz="0" w:space="0" w:color="auto"/>
        <w:right w:val="none" w:sz="0" w:space="0" w:color="auto"/>
      </w:divBdr>
    </w:div>
    <w:div w:id="1228954848">
      <w:bodyDiv w:val="1"/>
      <w:marLeft w:val="0"/>
      <w:marRight w:val="0"/>
      <w:marTop w:val="0"/>
      <w:marBottom w:val="0"/>
      <w:divBdr>
        <w:top w:val="none" w:sz="0" w:space="0" w:color="auto"/>
        <w:left w:val="none" w:sz="0" w:space="0" w:color="auto"/>
        <w:bottom w:val="none" w:sz="0" w:space="0" w:color="auto"/>
        <w:right w:val="none" w:sz="0" w:space="0" w:color="auto"/>
      </w:divBdr>
    </w:div>
    <w:div w:id="1633516485">
      <w:bodyDiv w:val="1"/>
      <w:marLeft w:val="0"/>
      <w:marRight w:val="0"/>
      <w:marTop w:val="0"/>
      <w:marBottom w:val="0"/>
      <w:divBdr>
        <w:top w:val="none" w:sz="0" w:space="0" w:color="auto"/>
        <w:left w:val="none" w:sz="0" w:space="0" w:color="auto"/>
        <w:bottom w:val="none" w:sz="0" w:space="0" w:color="auto"/>
        <w:right w:val="none" w:sz="0" w:space="0" w:color="auto"/>
      </w:divBdr>
    </w:div>
    <w:div w:id="1945571481">
      <w:bodyDiv w:val="1"/>
      <w:marLeft w:val="0"/>
      <w:marRight w:val="0"/>
      <w:marTop w:val="0"/>
      <w:marBottom w:val="0"/>
      <w:divBdr>
        <w:top w:val="none" w:sz="0" w:space="0" w:color="auto"/>
        <w:left w:val="none" w:sz="0" w:space="0" w:color="auto"/>
        <w:bottom w:val="none" w:sz="0" w:space="0" w:color="auto"/>
        <w:right w:val="none" w:sz="0" w:space="0" w:color="auto"/>
      </w:divBdr>
    </w:div>
    <w:div w:id="2000844044">
      <w:bodyDiv w:val="1"/>
      <w:marLeft w:val="0"/>
      <w:marRight w:val="0"/>
      <w:marTop w:val="0"/>
      <w:marBottom w:val="0"/>
      <w:divBdr>
        <w:top w:val="none" w:sz="0" w:space="0" w:color="auto"/>
        <w:left w:val="none" w:sz="0" w:space="0" w:color="auto"/>
        <w:bottom w:val="none" w:sz="0" w:space="0" w:color="auto"/>
        <w:right w:val="none" w:sz="0" w:space="0" w:color="auto"/>
      </w:divBdr>
    </w:div>
    <w:div w:id="210884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dms_pub/itu-d/opb/res/D-RES-D.85-2022-PDF-S.pdf" TargetMode="External"/><Relationship Id="rId18" Type="http://schemas.openxmlformats.org/officeDocument/2006/relationships/hyperlink" Target="https://www.itu.int/itu-d/sites/innovation-alliance/board-members/" TargetMode="External"/><Relationship Id="rId26" Type="http://schemas.openxmlformats.org/officeDocument/2006/relationships/hyperlink" Target="https://www.itu.int/en/ITU-D/Innovation/Documents/Strategic%20Foresight/Foresight%20brief/ITU%20Strategic%20Foresight%20Research%20Brief_Education%20Foresight%20Study_final_Signed%20BDTDirector.pdf" TargetMode="External"/><Relationship Id="rId39" Type="http://schemas.openxmlformats.org/officeDocument/2006/relationships/hyperlink" Target="https://www.itu.int/en/ITU-D/Innovation/Pages/RIA/Regional-Initiative-Accelerator.aspx" TargetMode="External"/><Relationship Id="rId21" Type="http://schemas.openxmlformats.org/officeDocument/2006/relationships/hyperlink" Target="https://www.itu.int/itu-d/sites/innovation-alliance/board-members/" TargetMode="External"/><Relationship Id="rId34" Type="http://schemas.openxmlformats.org/officeDocument/2006/relationships/hyperlink" Target="https://academy.itu.int/training-courses/full-catalogue/ecosystem-initiative-development-201-0" TargetMode="External"/><Relationship Id="rId42" Type="http://schemas.openxmlformats.org/officeDocument/2006/relationships/hyperlink" Target="https://www.itu.int/itu-d/meetings/wtdc25/wp-content/uploads/sites/29/2025/11/090-E.pdf" TargetMode="External"/><Relationship Id="rId47" Type="http://schemas.openxmlformats.org/officeDocument/2006/relationships/hyperlink" Target="https://www.itu.int/en/ITU-D/Innovation/Pages/Strategic%20Foresight/Strategic-Foresight.aspx" TargetMode="External"/><Relationship Id="rId50"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itu.int/en/council/Documents/basic-texts-2023/RES-071-S.pdf" TargetMode="External"/><Relationship Id="rId29" Type="http://schemas.openxmlformats.org/officeDocument/2006/relationships/hyperlink" Target="https://academy.itu.int/training-courses/full-catalogue/strategic-foresight-101" TargetMode="External"/><Relationship Id="rId11" Type="http://schemas.openxmlformats.org/officeDocument/2006/relationships/image" Target="media/image1.jpeg"/><Relationship Id="rId24" Type="http://schemas.openxmlformats.org/officeDocument/2006/relationships/hyperlink" Target="https://www.itu.int/itu-d/sites/innovation-alliance/wp-content/uploads/sites/35/2024/12/Second-Meeting-of-the-Digital-Innovation-Board-28-October-2024-Summary.pdf" TargetMode="External"/><Relationship Id="rId32" Type="http://schemas.openxmlformats.org/officeDocument/2006/relationships/hyperlink" Target="https://academy.itu.int/training-courses/full-catalogue/strategic-foresight-101" TargetMode="External"/><Relationship Id="rId37" Type="http://schemas.openxmlformats.org/officeDocument/2006/relationships/hyperlink" Target="mailto:BDTinnovation@itu.int" TargetMode="External"/><Relationship Id="rId40" Type="http://schemas.openxmlformats.org/officeDocument/2006/relationships/hyperlink" Target="https://www.itu.int/en/ITU-D/Innovation/Pages/RIA/Regional-Initiative-Accelerator.aspx" TargetMode="External"/><Relationship Id="rId45" Type="http://schemas.openxmlformats.org/officeDocument/2006/relationships/hyperlink" Target="https://www.itu.int/en/ITU-D/Innovation/Pages/Strategic%20Foresight/Strategic-Foresight.aspx" TargetMode="External"/><Relationship Id="rId5" Type="http://schemas.openxmlformats.org/officeDocument/2006/relationships/numbering" Target="numbering.xml"/><Relationship Id="rId15" Type="http://schemas.openxmlformats.org/officeDocument/2006/relationships/hyperlink" Target="https://www.itu.int/en/council/Documents/basic-texts-2023/RES-205-S.pdf" TargetMode="External"/><Relationship Id="rId23" Type="http://schemas.openxmlformats.org/officeDocument/2006/relationships/hyperlink" Target="https://www.itu.int/itu-d/sites/innovation-alliance/wp-content/uploads/sites/35/2024/05/Inaugural_Meeting_of_the_Digital_Innovation_Board_-_Summary_rev1.pdf" TargetMode="External"/><Relationship Id="rId28" Type="http://schemas.openxmlformats.org/officeDocument/2006/relationships/hyperlink" Target="https://www.itu.int/itu-d/sites/innovation-alliance/the-expert-network/" TargetMode="External"/><Relationship Id="rId36" Type="http://schemas.openxmlformats.org/officeDocument/2006/relationships/hyperlink" Target="https://idda.az/en/innovation/itu-regional-acceleration-centre" TargetMode="External"/><Relationship Id="rId49"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itu.int/itu-d/sites/innovation-alliance/network-of-itu-acceleration-centres/" TargetMode="External"/><Relationship Id="rId31" Type="http://schemas.openxmlformats.org/officeDocument/2006/relationships/hyperlink" Target="https://academy.itu.int/training-courses/full-catalogue/ecosystem-initiative-development-201-0" TargetMode="External"/><Relationship Id="rId44" Type="http://schemas.openxmlformats.org/officeDocument/2006/relationships/hyperlink" Target="https://www.itu.int/itu-d/meetings/wtdc25/wp-content/uploads/sites/29/2025/11/090-E.pdf"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dms_pub/itu-d/opb/res/D-RES-D.89-2022-PDF-S.pdf" TargetMode="External"/><Relationship Id="rId22" Type="http://schemas.openxmlformats.org/officeDocument/2006/relationships/hyperlink" Target="https://www.itu.int/itu-d/sites/innovation-alliance/board-members/" TargetMode="External"/><Relationship Id="rId27" Type="http://schemas.openxmlformats.org/officeDocument/2006/relationships/hyperlink" Target="https://www.itu.int/itu-d/sites/innovation-alliance/wp-content/uploads/sites/35/2026/02/Third-Meeting-of-the-Digital-Innovation-Board-1-2-October-2025_-Final.pdf" TargetMode="External"/><Relationship Id="rId30" Type="http://schemas.openxmlformats.org/officeDocument/2006/relationships/hyperlink" Target="https://academy.itu.int/training-courses/full-catalogue/strategic-foresight-201" TargetMode="External"/><Relationship Id="rId35" Type="http://schemas.openxmlformats.org/officeDocument/2006/relationships/hyperlink" Target="https://idda.az/en/innovation/itu-regional-acceleration-centre" TargetMode="External"/><Relationship Id="rId43" Type="http://schemas.openxmlformats.org/officeDocument/2006/relationships/hyperlink" Target="https://www.itu.int/itu-d/meetings/wtdc25/wp-content/uploads/sites/29/2025/11/090-E.pdf" TargetMode="External"/><Relationship Id="rId48" Type="http://schemas.openxmlformats.org/officeDocument/2006/relationships/hyperlink" Target="https://www.itu.int/en/ITU-D/Innovation/Pages/RIA/Regional-Initiative-Accelerator.aspx" TargetMode="Externa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itu.int/dms_pub/itu-d/opb/res/D-RES-D.17-2022-PDF-S.pdf" TargetMode="External"/><Relationship Id="rId17" Type="http://schemas.openxmlformats.org/officeDocument/2006/relationships/hyperlink" Target="https://www.itu.int/itu-d/sites/innovation-alliance/" TargetMode="External"/><Relationship Id="rId25" Type="http://schemas.openxmlformats.org/officeDocument/2006/relationships/hyperlink" Target="https://www.itu.int/en/ITU-D/Innovation/Documents/Strategic%20Foresight/Foresight%20brief/ITU%20Strategic%20Foresight%20Research%20Brief_Education%20Foresight%20Study_final_Signed%20BDTDirector.pdf" TargetMode="External"/><Relationship Id="rId33" Type="http://schemas.openxmlformats.org/officeDocument/2006/relationships/hyperlink" Target="https://academy.itu.int/training-courses/full-catalogue/strategic-foresight-201" TargetMode="External"/><Relationship Id="rId38" Type="http://schemas.openxmlformats.org/officeDocument/2006/relationships/hyperlink" Target="mailto:BDTinnovation@itu.int" TargetMode="External"/><Relationship Id="rId46" Type="http://schemas.openxmlformats.org/officeDocument/2006/relationships/hyperlink" Target="https://www.itu.int/en/ITU-D/Innovation/Pages/RIA/Regional-Initiative-Accelerator.aspx" TargetMode="External"/><Relationship Id="rId20" Type="http://schemas.openxmlformats.org/officeDocument/2006/relationships/hyperlink" Target="https://www.itu.int/itu-d/sites/innovation-alliance/digital-transformation-lab/" TargetMode="External"/><Relationship Id="rId41" Type="http://schemas.openxmlformats.org/officeDocument/2006/relationships/hyperlink" Target="https://www.itu.int/itu-d/meetings/wtdc25/wp-content/uploads/sites/29/2025/11/090-E.pdf"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mailto:sofie.maddens@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Props1.xml><?xml version="1.0" encoding="utf-8"?>
<ds:datastoreItem xmlns:ds="http://schemas.openxmlformats.org/officeDocument/2006/customXml" ds:itemID="{8BE38F01-714C-463B-9700-C16DFC2B9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D358B6-82FD-4ED4-B974-7341365ED933}">
  <ds:schemaRefs>
    <ds:schemaRef ds:uri="http://schemas.microsoft.com/sharepoint/v3/contenttype/forms"/>
  </ds:schemaRefs>
</ds:datastoreItem>
</file>

<file path=customXml/itemProps3.xml><?xml version="1.0" encoding="utf-8"?>
<ds:datastoreItem xmlns:ds="http://schemas.openxmlformats.org/officeDocument/2006/customXml" ds:itemID="{DF12A876-AB41-4784-9C7F-CAA56FAF5040}">
  <ds:schemaRefs>
    <ds:schemaRef ds:uri="http://schemas.openxmlformats.org/officeDocument/2006/bibliography"/>
  </ds:schemaRefs>
</ds:datastoreItem>
</file>

<file path=customXml/itemProps4.xml><?xml version="1.0" encoding="utf-8"?>
<ds:datastoreItem xmlns:ds="http://schemas.openxmlformats.org/officeDocument/2006/customXml" ds:itemID="{8A7C67D6-CEFE-4AFE-8EC3-4585BFEF5BAE}">
  <ds:schemaRefs>
    <ds:schemaRef ds:uri="http://schemas.microsoft.com/office/2006/metadata/properties"/>
    <ds:schemaRef ds:uri="http://schemas.microsoft.com/office/infopath/2007/PartnerControls"/>
    <ds:schemaRef ds:uri="d4ea696a-cca3-460b-a983-57ac2621983a"/>
    <ds:schemaRef ds:uri="29399490-13b9-4c73-b71e-403b715b75a7"/>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8</Pages>
  <Words>3629</Words>
  <Characters>23913</Characters>
  <Application>Microsoft Office Word</Application>
  <DocSecurity>0</DocSecurity>
  <Lines>199</Lines>
  <Paragraphs>54</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
  <LinksUpToDate>false</LinksUpToDate>
  <CharactersWithSpaces>27488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Spanish</dc:creator>
  <cp:lastModifiedBy>Spanish</cp:lastModifiedBy>
  <cp:revision>10</cp:revision>
  <cp:lastPrinted>2019-01-16T07:57:00Z</cp:lastPrinted>
  <dcterms:created xsi:type="dcterms:W3CDTF">2026-03-13T15:19:00Z</dcterms:created>
  <dcterms:modified xsi:type="dcterms:W3CDTF">2026-03-17T14:52:00Z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0x0101000421F7F6C5263B4B928A068E40912AB8</vt:lpwstr>
  </property>
  <property fmtid="{D5CDD505-2E9C-101B-9397-08002B2CF9AE}" pid="10" name="_dlc_DocIdItemGuid">
    <vt:lpwstr>1277586e-23f4-4a9c-8b22-c68c4fc349db</vt:lpwstr>
  </property>
  <property fmtid="{D5CDD505-2E9C-101B-9397-08002B2CF9AE}" pid="11" name="Mendeley Recent Style Id 0_1">
    <vt:lpwstr>http://www.zotero.org/styles/american-medical-association</vt:lpwstr>
  </property>
  <property fmtid="{D5CDD505-2E9C-101B-9397-08002B2CF9AE}" pid="12" name="Mendeley Recent Style Name 0_1">
    <vt:lpwstr>American Medical Association</vt:lpwstr>
  </property>
  <property fmtid="{D5CDD505-2E9C-101B-9397-08002B2CF9AE}" pid="13" name="Mendeley Recent Style Id 1_1">
    <vt:lpwstr>http://www.zotero.org/styles/american-political-science-association</vt:lpwstr>
  </property>
  <property fmtid="{D5CDD505-2E9C-101B-9397-08002B2CF9AE}" pid="14" name="Mendeley Recent Style Name 1_1">
    <vt:lpwstr>American Political Science Association</vt:lpwstr>
  </property>
  <property fmtid="{D5CDD505-2E9C-101B-9397-08002B2CF9AE}" pid="15" name="Mendeley Recent Style Id 2_1">
    <vt:lpwstr>http://www.zotero.org/styles/apa</vt:lpwstr>
  </property>
  <property fmtid="{D5CDD505-2E9C-101B-9397-08002B2CF9AE}" pid="16" name="Mendeley Recent Style Name 2_1">
    <vt:lpwstr>American Psychological Association 6th edition</vt:lpwstr>
  </property>
  <property fmtid="{D5CDD505-2E9C-101B-9397-08002B2CF9AE}" pid="17" name="Mendeley Recent Style Id 3_1">
    <vt:lpwstr>http://www.zotero.org/styles/american-sociological-association</vt:lpwstr>
  </property>
  <property fmtid="{D5CDD505-2E9C-101B-9397-08002B2CF9AE}" pid="18" name="Mendeley Recent Style Name 3_1">
    <vt:lpwstr>American Sociological Association</vt:lpwstr>
  </property>
  <property fmtid="{D5CDD505-2E9C-101B-9397-08002B2CF9AE}" pid="19" name="Mendeley Recent Style Id 4_1">
    <vt:lpwstr>http://www.zotero.org/styles/chicago-author-date</vt:lpwstr>
  </property>
  <property fmtid="{D5CDD505-2E9C-101B-9397-08002B2CF9AE}" pid="20" name="Mendeley Recent Style Name 4_1">
    <vt:lpwstr>Chicago Manual of Style 16th edition (author-date)</vt:lpwstr>
  </property>
  <property fmtid="{D5CDD505-2E9C-101B-9397-08002B2CF9AE}" pid="21" name="Mendeley Recent Style Id 5_1">
    <vt:lpwstr>http://www.zotero.org/styles/harvard1</vt:lpwstr>
  </property>
  <property fmtid="{D5CDD505-2E9C-101B-9397-08002B2CF9AE}" pid="22" name="Mendeley Recent Style Name 5_1">
    <vt:lpwstr>Harvard Reference format 1 (author-date)</vt:lpwstr>
  </property>
  <property fmtid="{D5CDD505-2E9C-101B-9397-08002B2CF9AE}" pid="23" name="Mendeley Recent Style Id 6_1">
    <vt:lpwstr>http://www.zotero.org/styles/ieee</vt:lpwstr>
  </property>
  <property fmtid="{D5CDD505-2E9C-101B-9397-08002B2CF9AE}" pid="24" name="Mendeley Recent Style Name 6_1">
    <vt:lpwstr>IEEE</vt:lpwstr>
  </property>
  <property fmtid="{D5CDD505-2E9C-101B-9397-08002B2CF9AE}" pid="25" name="Mendeley Recent Style Id 7_1">
    <vt:lpwstr>http://www.zotero.org/styles/modern-humanities-research-association</vt:lpwstr>
  </property>
  <property fmtid="{D5CDD505-2E9C-101B-9397-08002B2CF9AE}" pid="26" name="Mendeley Recent Style Name 7_1">
    <vt:lpwstr>Modern Humanities Research Association 3rd edition (note with bibliography)</vt:lpwstr>
  </property>
  <property fmtid="{D5CDD505-2E9C-101B-9397-08002B2CF9AE}" pid="27" name="Mendeley Recent Style Id 8_1">
    <vt:lpwstr>http://www.zotero.org/styles/modern-language-association</vt:lpwstr>
  </property>
  <property fmtid="{D5CDD505-2E9C-101B-9397-08002B2CF9AE}" pid="28" name="Mendeley Recent Style Name 8_1">
    <vt:lpwstr>Modern Language Association 7th edition</vt:lpwstr>
  </property>
  <property fmtid="{D5CDD505-2E9C-101B-9397-08002B2CF9AE}" pid="29" name="Mendeley Recent Style Id 9_1">
    <vt:lpwstr>http://www.zotero.org/styles/nature</vt:lpwstr>
  </property>
  <property fmtid="{D5CDD505-2E9C-101B-9397-08002B2CF9AE}" pid="30" name="Mendeley Recent Style Name 9_1">
    <vt:lpwstr>Nature</vt:lpwstr>
  </property>
  <property fmtid="{D5CDD505-2E9C-101B-9397-08002B2CF9AE}" pid="31" name="MediaServiceImageTags">
    <vt:lpwstr/>
  </property>
  <property fmtid="{D5CDD505-2E9C-101B-9397-08002B2CF9AE}" pid="32" name="docLang">
    <vt:lpwstr>en</vt:lpwstr>
  </property>
</Properties>
</file>