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bidiVisual/>
        <w:tblW w:w="5000" w:type="pct"/>
        <w:jc w:val="center"/>
        <w:tblLayout w:type="fixed"/>
        <w:tblLook w:val="0000" w:firstRow="0" w:lastRow="0" w:firstColumn="0" w:lastColumn="0" w:noHBand="0" w:noVBand="0"/>
        <w:tblCaption w:val="معلومات عن الوثيقة (لجنة الدراسات، الاجتماع، المسألة، المصدر، العنوان)"/>
      </w:tblPr>
      <w:tblGrid>
        <w:gridCol w:w="6660"/>
        <w:gridCol w:w="1559"/>
        <w:gridCol w:w="1420"/>
      </w:tblGrid>
      <w:tr w:rsidR="00105EF4" w:rsidRPr="00783A69" w14:paraId="752654A3" w14:textId="77777777" w:rsidTr="004F5BCA">
        <w:trPr>
          <w:cantSplit/>
          <w:trHeight w:val="1310"/>
          <w:jc w:val="center"/>
        </w:trPr>
        <w:tc>
          <w:tcPr>
            <w:tcW w:w="8219" w:type="dxa"/>
            <w:gridSpan w:val="2"/>
            <w:tcBorders>
              <w:bottom w:val="single" w:sz="12" w:space="0" w:color="auto"/>
            </w:tcBorders>
            <w:vAlign w:val="center"/>
          </w:tcPr>
          <w:p w14:paraId="616A1EBC" w14:textId="77777777" w:rsidR="00105EF4" w:rsidRDefault="00105EF4" w:rsidP="00AD1E92">
            <w:pPr>
              <w:jc w:val="left"/>
              <w:rPr>
                <w:b/>
                <w:bCs/>
                <w:sz w:val="32"/>
                <w:szCs w:val="32"/>
                <w:lang w:bidi="ar-EG"/>
              </w:rPr>
            </w:pPr>
            <w:r w:rsidRPr="00C85CB5">
              <w:rPr>
                <w:rFonts w:hint="cs"/>
                <w:b/>
                <w:bCs/>
                <w:sz w:val="32"/>
                <w:szCs w:val="32"/>
                <w:rtl/>
                <w:lang w:bidi="ar-EG"/>
              </w:rPr>
              <w:t xml:space="preserve">الفريق الاستشاري لتنمية الاتصالات </w:t>
            </w:r>
            <w:r w:rsidRPr="00C85CB5">
              <w:rPr>
                <w:b/>
                <w:bCs/>
                <w:sz w:val="32"/>
                <w:szCs w:val="32"/>
                <w:lang w:bidi="ar-EG"/>
              </w:rPr>
              <w:t>(TDAG)</w:t>
            </w:r>
          </w:p>
          <w:p w14:paraId="3F29F37B" w14:textId="77777777" w:rsidR="00105EF4" w:rsidRPr="00457D22" w:rsidRDefault="00105EF4" w:rsidP="00AD1E92">
            <w:pPr>
              <w:jc w:val="left"/>
              <w:rPr>
                <w:b/>
                <w:bCs/>
                <w:sz w:val="28"/>
                <w:szCs w:val="28"/>
                <w:rtl/>
                <w:lang w:bidi="ar-EG"/>
              </w:rPr>
            </w:pPr>
            <w:r w:rsidRPr="00457D22">
              <w:rPr>
                <w:b/>
                <w:bCs/>
                <w:sz w:val="26"/>
                <w:szCs w:val="26"/>
                <w:rtl/>
              </w:rPr>
              <w:t xml:space="preserve">الاجتماع </w:t>
            </w:r>
            <w:r>
              <w:rPr>
                <w:rFonts w:hint="cs"/>
                <w:b/>
                <w:bCs/>
                <w:sz w:val="26"/>
                <w:szCs w:val="26"/>
                <w:rtl/>
              </w:rPr>
              <w:t xml:space="preserve">الثالث </w:t>
            </w:r>
            <w:r w:rsidRPr="00457D22">
              <w:rPr>
                <w:b/>
                <w:bCs/>
                <w:sz w:val="26"/>
                <w:szCs w:val="26"/>
                <w:rtl/>
              </w:rPr>
              <w:t xml:space="preserve">والثلاثون، جنيف، سويسرا، </w:t>
            </w:r>
            <w:r>
              <w:rPr>
                <w:b/>
                <w:bCs/>
                <w:sz w:val="26"/>
                <w:szCs w:val="26"/>
              </w:rPr>
              <w:t>10-7</w:t>
            </w:r>
            <w:r>
              <w:rPr>
                <w:rFonts w:hint="cs"/>
                <w:b/>
                <w:bCs/>
                <w:sz w:val="26"/>
                <w:szCs w:val="26"/>
                <w:rtl/>
                <w:lang w:bidi="ar-EG"/>
              </w:rPr>
              <w:t xml:space="preserve"> أبريل </w:t>
            </w:r>
            <w:r>
              <w:rPr>
                <w:b/>
                <w:bCs/>
                <w:sz w:val="26"/>
                <w:szCs w:val="26"/>
              </w:rPr>
              <w:t>2026</w:t>
            </w:r>
          </w:p>
        </w:tc>
        <w:tc>
          <w:tcPr>
            <w:tcW w:w="1420" w:type="dxa"/>
            <w:tcBorders>
              <w:bottom w:val="single" w:sz="12" w:space="0" w:color="auto"/>
            </w:tcBorders>
            <w:vAlign w:val="center"/>
          </w:tcPr>
          <w:p w14:paraId="476E7FB6" w14:textId="77777777" w:rsidR="00105EF4" w:rsidRPr="00783A69" w:rsidRDefault="00105EF4" w:rsidP="00AD1E92">
            <w:pPr>
              <w:jc w:val="center"/>
              <w:rPr>
                <w:lang w:val="en-GB" w:bidi="ar-EG"/>
              </w:rPr>
            </w:pPr>
            <w:bookmarkStart w:id="0" w:name="ditulogo"/>
            <w:bookmarkEnd w:id="0"/>
            <w:r>
              <w:rPr>
                <w:noProof/>
                <w:lang w:val="fr-FR" w:eastAsia="fr-FR"/>
              </w:rPr>
              <w:drawing>
                <wp:inline distT="0" distB="0" distL="0" distR="0" wp14:anchorId="23BCE1ED" wp14:editId="20340CA1">
                  <wp:extent cx="712470" cy="785495"/>
                  <wp:effectExtent l="0" t="0" r="0" b="0"/>
                  <wp:docPr id="2" name="Picture 2"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2470" cy="785495"/>
                          </a:xfrm>
                          <a:prstGeom prst="rect">
                            <a:avLst/>
                          </a:prstGeom>
                        </pic:spPr>
                      </pic:pic>
                    </a:graphicData>
                  </a:graphic>
                </wp:inline>
              </w:drawing>
            </w:r>
          </w:p>
        </w:tc>
      </w:tr>
      <w:tr w:rsidR="00CA08BA" w:rsidRPr="00783A69" w14:paraId="3A8AA1FB" w14:textId="77777777" w:rsidTr="00AD1E92">
        <w:trPr>
          <w:cantSplit/>
          <w:jc w:val="center"/>
        </w:trPr>
        <w:tc>
          <w:tcPr>
            <w:tcW w:w="6660" w:type="dxa"/>
            <w:tcBorders>
              <w:top w:val="single" w:sz="12" w:space="0" w:color="auto"/>
            </w:tcBorders>
          </w:tcPr>
          <w:p w14:paraId="5A89E427" w14:textId="77777777" w:rsidR="00CA08BA" w:rsidRPr="00783A69" w:rsidRDefault="00CA08BA" w:rsidP="00B93B7B">
            <w:pPr>
              <w:spacing w:before="20" w:after="20" w:line="300" w:lineRule="exact"/>
              <w:rPr>
                <w:b/>
                <w:bCs/>
                <w:rtl/>
                <w:lang w:bidi="ar-EG"/>
              </w:rPr>
            </w:pPr>
          </w:p>
        </w:tc>
        <w:tc>
          <w:tcPr>
            <w:tcW w:w="2979" w:type="dxa"/>
            <w:gridSpan w:val="2"/>
            <w:tcBorders>
              <w:top w:val="single" w:sz="12" w:space="0" w:color="auto"/>
            </w:tcBorders>
          </w:tcPr>
          <w:p w14:paraId="77029E95" w14:textId="77777777" w:rsidR="00CA08BA" w:rsidRPr="00C85CB5" w:rsidRDefault="00CA08BA" w:rsidP="00B93B7B">
            <w:pPr>
              <w:spacing w:before="20" w:after="20" w:line="300" w:lineRule="exact"/>
              <w:rPr>
                <w:b/>
                <w:bCs/>
                <w:highlight w:val="yellow"/>
                <w:rtl/>
                <w:lang w:bidi="ar-EG"/>
              </w:rPr>
            </w:pPr>
          </w:p>
        </w:tc>
      </w:tr>
      <w:tr w:rsidR="00783A69" w:rsidRPr="00783A69" w14:paraId="192F494C" w14:textId="77777777" w:rsidTr="00AD1E92">
        <w:trPr>
          <w:cantSplit/>
          <w:jc w:val="center"/>
        </w:trPr>
        <w:tc>
          <w:tcPr>
            <w:tcW w:w="6660" w:type="dxa"/>
          </w:tcPr>
          <w:p w14:paraId="7374EABB" w14:textId="77777777" w:rsidR="00783A69" w:rsidRPr="00783A69" w:rsidRDefault="00783A69" w:rsidP="00B93B7B">
            <w:pPr>
              <w:spacing w:before="20" w:after="20" w:line="300" w:lineRule="exact"/>
              <w:rPr>
                <w:b/>
                <w:bCs/>
                <w:rtl/>
                <w:lang w:bidi="ar-EG"/>
              </w:rPr>
            </w:pPr>
          </w:p>
        </w:tc>
        <w:tc>
          <w:tcPr>
            <w:tcW w:w="2979" w:type="dxa"/>
            <w:gridSpan w:val="2"/>
          </w:tcPr>
          <w:p w14:paraId="675DEBE3" w14:textId="7C932F9B" w:rsidR="00783A69" w:rsidRPr="00153471" w:rsidRDefault="00783A69" w:rsidP="006B266A">
            <w:pPr>
              <w:spacing w:before="20" w:after="20" w:line="300" w:lineRule="exact"/>
              <w:rPr>
                <w:b/>
                <w:bCs/>
                <w:rtl/>
                <w:lang w:bidi="ar-SY"/>
              </w:rPr>
            </w:pPr>
            <w:r w:rsidRPr="00153471">
              <w:rPr>
                <w:rFonts w:hint="cs"/>
                <w:b/>
                <w:bCs/>
                <w:rtl/>
                <w:lang w:bidi="ar-EG"/>
              </w:rPr>
              <w:t xml:space="preserve">الوثيقة </w:t>
            </w:r>
            <w:r w:rsidRPr="00153471">
              <w:rPr>
                <w:b/>
                <w:bCs/>
                <w:lang w:bidi="ar-EG"/>
              </w:rPr>
              <w:t>TDAG-</w:t>
            </w:r>
            <w:r w:rsidR="006B266A">
              <w:rPr>
                <w:b/>
                <w:bCs/>
                <w:lang w:bidi="ar-EG"/>
              </w:rPr>
              <w:t>2</w:t>
            </w:r>
            <w:r w:rsidR="00105EF4">
              <w:rPr>
                <w:b/>
                <w:bCs/>
                <w:lang w:bidi="ar-EG"/>
              </w:rPr>
              <w:t>6</w:t>
            </w:r>
            <w:r w:rsidR="008562F3" w:rsidRPr="006B266A">
              <w:rPr>
                <w:b/>
                <w:bCs/>
                <w:lang w:bidi="ar-EG"/>
              </w:rPr>
              <w:t>/</w:t>
            </w:r>
            <w:r w:rsidR="00196706">
              <w:rPr>
                <w:b/>
                <w:bCs/>
                <w:lang w:bidi="ar-EG"/>
              </w:rPr>
              <w:t>21</w:t>
            </w:r>
            <w:r w:rsidRPr="00153471">
              <w:rPr>
                <w:b/>
                <w:bCs/>
                <w:lang w:bidi="ar-EG"/>
              </w:rPr>
              <w:t>-A</w:t>
            </w:r>
          </w:p>
        </w:tc>
      </w:tr>
      <w:tr w:rsidR="00783A69" w:rsidRPr="00783A69" w14:paraId="7AFA7E90" w14:textId="77777777" w:rsidTr="00AD1E92">
        <w:trPr>
          <w:cantSplit/>
          <w:jc w:val="center"/>
        </w:trPr>
        <w:tc>
          <w:tcPr>
            <w:tcW w:w="6660" w:type="dxa"/>
          </w:tcPr>
          <w:p w14:paraId="461B9651" w14:textId="77777777" w:rsidR="00783A69" w:rsidRPr="00783A69" w:rsidRDefault="00783A69" w:rsidP="00B93B7B">
            <w:pPr>
              <w:spacing w:before="20" w:after="20" w:line="300" w:lineRule="exact"/>
              <w:rPr>
                <w:b/>
                <w:bCs/>
              </w:rPr>
            </w:pPr>
          </w:p>
        </w:tc>
        <w:tc>
          <w:tcPr>
            <w:tcW w:w="2979" w:type="dxa"/>
            <w:gridSpan w:val="2"/>
          </w:tcPr>
          <w:p w14:paraId="2B6273A0" w14:textId="1DE60659" w:rsidR="00783A69" w:rsidRPr="00196706" w:rsidRDefault="00196706" w:rsidP="00196706">
            <w:pPr>
              <w:spacing w:before="20" w:after="20" w:line="300" w:lineRule="exact"/>
              <w:rPr>
                <w:b/>
                <w:bCs/>
                <w:rtl/>
                <w:lang w:val="en-GB" w:bidi="ar-EG"/>
              </w:rPr>
            </w:pPr>
            <w:r>
              <w:rPr>
                <w:b/>
                <w:bCs/>
                <w:lang w:bidi="ar-EG"/>
              </w:rPr>
              <w:t>3</w:t>
            </w:r>
            <w:r w:rsidR="00783A69" w:rsidRPr="006B266A">
              <w:rPr>
                <w:rFonts w:hint="cs"/>
                <w:b/>
                <w:bCs/>
                <w:rtl/>
                <w:lang w:bidi="ar-EG"/>
              </w:rPr>
              <w:t xml:space="preserve"> </w:t>
            </w:r>
            <w:r>
              <w:rPr>
                <w:rFonts w:hint="cs"/>
                <w:b/>
                <w:bCs/>
                <w:rtl/>
                <w:lang w:bidi="ar-EG"/>
              </w:rPr>
              <w:t>مارس</w:t>
            </w:r>
            <w:r w:rsidR="00783A69" w:rsidRPr="006B266A">
              <w:rPr>
                <w:rFonts w:hint="cs"/>
                <w:b/>
                <w:bCs/>
                <w:rtl/>
                <w:lang w:bidi="ar-EG"/>
              </w:rPr>
              <w:t xml:space="preserve"> </w:t>
            </w:r>
            <w:r w:rsidR="00105EF4">
              <w:rPr>
                <w:b/>
                <w:bCs/>
                <w:lang w:bidi="ar-EG"/>
              </w:rPr>
              <w:t>2026</w:t>
            </w:r>
          </w:p>
        </w:tc>
      </w:tr>
      <w:tr w:rsidR="00783A69" w:rsidRPr="00783A69" w14:paraId="71C05D85" w14:textId="77777777" w:rsidTr="00AD1E92">
        <w:trPr>
          <w:cantSplit/>
          <w:jc w:val="center"/>
        </w:trPr>
        <w:tc>
          <w:tcPr>
            <w:tcW w:w="6660" w:type="dxa"/>
          </w:tcPr>
          <w:p w14:paraId="76D6586A" w14:textId="77777777" w:rsidR="00783A69" w:rsidRPr="00783A69" w:rsidRDefault="00783A69" w:rsidP="00B93B7B">
            <w:pPr>
              <w:spacing w:before="20" w:after="20" w:line="300" w:lineRule="exact"/>
              <w:rPr>
                <w:b/>
                <w:bCs/>
                <w:lang w:bidi="ar-EG"/>
              </w:rPr>
            </w:pPr>
          </w:p>
        </w:tc>
        <w:tc>
          <w:tcPr>
            <w:tcW w:w="2979" w:type="dxa"/>
            <w:gridSpan w:val="2"/>
          </w:tcPr>
          <w:p w14:paraId="180ACF53" w14:textId="77777777" w:rsidR="00783A69" w:rsidRPr="00153471" w:rsidRDefault="00783A69" w:rsidP="00B93B7B">
            <w:pPr>
              <w:spacing w:before="20" w:after="20" w:line="300" w:lineRule="exact"/>
              <w:rPr>
                <w:b/>
                <w:bCs/>
                <w:rtl/>
                <w:lang w:bidi="ar-EG"/>
              </w:rPr>
            </w:pPr>
            <w:r w:rsidRPr="00153471">
              <w:rPr>
                <w:rFonts w:hint="cs"/>
                <w:b/>
                <w:bCs/>
                <w:rtl/>
                <w:lang w:bidi="ar-EG"/>
              </w:rPr>
              <w:t>الأصل: بالإنكليزية</w:t>
            </w:r>
          </w:p>
        </w:tc>
      </w:tr>
      <w:tr w:rsidR="00783A69" w:rsidRPr="00783A69" w14:paraId="0E3A7C61" w14:textId="77777777" w:rsidTr="00EE5CF2">
        <w:trPr>
          <w:cantSplit/>
          <w:jc w:val="center"/>
        </w:trPr>
        <w:tc>
          <w:tcPr>
            <w:tcW w:w="9639" w:type="dxa"/>
            <w:gridSpan w:val="3"/>
          </w:tcPr>
          <w:p w14:paraId="7BD0A442" w14:textId="27110956" w:rsidR="00783A69" w:rsidRPr="00783A69" w:rsidRDefault="00196706" w:rsidP="00EE5CF2">
            <w:pPr>
              <w:pStyle w:val="Source"/>
              <w:rPr>
                <w:rFonts w:hint="cs"/>
              </w:rPr>
            </w:pPr>
            <w:r w:rsidRPr="00196706">
              <w:rPr>
                <w:sz w:val="28"/>
                <w:szCs w:val="28"/>
                <w:rtl/>
                <w:lang w:bidi="ar-EG"/>
              </w:rPr>
              <w:t>مدير مكتب تنمية الاتصالات</w:t>
            </w:r>
          </w:p>
        </w:tc>
      </w:tr>
      <w:tr w:rsidR="00783A69" w:rsidRPr="00783A69" w14:paraId="5C32E8BD" w14:textId="77777777" w:rsidTr="00EE5CF2">
        <w:trPr>
          <w:cantSplit/>
          <w:jc w:val="center"/>
        </w:trPr>
        <w:tc>
          <w:tcPr>
            <w:tcW w:w="9639" w:type="dxa"/>
            <w:gridSpan w:val="3"/>
          </w:tcPr>
          <w:p w14:paraId="74C24736" w14:textId="37B8ACB7" w:rsidR="00783A69" w:rsidRPr="00783A69" w:rsidRDefault="00196706" w:rsidP="00EE5CF2">
            <w:pPr>
              <w:pStyle w:val="Title1"/>
              <w:rPr>
                <w:lang w:bidi="ar-EG"/>
              </w:rPr>
            </w:pPr>
            <w:r w:rsidRPr="00196706">
              <w:rPr>
                <w:rtl/>
                <w:lang w:bidi="ar-EG"/>
              </w:rPr>
              <w:t>تحالف الابتكار وريادة الأعمال لأغراض التنمية الرقمية</w:t>
            </w:r>
          </w:p>
        </w:tc>
      </w:tr>
    </w:tbl>
    <w:p w14:paraId="281779E5" w14:textId="77777777" w:rsidR="00EE5CF2" w:rsidRDefault="00EE5CF2"/>
    <w:tbl>
      <w:tblPr>
        <w:bidiVisual/>
        <w:tblW w:w="5008" w:type="pct"/>
        <w:jc w:val="center"/>
        <w:tblLayout w:type="fixed"/>
        <w:tblLook w:val="0000" w:firstRow="0" w:lastRow="0" w:firstColumn="0" w:lastColumn="0" w:noHBand="0" w:noVBand="0"/>
        <w:tblCaption w:val="معلومات عن الوثيقة (لجنة الدراسات، الاجتماع، المسألة، المصدر، العنوان)"/>
      </w:tblPr>
      <w:tblGrid>
        <w:gridCol w:w="9638"/>
      </w:tblGrid>
      <w:tr w:rsidR="00783A69" w:rsidRPr="00153471" w14:paraId="3D3E9E1C" w14:textId="77777777" w:rsidTr="00196706">
        <w:trPr>
          <w:jc w:val="center"/>
        </w:trPr>
        <w:tc>
          <w:tcPr>
            <w:tcW w:w="9638" w:type="dxa"/>
            <w:tcBorders>
              <w:top w:val="single" w:sz="6" w:space="0" w:color="auto"/>
              <w:left w:val="single" w:sz="6" w:space="0" w:color="auto"/>
              <w:bottom w:val="single" w:sz="6" w:space="0" w:color="auto"/>
              <w:right w:val="single" w:sz="6" w:space="0" w:color="auto"/>
            </w:tcBorders>
          </w:tcPr>
          <w:p w14:paraId="27AC1ADD" w14:textId="77777777" w:rsidR="00783A69" w:rsidRPr="00153471" w:rsidRDefault="00783A69" w:rsidP="00EE5CF2">
            <w:pPr>
              <w:rPr>
                <w:b/>
                <w:bCs/>
                <w:rtl/>
                <w:lang w:bidi="ar-SY"/>
              </w:rPr>
            </w:pPr>
            <w:r w:rsidRPr="00153471">
              <w:rPr>
                <w:rFonts w:hint="cs"/>
                <w:b/>
                <w:bCs/>
                <w:rtl/>
                <w:lang w:bidi="ar-SY"/>
              </w:rPr>
              <w:t>ملخص</w:t>
            </w:r>
            <w:r w:rsidR="005874F2" w:rsidRPr="00153471">
              <w:rPr>
                <w:rFonts w:hint="cs"/>
                <w:b/>
                <w:bCs/>
                <w:rtl/>
                <w:lang w:bidi="ar-SY"/>
              </w:rPr>
              <w:t>:</w:t>
            </w:r>
          </w:p>
          <w:p w14:paraId="4E282D17" w14:textId="77777777" w:rsidR="00196706" w:rsidRPr="00196706" w:rsidRDefault="00196706" w:rsidP="00196706">
            <w:pPr>
              <w:rPr>
                <w:rtl/>
                <w:lang w:val="en-GB" w:bidi="ar-EG"/>
              </w:rPr>
            </w:pPr>
            <w:r w:rsidRPr="00196706">
              <w:rPr>
                <w:rtl/>
                <w:lang w:val="en-GB" w:bidi="ar-EG"/>
              </w:rPr>
              <w:t>‏‏تقدم هذه الوثيقة معلومات محدَّثة عن تحالف الابتكار وريادة الأعمال لأغراض التنمية الرقمية، الذي أنشئ لتلبية احتياجات أعضاء الاتحاد الكبيرة التي لم تلبَّ بعدُ في مجال الابتكار، وفقاً لما نصت عليه بدايةً خطة عمل كيغالي التي اعتمدها المؤتمر العالمي لتنمية الاتصالات لعام 2022 (</w:t>
            </w:r>
            <w:r w:rsidRPr="00196706">
              <w:rPr>
                <w:lang w:val="en-GB" w:bidi="ar-EG"/>
              </w:rPr>
              <w:t>WTDC-22</w:t>
            </w:r>
            <w:r w:rsidRPr="00196706">
              <w:rPr>
                <w:rtl/>
                <w:lang w:val="en-GB" w:bidi="ar-EG"/>
              </w:rPr>
              <w:t>). وتعزز أكثر بعد ذلك في خطة عمل باكو والقرارات ذات الصلة الصادرة عن المؤتمر العالمي لتنمية الاتصالات لعام 2025 (</w:t>
            </w:r>
            <w:r w:rsidRPr="00196706">
              <w:rPr>
                <w:lang w:val="en-GB" w:bidi="ar-EG"/>
              </w:rPr>
              <w:t>WTDC-25</w:t>
            </w:r>
            <w:r w:rsidRPr="00196706">
              <w:rPr>
                <w:rtl/>
                <w:lang w:val="en-GB" w:bidi="ar-EG"/>
              </w:rPr>
              <w:t>) ومؤتمر المندوبين المفوضين للاتحاد لعام 2022 (</w:t>
            </w:r>
            <w:r w:rsidRPr="00196706">
              <w:rPr>
                <w:lang w:val="en-GB" w:bidi="ar-EG"/>
              </w:rPr>
              <w:t>PP-22</w:t>
            </w:r>
            <w:r w:rsidRPr="00196706">
              <w:rPr>
                <w:rtl/>
                <w:lang w:val="en-GB" w:bidi="ar-EG"/>
              </w:rPr>
              <w:t>)، على النحو المشار إليه أدناه.</w:t>
            </w:r>
          </w:p>
          <w:p w14:paraId="7656A69E" w14:textId="77777777" w:rsidR="00196706" w:rsidRPr="00196706" w:rsidRDefault="00196706" w:rsidP="00196706">
            <w:pPr>
              <w:rPr>
                <w:rtl/>
                <w:lang w:val="en-GB" w:bidi="ar-EG"/>
              </w:rPr>
            </w:pPr>
            <w:r w:rsidRPr="00196706">
              <w:rPr>
                <w:rtl/>
                <w:lang w:val="en-GB" w:bidi="ar-EG"/>
              </w:rPr>
              <w:t xml:space="preserve">أسهم التحالف في تنفيذ مجالات الأولوية الخمسة للمؤتمر </w:t>
            </w:r>
            <w:r w:rsidRPr="00196706">
              <w:rPr>
                <w:lang w:val="en-GB" w:bidi="ar-EG"/>
              </w:rPr>
              <w:t>WTDC-22</w:t>
            </w:r>
            <w:r w:rsidRPr="00196706">
              <w:rPr>
                <w:rtl/>
                <w:lang w:val="en-GB" w:bidi="ar-EG"/>
              </w:rPr>
              <w:t xml:space="preserve">، ولا سيما التحول الرقمي، وهو في وضع يسمح له بتسريع وتيرة تنفيذ نتائج المؤتمر </w:t>
            </w:r>
            <w:r w:rsidRPr="00196706">
              <w:rPr>
                <w:lang w:val="en-GB" w:bidi="ar-EG"/>
              </w:rPr>
              <w:t>WTDC-25</w:t>
            </w:r>
            <w:r w:rsidRPr="00196706">
              <w:rPr>
                <w:rtl/>
                <w:lang w:val="en-GB" w:bidi="ar-EG"/>
              </w:rPr>
              <w:t>، مع تزايد الاعتراف بآلياته وأثره التشغيلي في البلدان.</w:t>
            </w:r>
          </w:p>
          <w:p w14:paraId="7542ECC3" w14:textId="2EC7FC44" w:rsidR="00196706" w:rsidRPr="00196706" w:rsidRDefault="00196706" w:rsidP="00196706">
            <w:pPr>
              <w:rPr>
                <w:rtl/>
                <w:lang w:val="en-GB" w:bidi="ar-EG"/>
              </w:rPr>
            </w:pPr>
            <w:r w:rsidRPr="00196706">
              <w:rPr>
                <w:rtl/>
                <w:lang w:val="en-GB" w:bidi="ar-EG"/>
              </w:rPr>
              <w:t xml:space="preserve">‏وتعرض هذه الوثيقة التقدم الذي أحرزه تحالف الابتكار وريادة الأعمال لأغراض التنمية الرقمية في </w:t>
            </w:r>
            <w:r w:rsidR="0008573A">
              <w:rPr>
                <w:lang w:val="en-GB" w:bidi="ar-EG"/>
              </w:rPr>
              <w:t>2025</w:t>
            </w:r>
            <w:r w:rsidRPr="00196706">
              <w:rPr>
                <w:rtl/>
                <w:lang w:val="en-GB" w:bidi="ar-EG"/>
              </w:rPr>
              <w:t>، وتقدم رؤى بشأن أنشطة التنفيذ التي سيضطلع بها في الفترة القادمة.</w:t>
            </w:r>
          </w:p>
          <w:p w14:paraId="108F4D81" w14:textId="2381EE4D" w:rsidR="00783A69" w:rsidRPr="006B266A" w:rsidRDefault="00196706" w:rsidP="00196706">
            <w:pPr>
              <w:rPr>
                <w:rtl/>
                <w:lang w:val="en-GB"/>
              </w:rPr>
            </w:pPr>
            <w:r w:rsidRPr="00196706">
              <w:rPr>
                <w:rtl/>
                <w:lang w:val="en-GB" w:bidi="ar-EG"/>
              </w:rPr>
              <w:t>تدعم المبادرة كذلك التنفيذ الفعال للمشاريع في المبادرات الإقليمية كافة، ولا سيما ما يتعلق منها بالابتكار وريادة الأعمال.</w:t>
            </w:r>
            <w:r w:rsidRPr="00196706">
              <w:rPr>
                <w:cs/>
                <w:lang w:val="en-GB" w:bidi="ar-EG"/>
              </w:rPr>
              <w:t>‎</w:t>
            </w:r>
          </w:p>
          <w:p w14:paraId="649D10B3" w14:textId="77777777" w:rsidR="00783A69" w:rsidRPr="00E43176" w:rsidRDefault="00783A69" w:rsidP="00EE5CF2">
            <w:pPr>
              <w:rPr>
                <w:rtl/>
                <w:lang w:bidi="ar-SY"/>
              </w:rPr>
            </w:pPr>
            <w:r w:rsidRPr="00153471">
              <w:rPr>
                <w:rFonts w:hint="cs"/>
                <w:b/>
                <w:bCs/>
                <w:rtl/>
                <w:lang w:bidi="ar-SY"/>
              </w:rPr>
              <w:t>الإجراء المطلوب</w:t>
            </w:r>
            <w:r w:rsidR="005874F2" w:rsidRPr="00153471">
              <w:rPr>
                <w:rFonts w:hint="cs"/>
                <w:b/>
                <w:bCs/>
                <w:rtl/>
                <w:lang w:bidi="ar-SY"/>
              </w:rPr>
              <w:t>:</w:t>
            </w:r>
          </w:p>
          <w:p w14:paraId="78967DC3" w14:textId="77777777" w:rsidR="004F0F62" w:rsidRPr="004F0F62" w:rsidRDefault="00105EF4" w:rsidP="00105EF4">
            <w:pPr>
              <w:rPr>
                <w:color w:val="000000"/>
                <w:rtl/>
                <w:lang w:bidi="ar-EG"/>
              </w:rPr>
            </w:pPr>
            <w:r w:rsidRPr="00105EF4">
              <w:rPr>
                <w:color w:val="000000"/>
                <w:rtl/>
              </w:rPr>
              <w:t>يُدعى الفريق الاستشاري لتنمية الاتصالات إلى الإحاطة علماً بهذه الوثيقة وتقديم التوجيهات التي يراها مناسبة.</w:t>
            </w:r>
          </w:p>
          <w:p w14:paraId="4063A0C5" w14:textId="77777777" w:rsidR="00783A69" w:rsidRPr="00153471" w:rsidRDefault="00783A69" w:rsidP="00EE5CF2">
            <w:pPr>
              <w:rPr>
                <w:b/>
                <w:bCs/>
                <w:rtl/>
                <w:lang w:bidi="ar-SY"/>
              </w:rPr>
            </w:pPr>
            <w:r w:rsidRPr="00153471">
              <w:rPr>
                <w:rFonts w:hint="cs"/>
                <w:b/>
                <w:bCs/>
                <w:rtl/>
                <w:lang w:bidi="ar-SY"/>
              </w:rPr>
              <w:t>المراجع</w:t>
            </w:r>
            <w:r w:rsidR="005874F2" w:rsidRPr="00153471">
              <w:rPr>
                <w:rFonts w:hint="cs"/>
                <w:b/>
                <w:bCs/>
                <w:rtl/>
                <w:lang w:bidi="ar-SY"/>
              </w:rPr>
              <w:t>:</w:t>
            </w:r>
          </w:p>
          <w:p w14:paraId="5F7855D6" w14:textId="46D6E227" w:rsidR="00196706" w:rsidRPr="00196706" w:rsidRDefault="007D7962" w:rsidP="00196706">
            <w:pPr>
              <w:rPr>
                <w:rtl/>
                <w:lang w:val="en-GB" w:bidi="ar-EG"/>
              </w:rPr>
            </w:pPr>
            <w:hyperlink r:id="rId9" w:history="1">
              <w:r w:rsidR="00196706" w:rsidRPr="0008573A">
                <w:rPr>
                  <w:rStyle w:val="Hyperlink"/>
                  <w:rtl/>
                  <w:lang w:val="en-GB" w:bidi="ar-EG"/>
                </w:rPr>
                <w:t>القـرار 17 (المراجَع في كيغالي، 2022) - تنفيذ المبادرات الإقليمية المعتمدة على الأصعدة الوطنية والإقليمية والأقاليمية والعالمية والتعاون بشأنها</w:t>
              </w:r>
            </w:hyperlink>
          </w:p>
          <w:p w14:paraId="2681D127" w14:textId="47CBA3E3" w:rsidR="00196706" w:rsidRPr="0008573A" w:rsidRDefault="007D7962" w:rsidP="00196706">
            <w:pPr>
              <w:rPr>
                <w:spacing w:val="-2"/>
                <w:rtl/>
                <w:lang w:val="en-GB" w:bidi="ar-EG"/>
              </w:rPr>
            </w:pPr>
            <w:hyperlink r:id="rId10" w:history="1">
              <w:r w:rsidR="00196706" w:rsidRPr="0008573A">
                <w:rPr>
                  <w:rStyle w:val="Hyperlink"/>
                  <w:spacing w:val="-2"/>
                  <w:rtl/>
                  <w:lang w:val="en-GB" w:bidi="ar-EG"/>
                </w:rPr>
                <w:t>القـرار 85 (المراجَع في كيغالي، 2022)</w:t>
              </w:r>
              <w:r w:rsidR="0008573A" w:rsidRPr="0008573A">
                <w:rPr>
                  <w:rStyle w:val="Hyperlink"/>
                  <w:rFonts w:hint="cs"/>
                  <w:spacing w:val="-2"/>
                  <w:rtl/>
                  <w:lang w:val="en-GB" w:bidi="ar-EG"/>
                </w:rPr>
                <w:t xml:space="preserve"> - </w:t>
              </w:r>
              <w:r w:rsidR="00196706" w:rsidRPr="0008573A">
                <w:rPr>
                  <w:rStyle w:val="Hyperlink"/>
                  <w:spacing w:val="-2"/>
                  <w:rtl/>
                  <w:lang w:val="en-GB" w:bidi="ar-EG"/>
                </w:rPr>
                <w:t>تيسير إنترنت الأشياء والمدن والمجتمعات الذكية المستدامة من أجل التنمية العالمية</w:t>
              </w:r>
            </w:hyperlink>
          </w:p>
          <w:p w14:paraId="5D4199E9" w14:textId="270339EE" w:rsidR="00196706" w:rsidRPr="00196706" w:rsidRDefault="007D7962" w:rsidP="00196706">
            <w:pPr>
              <w:rPr>
                <w:rtl/>
                <w:lang w:val="en-GB" w:bidi="ar-EG"/>
              </w:rPr>
            </w:pPr>
            <w:hyperlink r:id="rId11" w:history="1">
              <w:r w:rsidR="00196706" w:rsidRPr="0008573A">
                <w:rPr>
                  <w:rStyle w:val="Hyperlink"/>
                  <w:rtl/>
                  <w:lang w:val="en-GB" w:bidi="ar-EG"/>
                </w:rPr>
                <w:t>القرار 89 (كيغالي، 2022) - التحول الرقمي من أجل التنمية المستدامة</w:t>
              </w:r>
            </w:hyperlink>
          </w:p>
          <w:p w14:paraId="38BA6A31" w14:textId="03472DD7" w:rsidR="00196706" w:rsidRPr="00F17716" w:rsidRDefault="00F17716" w:rsidP="00196706">
            <w:pPr>
              <w:rPr>
                <w:rStyle w:val="Hyperlink"/>
                <w:rtl/>
                <w:lang w:val="en-GB" w:bidi="ar-EG"/>
              </w:rPr>
            </w:pPr>
            <w:r>
              <w:rPr>
                <w:rtl/>
                <w:lang w:val="en-GB" w:bidi="ar-EG"/>
              </w:rPr>
              <w:fldChar w:fldCharType="begin"/>
            </w:r>
            <w:r>
              <w:rPr>
                <w:rtl/>
                <w:lang w:val="en-GB" w:bidi="ar-EG"/>
              </w:rPr>
              <w:instrText xml:space="preserve"> </w:instrText>
            </w:r>
            <w:r>
              <w:rPr>
                <w:lang w:val="en-GB" w:bidi="ar-EG"/>
              </w:rPr>
              <w:instrText>HYPERLINK</w:instrText>
            </w:r>
            <w:r>
              <w:rPr>
                <w:rtl/>
                <w:lang w:val="en-GB" w:bidi="ar-EG"/>
              </w:rPr>
              <w:instrText xml:space="preserve"> "</w:instrText>
            </w:r>
            <w:r>
              <w:rPr>
                <w:lang w:val="en-GB" w:bidi="ar-EG"/>
              </w:rPr>
              <w:instrText>https://www.itu.int/pub/D-RES-D.90-2022</w:instrText>
            </w:r>
            <w:r>
              <w:rPr>
                <w:rtl/>
                <w:lang w:val="en-GB" w:bidi="ar-EG"/>
              </w:rPr>
              <w:instrText xml:space="preserve">" </w:instrText>
            </w:r>
            <w:r>
              <w:rPr>
                <w:rtl/>
                <w:lang w:val="en-GB" w:bidi="ar-EG"/>
              </w:rPr>
            </w:r>
            <w:r>
              <w:rPr>
                <w:rtl/>
                <w:lang w:val="en-GB" w:bidi="ar-EG"/>
              </w:rPr>
              <w:fldChar w:fldCharType="separate"/>
            </w:r>
            <w:r w:rsidR="00196706" w:rsidRPr="00F17716">
              <w:rPr>
                <w:rStyle w:val="Hyperlink"/>
                <w:rtl/>
                <w:lang w:val="en-GB" w:bidi="ar-EG"/>
              </w:rPr>
              <w:t>القرار 90 (كيغالي، 2022)</w:t>
            </w:r>
            <w:r w:rsidR="0008573A" w:rsidRPr="00F17716">
              <w:rPr>
                <w:rStyle w:val="Hyperlink"/>
                <w:rFonts w:hint="cs"/>
                <w:rtl/>
                <w:lang w:val="en-GB" w:bidi="ar-EG"/>
              </w:rPr>
              <w:t xml:space="preserve"> - </w:t>
            </w:r>
            <w:r w:rsidR="00196706" w:rsidRPr="00F17716">
              <w:rPr>
                <w:rStyle w:val="Hyperlink"/>
                <w:rtl/>
                <w:lang w:val="en-GB" w:bidi="ar-EG"/>
              </w:rPr>
              <w:t>تعزيز ريادة الأعمال في مجال الاتصالات/تكنولوجيا المعلومات والاتصالات والأنظمة الإيكولوجية للابتكار الرقمي من أجل تحقيق التنمية الرقمية المستدامة</w:t>
            </w:r>
          </w:p>
          <w:p w14:paraId="6288BEE1" w14:textId="44C33283" w:rsidR="00196706" w:rsidRPr="00196706" w:rsidRDefault="00F17716" w:rsidP="00196706">
            <w:pPr>
              <w:rPr>
                <w:rtl/>
                <w:lang w:val="en-GB" w:bidi="ar-EG"/>
              </w:rPr>
            </w:pPr>
            <w:r>
              <w:rPr>
                <w:rtl/>
                <w:lang w:val="en-GB" w:bidi="ar-EG"/>
              </w:rPr>
              <w:lastRenderedPageBreak/>
              <w:fldChar w:fldCharType="end"/>
            </w:r>
            <w:hyperlink r:id="rId12" w:history="1">
              <w:r w:rsidR="00196706" w:rsidRPr="0008573A">
                <w:rPr>
                  <w:rStyle w:val="Hyperlink"/>
                  <w:rtl/>
                  <w:lang w:val="en-GB" w:bidi="ar-EG"/>
                </w:rPr>
                <w:t>القرار 205 (المراجَع في بوخارست، 2022) - دور الاتحاد في تشجيع الابتكار القائم على الاتصالات/تكنولوجيا المعلومات والاتصالات لدعم الاقتصاد والمجتمع الرقميين</w:t>
              </w:r>
            </w:hyperlink>
          </w:p>
          <w:p w14:paraId="491B7404" w14:textId="31C9CAEF" w:rsidR="00196706" w:rsidRPr="00153471" w:rsidRDefault="007D7962" w:rsidP="00196706">
            <w:pPr>
              <w:rPr>
                <w:rtl/>
              </w:rPr>
            </w:pPr>
            <w:hyperlink r:id="rId13" w:history="1">
              <w:r w:rsidR="00196706" w:rsidRPr="0008573A">
                <w:rPr>
                  <w:rStyle w:val="Hyperlink"/>
                  <w:rtl/>
                  <w:lang w:val="en-GB" w:bidi="ar-EG"/>
                </w:rPr>
                <w:t>القرار 71 (المراجَع في بوخارست، 2022)، الخطة الاستراتيجية للاتحاد للفترة 2024-2027</w:t>
              </w:r>
            </w:hyperlink>
            <w:r w:rsidR="0008573A">
              <w:rPr>
                <w:rFonts w:hint="cs"/>
                <w:rtl/>
                <w:lang w:val="en-GB" w:bidi="ar-EG"/>
              </w:rPr>
              <w:t>،</w:t>
            </w:r>
            <w:r w:rsidR="00196706" w:rsidRPr="00196706">
              <w:rPr>
                <w:rtl/>
                <w:lang w:val="en-GB" w:bidi="ar-EG"/>
              </w:rPr>
              <w:t xml:space="preserve"> المبادرات الإقليمية للاتحاد من </w:t>
            </w:r>
            <w:r w:rsidR="0008573A" w:rsidRPr="0008573A">
              <w:rPr>
                <w:rtl/>
                <w:lang w:val="en-GB" w:bidi="ar-EG"/>
              </w:rPr>
              <w:t xml:space="preserve">المؤتمر العالمي لتنمية الاتصالات لعام 2022 </w:t>
            </w:r>
            <w:r w:rsidR="0008573A" w:rsidRPr="0008573A">
              <w:rPr>
                <w:cs/>
                <w:lang w:val="en-GB" w:bidi="ar-EG"/>
              </w:rPr>
              <w:t>‎</w:t>
            </w:r>
            <w:r w:rsidR="0008573A" w:rsidRPr="0008573A">
              <w:rPr>
                <w:lang w:val="en-GB" w:bidi="ar-EG"/>
              </w:rPr>
              <w:t>(WTDC-22)</w:t>
            </w:r>
            <w:r w:rsidR="0008573A">
              <w:rPr>
                <w:rFonts w:hint="cs"/>
                <w:rtl/>
                <w:lang w:val="en-GB" w:bidi="ar-EG"/>
              </w:rPr>
              <w:t xml:space="preserve"> </w:t>
            </w:r>
            <w:r w:rsidR="00196706" w:rsidRPr="00196706">
              <w:rPr>
                <w:lang w:val="en-GB" w:bidi="ar-EG"/>
              </w:rPr>
              <w:t>AFR4</w:t>
            </w:r>
            <w:r w:rsidR="00196706" w:rsidRPr="00196706">
              <w:rPr>
                <w:rtl/>
                <w:lang w:val="en-GB" w:bidi="ar-EG"/>
              </w:rPr>
              <w:t xml:space="preserve"> و</w:t>
            </w:r>
            <w:r w:rsidR="00196706" w:rsidRPr="00196706">
              <w:rPr>
                <w:lang w:val="en-GB" w:bidi="ar-EG"/>
              </w:rPr>
              <w:t>AMS3</w:t>
            </w:r>
            <w:r w:rsidR="00196706" w:rsidRPr="00196706">
              <w:rPr>
                <w:rtl/>
                <w:lang w:val="en-GB" w:bidi="ar-EG"/>
              </w:rPr>
              <w:t xml:space="preserve"> و</w:t>
            </w:r>
            <w:r w:rsidR="00196706" w:rsidRPr="00196706">
              <w:rPr>
                <w:lang w:val="en-GB" w:bidi="ar-EG"/>
              </w:rPr>
              <w:t>CIS3</w:t>
            </w:r>
            <w:r w:rsidR="00196706" w:rsidRPr="00196706">
              <w:rPr>
                <w:rtl/>
                <w:lang w:val="en-GB" w:bidi="ar-EG"/>
              </w:rPr>
              <w:t xml:space="preserve"> و</w:t>
            </w:r>
            <w:r w:rsidR="00196706" w:rsidRPr="00196706">
              <w:rPr>
                <w:lang w:val="en-GB" w:bidi="ar-EG"/>
              </w:rPr>
              <w:t>CIS5</w:t>
            </w:r>
            <w:r w:rsidR="00196706" w:rsidRPr="00196706">
              <w:rPr>
                <w:rtl/>
                <w:lang w:val="en-GB" w:bidi="ar-EG"/>
              </w:rPr>
              <w:t xml:space="preserve"> و</w:t>
            </w:r>
            <w:r w:rsidR="00196706" w:rsidRPr="00196706">
              <w:rPr>
                <w:lang w:val="en-GB" w:bidi="ar-EG"/>
              </w:rPr>
              <w:t>ARB4</w:t>
            </w:r>
            <w:r w:rsidR="00196706" w:rsidRPr="00196706">
              <w:rPr>
                <w:rtl/>
                <w:lang w:val="en-GB" w:bidi="ar-EG"/>
              </w:rPr>
              <w:t xml:space="preserve"> و</w:t>
            </w:r>
            <w:r w:rsidR="00196706" w:rsidRPr="00196706">
              <w:rPr>
                <w:lang w:val="en-GB" w:bidi="ar-EG"/>
              </w:rPr>
              <w:t>ASP4</w:t>
            </w:r>
            <w:r w:rsidR="00196706" w:rsidRPr="00196706">
              <w:rPr>
                <w:rtl/>
                <w:lang w:val="en-GB" w:bidi="ar-EG"/>
              </w:rPr>
              <w:t xml:space="preserve"> و</w:t>
            </w:r>
            <w:r w:rsidR="00196706" w:rsidRPr="00196706">
              <w:rPr>
                <w:lang w:val="en-GB" w:bidi="ar-EG"/>
              </w:rPr>
              <w:t>EUR5</w:t>
            </w:r>
            <w:r w:rsidR="00196706" w:rsidRPr="00196706">
              <w:rPr>
                <w:rtl/>
                <w:lang w:val="en-GB" w:bidi="ar-EG"/>
              </w:rPr>
              <w:t>.</w:t>
            </w:r>
          </w:p>
        </w:tc>
      </w:tr>
    </w:tbl>
    <w:p w14:paraId="0584BAB5" w14:textId="77777777" w:rsidR="00196706" w:rsidRDefault="00196706" w:rsidP="0008573A">
      <w:pPr>
        <w:pStyle w:val="Headingb"/>
        <w:rPr>
          <w:rtl/>
          <w:lang w:bidi="ar-EG"/>
        </w:rPr>
      </w:pPr>
      <w:r>
        <w:rPr>
          <w:rtl/>
          <w:lang w:bidi="ar-EG"/>
        </w:rPr>
        <w:lastRenderedPageBreak/>
        <w:t>معلومات أساسية</w:t>
      </w:r>
    </w:p>
    <w:p w14:paraId="4FFB5C16" w14:textId="25645BED" w:rsidR="00196706" w:rsidRDefault="00196706" w:rsidP="00B7470B">
      <w:pPr>
        <w:rPr>
          <w:rtl/>
          <w:lang w:bidi="ar-EG"/>
        </w:rPr>
      </w:pPr>
      <w:r>
        <w:rPr>
          <w:rtl/>
          <w:lang w:bidi="ar-EG"/>
        </w:rPr>
        <w:t>‏أنشأ مدير مكتب تنمية الاتصالات (</w:t>
      </w:r>
      <w:r>
        <w:rPr>
          <w:lang w:bidi="ar-EG"/>
        </w:rPr>
        <w:t>BDT</w:t>
      </w:r>
      <w:r>
        <w:rPr>
          <w:rtl/>
          <w:lang w:bidi="ar-EG"/>
        </w:rPr>
        <w:t xml:space="preserve">) </w:t>
      </w:r>
      <w:hyperlink r:id="rId14" w:anchor="/ar" w:history="1">
        <w:r w:rsidRPr="0008573A">
          <w:rPr>
            <w:rStyle w:val="Hyperlink"/>
            <w:rtl/>
            <w:lang w:bidi="ar-EG"/>
          </w:rPr>
          <w:t>تحالف الابتكار وريادة الأعمال لأغراض التنمية الرقمية</w:t>
        </w:r>
      </w:hyperlink>
      <w:r>
        <w:rPr>
          <w:rtl/>
          <w:lang w:bidi="ar-EG"/>
        </w:rPr>
        <w:t xml:space="preserve"> في </w:t>
      </w:r>
      <w:r>
        <w:rPr>
          <w:cs/>
          <w:lang w:bidi="ar-EG"/>
        </w:rPr>
        <w:t>‎</w:t>
      </w:r>
      <w:r>
        <w:rPr>
          <w:lang w:bidi="ar-EG"/>
        </w:rPr>
        <w:t>25</w:t>
      </w:r>
      <w:r>
        <w:rPr>
          <w:rtl/>
          <w:lang w:bidi="ar-EG"/>
        </w:rPr>
        <w:t xml:space="preserve"> ‏يناير </w:t>
      </w:r>
      <w:r>
        <w:rPr>
          <w:cs/>
          <w:lang w:bidi="ar-EG"/>
        </w:rPr>
        <w:t>‎</w:t>
      </w:r>
      <w:r>
        <w:rPr>
          <w:lang w:bidi="ar-EG"/>
        </w:rPr>
        <w:t>2023</w:t>
      </w:r>
      <w:r>
        <w:rPr>
          <w:rtl/>
          <w:lang w:bidi="ar-EG"/>
        </w:rPr>
        <w:t xml:space="preserve">‏. وتلبي هذه المبادرة احتياجات أعضاء الاتحاد الكبيرة غير الملبّاة في مجال الابتكار، على النحو المحدد في خطة عمل كيغالي التي اعتمدها </w:t>
      </w:r>
      <w:hyperlink r:id="rId15" w:history="1">
        <w:r w:rsidRPr="0008573A">
          <w:rPr>
            <w:rStyle w:val="Hyperlink"/>
            <w:rtl/>
            <w:lang w:bidi="ar-EG"/>
          </w:rPr>
          <w:t xml:space="preserve">المؤتمر العالمي لتنمية الاتصالات لعام 2022 </w:t>
        </w:r>
        <w:r w:rsidRPr="0008573A">
          <w:rPr>
            <w:rStyle w:val="Hyperlink"/>
            <w:cs/>
            <w:lang w:bidi="ar-EG"/>
          </w:rPr>
          <w:t>‎</w:t>
        </w:r>
        <w:r w:rsidRPr="0008573A">
          <w:rPr>
            <w:rStyle w:val="Hyperlink"/>
            <w:lang w:bidi="ar-EG"/>
          </w:rPr>
          <w:t>(WTDC-22)</w:t>
        </w:r>
      </w:hyperlink>
      <w:r>
        <w:rPr>
          <w:rtl/>
          <w:lang w:bidi="ar-EG"/>
        </w:rPr>
        <w:t xml:space="preserve"> وفي نتائج مؤتمر المندوبين المفوضين للاتحاد الدولي للاتصالات لعام </w:t>
      </w:r>
      <w:r>
        <w:rPr>
          <w:cs/>
          <w:lang w:bidi="ar-EG"/>
        </w:rPr>
        <w:t>‎</w:t>
      </w:r>
      <w:r>
        <w:rPr>
          <w:lang w:bidi="ar-EG"/>
        </w:rPr>
        <w:t>2022</w:t>
      </w:r>
      <w:r w:rsidR="00C94E55">
        <w:rPr>
          <w:rFonts w:hint="cs"/>
          <w:rtl/>
          <w:lang w:bidi="ar-EG"/>
        </w:rPr>
        <w:t xml:space="preserve"> </w:t>
      </w:r>
      <w:r>
        <w:rPr>
          <w:lang w:bidi="ar-EG"/>
        </w:rPr>
        <w:t>(PP-22)</w:t>
      </w:r>
      <w:r>
        <w:rPr>
          <w:rtl/>
          <w:lang w:bidi="ar-EG"/>
        </w:rPr>
        <w:t>.</w:t>
      </w:r>
    </w:p>
    <w:p w14:paraId="2D51436E" w14:textId="77777777" w:rsidR="008903F7" w:rsidRDefault="00196706" w:rsidP="00B7470B">
      <w:pPr>
        <w:rPr>
          <w:rtl/>
          <w:lang w:bidi="ar-EG"/>
        </w:rPr>
      </w:pPr>
      <w:r>
        <w:rPr>
          <w:rtl/>
          <w:lang w:bidi="ar-EG"/>
        </w:rPr>
        <w:t>‏وتتجلى رؤية التحالف في "دعم أعضاء قطاع تنمية الاتصالات بنُهُج جديدة أكثر مرونةً وتقدميةً تكفل قدرتهم على أن يخوضوا بأمان غمار عالم رقمي يتزايد تقلباً وظنيةً وتعقيداً وغموضاً (</w:t>
      </w:r>
      <w:r>
        <w:rPr>
          <w:cs/>
          <w:lang w:bidi="ar-EG"/>
        </w:rPr>
        <w:t>‎</w:t>
      </w:r>
      <w:r>
        <w:rPr>
          <w:lang w:bidi="ar-EG"/>
        </w:rPr>
        <w:t>VUCA</w:t>
      </w:r>
      <w:r>
        <w:rPr>
          <w:rtl/>
          <w:lang w:bidi="ar-EG"/>
        </w:rPr>
        <w:t>) ‏وتُحقق نتائج خطة عمل كيغالي".</w:t>
      </w:r>
      <w:r>
        <w:rPr>
          <w:cs/>
          <w:lang w:bidi="ar-EG"/>
        </w:rPr>
        <w:t>‎</w:t>
      </w:r>
    </w:p>
    <w:p w14:paraId="5C6A2089" w14:textId="24AA1E18" w:rsidR="00196706" w:rsidRDefault="00196706" w:rsidP="00B7470B">
      <w:pPr>
        <w:rPr>
          <w:rtl/>
          <w:lang w:bidi="ar-EG"/>
        </w:rPr>
      </w:pPr>
      <w:r>
        <w:rPr>
          <w:rtl/>
          <w:lang w:bidi="ar-EG"/>
        </w:rPr>
        <w:t>‏وكرس التحالف جهوده منذ تدشينه ليحقق رسالته "سد فجوة الابتكار الرقمي وتمكين أعضاء قطاع تنمية الاتصالات بالاتحاد من التغلب على ما يواجههم من تحديات في مسيرتهم نحو التحول الرقمي". وغايته تسريع تأثير أنظمتهم الإيكولوجية على شتى القطاعات، ليشجع بذلك على بناء مجتمعات شاملة للجميع ومستدامة. ويبلغ التحالف أهدافه بثلاث آليات رئيسية، هي:</w:t>
      </w:r>
      <w:r>
        <w:rPr>
          <w:cs/>
          <w:lang w:bidi="ar-EG"/>
        </w:rPr>
        <w:t>‎</w:t>
      </w:r>
    </w:p>
    <w:p w14:paraId="6E6F1516" w14:textId="54A11FEF" w:rsidR="00196706" w:rsidRDefault="00C94E55" w:rsidP="00C94E55">
      <w:pPr>
        <w:pStyle w:val="enumlev1"/>
        <w:rPr>
          <w:rtl/>
        </w:rPr>
      </w:pPr>
      <w:r>
        <w:t>‒</w:t>
      </w:r>
      <w:r w:rsidR="00196706">
        <w:rPr>
          <w:rtl/>
        </w:rPr>
        <w:tab/>
      </w:r>
      <w:hyperlink r:id="rId16" w:anchor="/ar" w:history="1">
        <w:r w:rsidR="00196706" w:rsidRPr="00AD65F9">
          <w:rPr>
            <w:rStyle w:val="Hyperlink"/>
            <w:rtl/>
          </w:rPr>
          <w:t>مجلس الابتكار الرقمي</w:t>
        </w:r>
      </w:hyperlink>
      <w:r w:rsidR="00196706">
        <w:rPr>
          <w:rtl/>
        </w:rPr>
        <w:t>،</w:t>
      </w:r>
    </w:p>
    <w:p w14:paraId="3688EDB8" w14:textId="78F57488" w:rsidR="00196706" w:rsidRDefault="00C94E55" w:rsidP="00C94E55">
      <w:pPr>
        <w:pStyle w:val="enumlev1"/>
        <w:rPr>
          <w:rtl/>
        </w:rPr>
      </w:pPr>
      <w:r>
        <w:t>‒</w:t>
      </w:r>
      <w:r w:rsidR="00196706">
        <w:rPr>
          <w:rtl/>
        </w:rPr>
        <w:tab/>
      </w:r>
      <w:hyperlink r:id="rId17" w:anchor="/ar" w:history="1">
        <w:r w:rsidR="00196706" w:rsidRPr="00AD65F9">
          <w:rPr>
            <w:rStyle w:val="Hyperlink"/>
            <w:rtl/>
          </w:rPr>
          <w:t>شبكة مراكز التسريع التابعة للاتحاد</w:t>
        </w:r>
      </w:hyperlink>
      <w:r w:rsidR="00196706">
        <w:rPr>
          <w:rtl/>
        </w:rPr>
        <w:t>،</w:t>
      </w:r>
    </w:p>
    <w:p w14:paraId="3E148815" w14:textId="5C511519" w:rsidR="00196706" w:rsidRDefault="00C94E55" w:rsidP="00C94E55">
      <w:pPr>
        <w:pStyle w:val="enumlev1"/>
        <w:rPr>
          <w:rtl/>
        </w:rPr>
      </w:pPr>
      <w:r>
        <w:t>‒</w:t>
      </w:r>
      <w:r w:rsidR="00196706">
        <w:rPr>
          <w:rtl/>
        </w:rPr>
        <w:tab/>
      </w:r>
      <w:hyperlink r:id="rId18" w:anchor="/ar" w:history="1">
        <w:r w:rsidR="00196706" w:rsidRPr="00AD65F9">
          <w:rPr>
            <w:rStyle w:val="Hyperlink"/>
            <w:rtl/>
          </w:rPr>
          <w:t>مختبر التحول الرقمي</w:t>
        </w:r>
      </w:hyperlink>
      <w:r w:rsidR="00196706">
        <w:rPr>
          <w:cs/>
        </w:rPr>
        <w:t>‎</w:t>
      </w:r>
      <w:r w:rsidR="00196706">
        <w:rPr>
          <w:rtl/>
        </w:rPr>
        <w:t>.</w:t>
      </w:r>
    </w:p>
    <w:p w14:paraId="34B5581C" w14:textId="2B2C15D3" w:rsidR="00196706" w:rsidRDefault="00196706" w:rsidP="00B7470B">
      <w:pPr>
        <w:rPr>
          <w:rtl/>
          <w:lang w:bidi="ar-EG"/>
        </w:rPr>
      </w:pPr>
      <w:r>
        <w:rPr>
          <w:rtl/>
          <w:lang w:bidi="ar-EG"/>
        </w:rPr>
        <w:t>‏ويستهدف هذا التحالف منذ انطلاقه بناء "مستقبل رقمي أكثر إنصافاً للجميع" ويركز على تحقيق نتيجتين رئيسيتين تتعلقان بأولويات قطاع تنمية الاتصالات بحسب</w:t>
      </w:r>
      <w:r w:rsidR="008903F7">
        <w:rPr>
          <w:rtl/>
          <w:lang w:bidi="ar-EG"/>
        </w:rPr>
        <w:fldChar w:fldCharType="begin"/>
      </w:r>
      <w:r w:rsidR="008903F7">
        <w:rPr>
          <w:rtl/>
          <w:lang w:bidi="ar-EG"/>
        </w:rPr>
        <w:instrText xml:space="preserve">  </w:instrText>
      </w:r>
      <w:r w:rsidR="008903F7">
        <w:rPr>
          <w:rtl/>
          <w:lang w:bidi="ar-EG"/>
        </w:rPr>
        <w:fldChar w:fldCharType="end"/>
      </w:r>
      <w:r>
        <w:rPr>
          <w:rtl/>
          <w:lang w:bidi="ar-EG"/>
        </w:rPr>
        <w:t xml:space="preserve"> خطة عمل كيغالي، وهما:</w:t>
      </w:r>
    </w:p>
    <w:p w14:paraId="2C01F2C7" w14:textId="2A268016" w:rsidR="00196706" w:rsidRDefault="00AD65F9" w:rsidP="00AD65F9">
      <w:pPr>
        <w:pStyle w:val="enumlev1"/>
        <w:rPr>
          <w:rtl/>
        </w:rPr>
      </w:pPr>
      <w:r>
        <w:t>‒</w:t>
      </w:r>
      <w:r w:rsidR="00196706">
        <w:rPr>
          <w:rtl/>
        </w:rPr>
        <w:tab/>
        <w:t>‏تقوية قدرة أعضاء الاتحاد على إدماج الابتكار في مجال الاتصالات وتكنولوجيا المعلومات والاتصالات (</w:t>
      </w:r>
      <w:r w:rsidR="00196706">
        <w:t>ICT</w:t>
      </w:r>
      <w:r w:rsidR="00196706">
        <w:rPr>
          <w:rtl/>
        </w:rPr>
        <w:t>) والرقمنة في خططهم الإنمائية الوطنية. ويشمل ذلك وضع استراتيجيات تشجع المبادرات الابتكارية بإقامة شراكات مع القطاعين العام والخاص وشراكات بينهما.</w:t>
      </w:r>
    </w:p>
    <w:p w14:paraId="61CB9681" w14:textId="7633DB8E" w:rsidR="00196706" w:rsidRDefault="00AD65F9" w:rsidP="00AD65F9">
      <w:pPr>
        <w:pStyle w:val="enumlev1"/>
        <w:rPr>
          <w:rtl/>
        </w:rPr>
      </w:pPr>
      <w:r>
        <w:t>‒</w:t>
      </w:r>
      <w:r w:rsidR="00196706">
        <w:rPr>
          <w:rtl/>
        </w:rPr>
        <w:tab/>
        <w:t>تعزيز القدرات البشرية والمؤسسية لأعضاء الاتحاد في مجال الاتصالات وتكنولوجيا المعلومات والاتصالات لدعم التحول الرقمي</w:t>
      </w:r>
      <w:r w:rsidR="00196706">
        <w:rPr>
          <w:cs/>
        </w:rPr>
        <w:t>‎</w:t>
      </w:r>
      <w:r w:rsidR="00196706">
        <w:rPr>
          <w:rtl/>
        </w:rPr>
        <w:t>.</w:t>
      </w:r>
    </w:p>
    <w:p w14:paraId="2CA859D0" w14:textId="5A59C760" w:rsidR="00882A17" w:rsidRDefault="00196706" w:rsidP="00B7470B">
      <w:pPr>
        <w:rPr>
          <w:lang w:bidi="ar-EG"/>
        </w:rPr>
      </w:pPr>
      <w:r>
        <w:rPr>
          <w:rtl/>
          <w:lang w:bidi="ar-EG"/>
        </w:rPr>
        <w:t>ويدعم التحالف البلدان في بناء القدرات المحلية في مجالي الابتكار وريادة الأعمال لتحقيق خمسة أهداف استراتيجية:</w:t>
      </w:r>
    </w:p>
    <w:tbl>
      <w:tblPr>
        <w:tblStyle w:val="TableGrid"/>
        <w:bidiVisual/>
        <w:tblW w:w="5000" w:type="pct"/>
        <w:jc w:val="center"/>
        <w:tblLook w:val="04A0" w:firstRow="1" w:lastRow="0" w:firstColumn="1" w:lastColumn="0" w:noHBand="0" w:noVBand="1"/>
      </w:tblPr>
      <w:tblGrid>
        <w:gridCol w:w="2688"/>
        <w:gridCol w:w="6941"/>
      </w:tblGrid>
      <w:tr w:rsidR="00196706" w:rsidRPr="00196706" w14:paraId="1919B8E4" w14:textId="77777777" w:rsidTr="00AD65F9">
        <w:trPr>
          <w:jc w:val="center"/>
        </w:trPr>
        <w:tc>
          <w:tcPr>
            <w:tcW w:w="2688" w:type="dxa"/>
          </w:tcPr>
          <w:p w14:paraId="1C4ACB6A" w14:textId="77777777" w:rsidR="00196706" w:rsidRPr="00196706" w:rsidRDefault="00196706" w:rsidP="00B7470B">
            <w:pPr>
              <w:rPr>
                <w:rtl/>
                <w:lang w:bidi="ar-EG"/>
              </w:rPr>
            </w:pPr>
            <w:r w:rsidRPr="00196706">
              <w:rPr>
                <w:rtl/>
                <w:lang w:bidi="ar-EG"/>
              </w:rPr>
              <w:t>الجاهزية للبحث في الاتجاهات</w:t>
            </w:r>
          </w:p>
        </w:tc>
        <w:tc>
          <w:tcPr>
            <w:tcW w:w="6941" w:type="dxa"/>
          </w:tcPr>
          <w:p w14:paraId="7C6A67B6" w14:textId="77777777" w:rsidR="00196706" w:rsidRPr="00196706" w:rsidRDefault="00196706" w:rsidP="00B7470B">
            <w:pPr>
              <w:rPr>
                <w:lang w:bidi="ar-EG"/>
              </w:rPr>
            </w:pPr>
            <w:r w:rsidRPr="00196706">
              <w:rPr>
                <w:rtl/>
                <w:lang w:bidi="ar-EG"/>
              </w:rPr>
              <w:t>تمكين البلدان من السَّبق وإدراك تطور ديناميات التكنولوجيا والسياسات العامة والابتكار.</w:t>
            </w:r>
            <w:r w:rsidRPr="00196706">
              <w:rPr>
                <w:cs/>
                <w:lang w:bidi="ar-EG"/>
              </w:rPr>
              <w:t>‎</w:t>
            </w:r>
          </w:p>
        </w:tc>
      </w:tr>
      <w:tr w:rsidR="00196706" w:rsidRPr="00196706" w14:paraId="31E766AF" w14:textId="77777777" w:rsidTr="00AD65F9">
        <w:trPr>
          <w:jc w:val="center"/>
        </w:trPr>
        <w:tc>
          <w:tcPr>
            <w:tcW w:w="2688" w:type="dxa"/>
          </w:tcPr>
          <w:p w14:paraId="0AD6BB67" w14:textId="77777777" w:rsidR="00196706" w:rsidRPr="00196706" w:rsidRDefault="00196706" w:rsidP="00B7470B">
            <w:pPr>
              <w:rPr>
                <w:rtl/>
                <w:lang w:bidi="ar-EG"/>
              </w:rPr>
            </w:pPr>
            <w:r w:rsidRPr="00196706">
              <w:rPr>
                <w:rtl/>
                <w:lang w:bidi="ar-EG"/>
              </w:rPr>
              <w:t>حفز الابتكار التكنولوجي المفتوح</w:t>
            </w:r>
          </w:p>
        </w:tc>
        <w:tc>
          <w:tcPr>
            <w:tcW w:w="6941" w:type="dxa"/>
          </w:tcPr>
          <w:p w14:paraId="6AE01736" w14:textId="77777777" w:rsidR="00196706" w:rsidRPr="00196706" w:rsidRDefault="00196706" w:rsidP="00B7470B">
            <w:pPr>
              <w:rPr>
                <w:lang w:bidi="ar-EG"/>
              </w:rPr>
            </w:pPr>
            <w:r w:rsidRPr="00196706">
              <w:rPr>
                <w:rtl/>
                <w:lang w:bidi="ar-EG"/>
              </w:rPr>
              <w:t>تحويل الخبرة التقنية التكنولوجية إلى سلع عالمية بالابتكار المفتوح وآليات تعدد أصحاب المصلحة، بما يسرِّع نفاذ الجميع إلى التكنولوجيا الناشئة</w:t>
            </w:r>
            <w:r w:rsidRPr="00196706">
              <w:rPr>
                <w:cs/>
                <w:lang w:bidi="ar-EG"/>
              </w:rPr>
              <w:t>‎</w:t>
            </w:r>
            <w:r w:rsidRPr="00196706">
              <w:rPr>
                <w:rtl/>
                <w:lang w:bidi="ar-EG"/>
              </w:rPr>
              <w:t>.</w:t>
            </w:r>
          </w:p>
        </w:tc>
      </w:tr>
      <w:tr w:rsidR="00196706" w:rsidRPr="00196706" w14:paraId="747832BE" w14:textId="77777777" w:rsidTr="00AD65F9">
        <w:trPr>
          <w:jc w:val="center"/>
        </w:trPr>
        <w:tc>
          <w:tcPr>
            <w:tcW w:w="2688" w:type="dxa"/>
          </w:tcPr>
          <w:p w14:paraId="155B08FD" w14:textId="77777777" w:rsidR="00196706" w:rsidRPr="00196706" w:rsidRDefault="00196706" w:rsidP="00B7470B">
            <w:pPr>
              <w:rPr>
                <w:rtl/>
                <w:lang w:bidi="ar-EG"/>
              </w:rPr>
            </w:pPr>
            <w:r w:rsidRPr="00196706">
              <w:rPr>
                <w:rtl/>
                <w:lang w:bidi="ar-EG"/>
              </w:rPr>
              <w:t>نمو ريادة الأعمال والشركات الصغيرة والمتوسطة (</w:t>
            </w:r>
            <w:r w:rsidRPr="00196706">
              <w:rPr>
                <w:lang w:bidi="ar-EG"/>
              </w:rPr>
              <w:t>SME</w:t>
            </w:r>
            <w:r w:rsidRPr="00196706">
              <w:rPr>
                <w:rtl/>
                <w:lang w:bidi="ar-EG"/>
              </w:rPr>
              <w:t>)</w:t>
            </w:r>
          </w:p>
        </w:tc>
        <w:tc>
          <w:tcPr>
            <w:tcW w:w="6941" w:type="dxa"/>
          </w:tcPr>
          <w:p w14:paraId="60749B57" w14:textId="77777777" w:rsidR="00196706" w:rsidRPr="00196706" w:rsidRDefault="00196706" w:rsidP="00B7470B">
            <w:pPr>
              <w:rPr>
                <w:lang w:bidi="ar-EG"/>
              </w:rPr>
            </w:pPr>
            <w:r w:rsidRPr="00196706">
              <w:rPr>
                <w:rtl/>
                <w:lang w:bidi="ar-EG"/>
              </w:rPr>
              <w:t>تسريع الإقبال على ريادة الأعمال والفرص القائمتين على الابتكار الرقمي لتمكين الموهوبين من تحقيق الشمول الاجتماعي الاقتصادي في مجتمعاتهم</w:t>
            </w:r>
            <w:r w:rsidRPr="00196706">
              <w:rPr>
                <w:cs/>
                <w:lang w:bidi="ar-EG"/>
              </w:rPr>
              <w:t>‎</w:t>
            </w:r>
            <w:r w:rsidRPr="00196706">
              <w:rPr>
                <w:rtl/>
                <w:lang w:bidi="ar-EG"/>
              </w:rPr>
              <w:t>.</w:t>
            </w:r>
          </w:p>
        </w:tc>
      </w:tr>
      <w:tr w:rsidR="00196706" w:rsidRPr="00196706" w14:paraId="7D1C4860" w14:textId="77777777" w:rsidTr="00AD65F9">
        <w:trPr>
          <w:jc w:val="center"/>
        </w:trPr>
        <w:tc>
          <w:tcPr>
            <w:tcW w:w="2688" w:type="dxa"/>
          </w:tcPr>
          <w:p w14:paraId="423F9092" w14:textId="77777777" w:rsidR="00196706" w:rsidRPr="00196706" w:rsidRDefault="00196706" w:rsidP="00B7470B">
            <w:pPr>
              <w:rPr>
                <w:rtl/>
                <w:lang w:bidi="ar-EG"/>
              </w:rPr>
            </w:pPr>
            <w:r w:rsidRPr="00196706">
              <w:rPr>
                <w:rtl/>
                <w:lang w:bidi="ar-EG"/>
              </w:rPr>
              <w:t>تجريب السياسات العامة</w:t>
            </w:r>
          </w:p>
        </w:tc>
        <w:tc>
          <w:tcPr>
            <w:tcW w:w="6941" w:type="dxa"/>
          </w:tcPr>
          <w:p w14:paraId="1B99FA19" w14:textId="77777777" w:rsidR="00196706" w:rsidRPr="00196706" w:rsidRDefault="00196706" w:rsidP="00B7470B">
            <w:pPr>
              <w:rPr>
                <w:lang w:bidi="ar-EG"/>
              </w:rPr>
            </w:pPr>
            <w:r w:rsidRPr="00196706">
              <w:rPr>
                <w:rtl/>
                <w:lang w:bidi="ar-EG"/>
              </w:rPr>
              <w:t>استحداث سياسات عامة مرنة تتيح لأصحاب المصلحة مساحةً مأمونة للتجريب، بما يشجع على الابتكار وجذب الاستثمارات في النظام الإيكولوجي الرقمي</w:t>
            </w:r>
            <w:r w:rsidRPr="00196706">
              <w:rPr>
                <w:cs/>
                <w:lang w:bidi="ar-EG"/>
              </w:rPr>
              <w:t>‎</w:t>
            </w:r>
            <w:r w:rsidRPr="00196706">
              <w:rPr>
                <w:rtl/>
                <w:lang w:bidi="ar-EG"/>
              </w:rPr>
              <w:t>.</w:t>
            </w:r>
          </w:p>
        </w:tc>
      </w:tr>
      <w:tr w:rsidR="00196706" w:rsidRPr="00196706" w14:paraId="3B5E249B" w14:textId="77777777" w:rsidTr="00AD65F9">
        <w:trPr>
          <w:jc w:val="center"/>
        </w:trPr>
        <w:tc>
          <w:tcPr>
            <w:tcW w:w="2688" w:type="dxa"/>
          </w:tcPr>
          <w:p w14:paraId="41118D07" w14:textId="77777777" w:rsidR="00196706" w:rsidRPr="00196706" w:rsidRDefault="00196706" w:rsidP="00B7470B">
            <w:pPr>
              <w:rPr>
                <w:rtl/>
                <w:lang w:bidi="ar-EG"/>
              </w:rPr>
            </w:pPr>
            <w:r w:rsidRPr="00196706">
              <w:rPr>
                <w:rtl/>
                <w:lang w:bidi="ar-EG"/>
              </w:rPr>
              <w:t>تسريع المبادرات المتعلقة بالأنظمة الإيكولوجية</w:t>
            </w:r>
          </w:p>
        </w:tc>
        <w:tc>
          <w:tcPr>
            <w:tcW w:w="6941" w:type="dxa"/>
          </w:tcPr>
          <w:p w14:paraId="595C0CA6" w14:textId="77777777" w:rsidR="00196706" w:rsidRPr="00196706" w:rsidRDefault="00196706" w:rsidP="00B7470B">
            <w:pPr>
              <w:rPr>
                <w:lang w:bidi="ar-EG"/>
              </w:rPr>
            </w:pPr>
            <w:r w:rsidRPr="00196706">
              <w:rPr>
                <w:rtl/>
                <w:lang w:bidi="ar-EG"/>
              </w:rPr>
              <w:t>تعزيز التعاون والتآزر الهادفين إلى التوسع في الابتكارات الرقمية وإنشاء القيمة في جميع قطاعات الاقتصاد من أجل اقتصاد رقمي شامل.</w:t>
            </w:r>
          </w:p>
        </w:tc>
      </w:tr>
    </w:tbl>
    <w:p w14:paraId="7C19C84C" w14:textId="3E7ACBB3" w:rsidR="00196706" w:rsidRDefault="00196706" w:rsidP="00B7470B">
      <w:pPr>
        <w:rPr>
          <w:rtl/>
          <w:lang w:bidi="ar-EG"/>
        </w:rPr>
      </w:pPr>
      <w:r>
        <w:rPr>
          <w:rtl/>
          <w:lang w:bidi="ar-EG"/>
        </w:rPr>
        <w:t>‏ويوجز القسم التالي التقدم المحرز في كل من هذه الآليات وكيفية مساعدتها في تحقيق غايات التحالف.</w:t>
      </w:r>
    </w:p>
    <w:p w14:paraId="0425F663" w14:textId="0D07496E" w:rsidR="00196706" w:rsidRDefault="00AD65F9" w:rsidP="00AD65F9">
      <w:pPr>
        <w:pStyle w:val="Heading1"/>
        <w:rPr>
          <w:rtl/>
          <w:lang w:bidi="ar-EG"/>
        </w:rPr>
      </w:pPr>
      <w:r>
        <w:rPr>
          <w:lang w:bidi="ar-EG"/>
        </w:rPr>
        <w:lastRenderedPageBreak/>
        <w:t>1</w:t>
      </w:r>
      <w:r>
        <w:rPr>
          <w:lang w:bidi="ar-EG"/>
        </w:rPr>
        <w:tab/>
      </w:r>
      <w:r w:rsidR="00196706">
        <w:rPr>
          <w:rtl/>
          <w:lang w:bidi="ar-EG"/>
        </w:rPr>
        <w:t>الأنشطة والنتائج الرئيسية</w:t>
      </w:r>
    </w:p>
    <w:p w14:paraId="3F69E14C" w14:textId="77777777" w:rsidR="00196706" w:rsidRDefault="00196706" w:rsidP="00B7470B">
      <w:pPr>
        <w:rPr>
          <w:rtl/>
          <w:lang w:bidi="ar-EG"/>
        </w:rPr>
      </w:pPr>
      <w:r>
        <w:rPr>
          <w:rtl/>
          <w:lang w:bidi="ar-EG"/>
        </w:rPr>
        <w:t>أحرز مكتب تنمية الاتصالات تقدماً مطرداً في تفعيل رؤية التحالف منذ انطلاقه. وشهد عام 2025 نقطة تحول خاصة، إذ أصبحت آليات التحالف كافة تعمل بكامل طاقتها وتحقق نتائج ملموسة. ويواصل المكتب تحسين الآليات الثلاث وتفعيلها، وتعديل الاستراتيجيات والتكتيكات اتكاءً على الدروس المستفادة من العملية.</w:t>
      </w:r>
    </w:p>
    <w:p w14:paraId="5BF4F653" w14:textId="77777777" w:rsidR="00196706" w:rsidRDefault="00196706" w:rsidP="00B7470B">
      <w:pPr>
        <w:rPr>
          <w:rtl/>
          <w:lang w:bidi="ar-EG"/>
        </w:rPr>
      </w:pPr>
      <w:r>
        <w:rPr>
          <w:rtl/>
          <w:lang w:bidi="ar-EG"/>
        </w:rPr>
        <w:t>ويسلط هذا القسم الضوء على مستجدات هذه الآليات وقصص نجاحها والدروس المستفادة منها والخطوات المقبلة.</w:t>
      </w:r>
      <w:r>
        <w:rPr>
          <w:cs/>
          <w:lang w:bidi="ar-EG"/>
        </w:rPr>
        <w:t>‎</w:t>
      </w:r>
    </w:p>
    <w:p w14:paraId="5F9AC68F" w14:textId="7C6B4AE4" w:rsidR="00196706" w:rsidRDefault="00AD65F9" w:rsidP="00AD65F9">
      <w:pPr>
        <w:pStyle w:val="Heading2"/>
        <w:rPr>
          <w:rtl/>
          <w:lang w:bidi="ar-EG"/>
        </w:rPr>
      </w:pPr>
      <w:r>
        <w:rPr>
          <w:lang w:bidi="ar-EG"/>
        </w:rPr>
        <w:t>1.1</w:t>
      </w:r>
      <w:r>
        <w:rPr>
          <w:lang w:bidi="ar-EG"/>
        </w:rPr>
        <w:tab/>
      </w:r>
      <w:r w:rsidR="00196706">
        <w:rPr>
          <w:rtl/>
          <w:lang w:bidi="ar-EG"/>
        </w:rPr>
        <w:t>مجلس الابتكار الرقمي</w:t>
      </w:r>
      <w:r w:rsidR="00196706">
        <w:rPr>
          <w:cs/>
          <w:lang w:bidi="ar-EG"/>
        </w:rPr>
        <w:t>‎</w:t>
      </w:r>
    </w:p>
    <w:p w14:paraId="4FC0582E" w14:textId="77777777" w:rsidR="00196706" w:rsidRDefault="00196706" w:rsidP="00B7470B">
      <w:pPr>
        <w:rPr>
          <w:rtl/>
          <w:lang w:bidi="ar-EG"/>
        </w:rPr>
      </w:pPr>
      <w:r>
        <w:rPr>
          <w:rtl/>
          <w:lang w:bidi="ar-EG"/>
        </w:rPr>
        <w:t>‏يوجِّه مجلس الابتكار الرقمي أعمال التحالف لضمان تحقيق الفعالية والمساءلة والتقدم الاستراتيجي في تنفيذ خطة عمل كيغالي، مع تيسير أنشطة المناصرة رفيعة المستوى وإعداد التقارير عن مسارات العمل الرئيسية لتحقيق أهدافه المنشودة. ويضم المجلس أفراداً متميزين يعملون بصفاتهم الشخصية ويكفلون تماشي التحالف مع رسالة الاتحاد وخططه الاستراتيجية وولاية مكتب تنمية الاتصالات.</w:t>
      </w:r>
      <w:r>
        <w:rPr>
          <w:cs/>
          <w:lang w:bidi="ar-EG"/>
        </w:rPr>
        <w:t>‎</w:t>
      </w:r>
    </w:p>
    <w:p w14:paraId="2103BCB2" w14:textId="1C878B5E" w:rsidR="00196706" w:rsidRDefault="00196706" w:rsidP="00B7470B">
      <w:pPr>
        <w:rPr>
          <w:rtl/>
          <w:lang w:bidi="ar-EG"/>
        </w:rPr>
      </w:pPr>
      <w:r>
        <w:rPr>
          <w:rtl/>
          <w:lang w:bidi="ar-EG"/>
        </w:rPr>
        <w:t xml:space="preserve">‏وتشمل تشكيلة المجلس الحالية </w:t>
      </w:r>
      <w:hyperlink r:id="rId19" w:anchor="/ar" w:history="1">
        <w:r w:rsidRPr="00AD65F9">
          <w:rPr>
            <w:rStyle w:val="Hyperlink"/>
            <w:cs/>
            <w:lang w:bidi="ar-EG"/>
          </w:rPr>
          <w:t>‎</w:t>
        </w:r>
        <w:r w:rsidRPr="00AD65F9">
          <w:rPr>
            <w:rStyle w:val="Hyperlink"/>
            <w:lang w:bidi="ar-EG"/>
          </w:rPr>
          <w:t>36</w:t>
        </w:r>
        <w:r w:rsidRPr="00AD65F9">
          <w:rPr>
            <w:rStyle w:val="Hyperlink"/>
            <w:rtl/>
            <w:lang w:bidi="ar-EG"/>
          </w:rPr>
          <w:t xml:space="preserve"> ‏عضواً، من بينهم مدير مكتب تنمية الاتصالات، وعضو مؤسس، ورئيس مشارك</w:t>
        </w:r>
      </w:hyperlink>
      <w:r>
        <w:rPr>
          <w:rtl/>
          <w:lang w:bidi="ar-EG"/>
        </w:rPr>
        <w:t>.</w:t>
      </w:r>
    </w:p>
    <w:p w14:paraId="276AC64B" w14:textId="32A9C67C" w:rsidR="00196706" w:rsidRDefault="00196706" w:rsidP="00B7470B">
      <w:pPr>
        <w:rPr>
          <w:rtl/>
          <w:lang w:bidi="ar-EG"/>
        </w:rPr>
      </w:pPr>
      <w:r>
        <w:rPr>
          <w:rtl/>
          <w:lang w:bidi="ar-EG"/>
        </w:rPr>
        <w:t xml:space="preserve">أطلق </w:t>
      </w:r>
      <w:hyperlink r:id="rId20" w:history="1">
        <w:r w:rsidRPr="00AD65F9">
          <w:rPr>
            <w:rStyle w:val="Hyperlink"/>
            <w:rtl/>
            <w:lang w:bidi="ar-EG"/>
          </w:rPr>
          <w:t>الاجتماع الافتتاحي للمجلس</w:t>
        </w:r>
      </w:hyperlink>
      <w:r>
        <w:rPr>
          <w:rtl/>
          <w:lang w:bidi="ar-EG"/>
        </w:rPr>
        <w:t>، الذي عُقد في جنيف بسويسرا، في الفترة من 19 إلى 20 مارس 2024، رسمياً آليات التحالف وأرسى المسار من خلال إرشادات المجلس ومشورته بشأن أفضل السبل التي يمكن لتحالف الابتكار بها دعم أعضاء الاتحاد. طلب المجلس كذلك أن تضع الأمانة خطة عمل واستراتيجية واضحة رفيعة المستوى لضمان المشاركة المنظمة مع شبكة المراكز، وتحقيق أهداف التحالف.</w:t>
      </w:r>
    </w:p>
    <w:p w14:paraId="5D3502FC" w14:textId="77777777" w:rsidR="008903F7" w:rsidRDefault="00196706" w:rsidP="00B7470B">
      <w:pPr>
        <w:rPr>
          <w:rtl/>
          <w:lang w:bidi="ar-EG"/>
        </w:rPr>
      </w:pPr>
      <w:r>
        <w:rPr>
          <w:rtl/>
          <w:lang w:bidi="ar-EG"/>
        </w:rPr>
        <w:t xml:space="preserve">ووافق </w:t>
      </w:r>
      <w:hyperlink r:id="rId21" w:history="1">
        <w:r w:rsidRPr="00AD65F9">
          <w:rPr>
            <w:rStyle w:val="Hyperlink"/>
            <w:rtl/>
            <w:lang w:bidi="ar-EG"/>
          </w:rPr>
          <w:t>الاجتماع الثاني للمجلس</w:t>
        </w:r>
      </w:hyperlink>
      <w:r>
        <w:rPr>
          <w:rtl/>
          <w:lang w:bidi="ar-EG"/>
        </w:rPr>
        <w:t>، الذي عُقد في فاليتا، مالطة، في 28 أكتوبر 2024، على خارطة الطريق رفيعة المستوى واستعرض الدروس المستفادة من مراكز التسريع. وأقرَّ المجلس التقرير الاستشرافي الأول وخلاصة وافية للموضوعات بما يحول المجلس إلى منبر للمناصرة الاستراتيجية. كما عزز هيكله بإقرار اختصاصات شبكة الخبراء وأقر رسمياً منصة مسرع المبادرات الإقليمية.</w:t>
      </w:r>
    </w:p>
    <w:p w14:paraId="0286A4FC" w14:textId="66F2CDC8" w:rsidR="00196706" w:rsidRDefault="00AD65F9" w:rsidP="00AD65F9">
      <w:pPr>
        <w:pStyle w:val="enumlev1"/>
        <w:rPr>
          <w:rtl/>
        </w:rPr>
      </w:pPr>
      <w:r>
        <w:t>‒</w:t>
      </w:r>
      <w:r w:rsidR="00196706">
        <w:rPr>
          <w:rtl/>
        </w:rPr>
        <w:tab/>
        <w:t xml:space="preserve">وتركز خطة العمل الشاملة المعتمدة للفترة </w:t>
      </w:r>
      <w:r w:rsidR="00122FA5">
        <w:t>2026-2024</w:t>
      </w:r>
      <w:r w:rsidR="00196706">
        <w:rPr>
          <w:rtl/>
        </w:rPr>
        <w:t xml:space="preserve"> على مجالين رئيسيين: وضع سلسلة من الاستشراف وتعزيز الأنظمة الإيكولوجية للشراكات. وتهدف مسارات العمل هذه معاً إلى بناء شبكة تعاونية من المنظمات التي تتشارك الموارد والخبرات والخدمات، مع تعزيز الدور الفاعل للمجلس في مجال المناصرة. وتؤكد الخطة على المشاركة القوية لأعضاء المجلس عن طريق شبكة الخبراء، إذ يتيح لهم ذلك تحديد المواضيع ذات الأولوية والمساهمة بفعالية في عمل الشبكة.</w:t>
      </w:r>
    </w:p>
    <w:p w14:paraId="02740F13" w14:textId="02818393" w:rsidR="00196706" w:rsidRDefault="00AD65F9" w:rsidP="00AD65F9">
      <w:pPr>
        <w:pStyle w:val="enumlev1"/>
        <w:rPr>
          <w:rtl/>
        </w:rPr>
      </w:pPr>
      <w:r>
        <w:t>‒</w:t>
      </w:r>
      <w:r w:rsidR="00196706">
        <w:rPr>
          <w:rtl/>
        </w:rPr>
        <w:tab/>
        <w:t>أقرَّ المجلس التقرير الاستشرافي الاستراتيجي الأول بعنوان "</w:t>
      </w:r>
      <w:hyperlink r:id="rId22" w:history="1">
        <w:r w:rsidR="00196706" w:rsidRPr="00AD65F9">
          <w:rPr>
            <w:rStyle w:val="Hyperlink"/>
            <w:rtl/>
          </w:rPr>
          <w:t>تشكيل تعليم الغد</w:t>
        </w:r>
      </w:hyperlink>
      <w:r w:rsidR="00196706">
        <w:rPr>
          <w:rtl/>
        </w:rPr>
        <w:t>". أبرز هذا المنشور الافتتاحي النهج الفريد الذي يعتمده الاتحاد في الاستشراف الاستراتيجي، ودلل على الكيفية التي يمكن للبلدان التعامل بها مع التحديات والفرص العالمية المتسارعة في قطاع التعليم عن طريق تعزيز أنظمتها الإيكولوجية للابتكار الرقمي.</w:t>
      </w:r>
      <w:r w:rsidR="00196706">
        <w:rPr>
          <w:cs/>
        </w:rPr>
        <w:t>‎</w:t>
      </w:r>
    </w:p>
    <w:p w14:paraId="3972EFDF" w14:textId="5FBE1657" w:rsidR="00196706" w:rsidRPr="00AD65F9" w:rsidRDefault="00196706" w:rsidP="00B7470B">
      <w:pPr>
        <w:rPr>
          <w:spacing w:val="-2"/>
          <w:rtl/>
          <w:lang w:bidi="ar-EG"/>
        </w:rPr>
      </w:pPr>
      <w:r w:rsidRPr="00AD65F9">
        <w:rPr>
          <w:spacing w:val="-2"/>
          <w:rtl/>
          <w:lang w:bidi="ar-EG"/>
        </w:rPr>
        <w:t xml:space="preserve">عُقد </w:t>
      </w:r>
      <w:hyperlink r:id="rId23" w:history="1">
        <w:r w:rsidRPr="00AD65F9">
          <w:rPr>
            <w:rStyle w:val="Hyperlink"/>
            <w:spacing w:val="-2"/>
            <w:rtl/>
            <w:lang w:bidi="ar-EG"/>
          </w:rPr>
          <w:t>الاجتماع الثالث لمجلس الابتكار الرقمي التابع لتحالف الابتكار وريادة الأعمال لأغراض التنمية الرقمية</w:t>
        </w:r>
      </w:hyperlink>
      <w:r w:rsidRPr="00AD65F9">
        <w:rPr>
          <w:spacing w:val="-2"/>
          <w:rtl/>
          <w:lang w:bidi="ar-EG"/>
        </w:rPr>
        <w:t xml:space="preserve"> في الفترة من 1 إلى 2 أكتوبر 2025 في سانتو دومينغو، بالجمهورية الدومينيكية، حيث استضافه المعهد الدومينيكي للاتصالات (</w:t>
      </w:r>
      <w:r w:rsidRPr="00AD65F9">
        <w:rPr>
          <w:spacing w:val="-2"/>
          <w:lang w:bidi="ar-EG"/>
        </w:rPr>
        <w:t>INDOTEL</w:t>
      </w:r>
      <w:r w:rsidRPr="00AD65F9">
        <w:rPr>
          <w:spacing w:val="-2"/>
          <w:rtl/>
          <w:lang w:bidi="ar-EG"/>
        </w:rPr>
        <w:t xml:space="preserve">). وركز الاجتماع على استعراض التقدم المحرز منذ انعقاد الاجتماع الثاني، ولا سيما فيما يتعلق بخطة العمل رفيعة المستوى، وخطة الاتصالات الاستراتيجية، وإطار الرصد والتقييم. وسلط الضوء كذلك على المساهمات المقدمة من </w:t>
      </w:r>
      <w:hyperlink r:id="rId24" w:anchor="/ar" w:history="1">
        <w:r w:rsidRPr="00AD65F9">
          <w:rPr>
            <w:rStyle w:val="Hyperlink"/>
            <w:spacing w:val="-2"/>
            <w:rtl/>
            <w:lang w:bidi="ar-EG"/>
          </w:rPr>
          <w:t>شبكة الخبراء</w:t>
        </w:r>
      </w:hyperlink>
      <w:r w:rsidRPr="00AD65F9">
        <w:rPr>
          <w:spacing w:val="-2"/>
          <w:rtl/>
          <w:lang w:bidi="ar-EG"/>
        </w:rPr>
        <w:t>، وشكَّل منبراً لإجراء مناقشات متعمقة بشأن المبادرات المستقبلية والتوجه الاستراتيجي للتحالف.</w:t>
      </w:r>
    </w:p>
    <w:p w14:paraId="09690FAF" w14:textId="77777777" w:rsidR="00196706" w:rsidRDefault="00196706" w:rsidP="00B7470B">
      <w:pPr>
        <w:rPr>
          <w:rtl/>
          <w:lang w:bidi="ar-EG"/>
        </w:rPr>
      </w:pPr>
      <w:r>
        <w:rPr>
          <w:rtl/>
          <w:lang w:bidi="ar-EG"/>
        </w:rPr>
        <w:t>وشملت النتائج الرئيسية للاجتماع ما يلي:</w:t>
      </w:r>
    </w:p>
    <w:p w14:paraId="1E8B57F6" w14:textId="3CE4A856" w:rsidR="00196706" w:rsidRDefault="00AD65F9" w:rsidP="00AD65F9">
      <w:pPr>
        <w:pStyle w:val="enumlev1"/>
        <w:rPr>
          <w:rtl/>
        </w:rPr>
      </w:pPr>
      <w:r>
        <w:t>‒</w:t>
      </w:r>
      <w:r w:rsidR="00196706">
        <w:rPr>
          <w:rtl/>
        </w:rPr>
        <w:tab/>
        <w:t>أحاط المجلس علماً بإعلان سد الفجوة في الابتكار الرقمي، الذي يشجع البلدان على المشاركة في أعمال التحالف.</w:t>
      </w:r>
    </w:p>
    <w:p w14:paraId="62BA325C" w14:textId="27A0E73F" w:rsidR="00196706" w:rsidRDefault="00AD65F9" w:rsidP="00AD65F9">
      <w:pPr>
        <w:pStyle w:val="enumlev1"/>
        <w:rPr>
          <w:rtl/>
        </w:rPr>
      </w:pPr>
      <w:r>
        <w:t>‒</w:t>
      </w:r>
      <w:r w:rsidR="00196706">
        <w:rPr>
          <w:rtl/>
        </w:rPr>
        <w:tab/>
        <w:t>أطلق مكتب تنمية الاتصالات ثلاثة إحاطات استشراف، تعرض سيناريوهات عملية لدعم بناء أنظمة إيكولوجية قادرة على الصمود في مجال الابتكار الرقمي. وتستكشف هذه السلسلة كيفية تعزيز المستقبل الرقمي الشامل للجميع عن طريق التعليم وريادة الأعمال والاستثمار.</w:t>
      </w:r>
    </w:p>
    <w:p w14:paraId="1C2AE3E4" w14:textId="7F3573BC" w:rsidR="00196706" w:rsidRDefault="00AD65F9" w:rsidP="00AD65F9">
      <w:pPr>
        <w:pStyle w:val="enumlev1"/>
        <w:rPr>
          <w:rtl/>
        </w:rPr>
      </w:pPr>
      <w:r>
        <w:t>‒</w:t>
      </w:r>
      <w:r w:rsidR="00196706">
        <w:rPr>
          <w:rtl/>
        </w:rPr>
        <w:tab/>
        <w:t>أقرَّ المجلس إحاطتي استشراف تركزان على المدن الذكية والرعاية الصحية.</w:t>
      </w:r>
    </w:p>
    <w:p w14:paraId="34756DF5" w14:textId="386473DE" w:rsidR="00196706" w:rsidRDefault="00AD65F9" w:rsidP="00AD65F9">
      <w:pPr>
        <w:pStyle w:val="enumlev1"/>
        <w:rPr>
          <w:rtl/>
        </w:rPr>
      </w:pPr>
      <w:r>
        <w:t>‒</w:t>
      </w:r>
      <w:r w:rsidR="00196706">
        <w:rPr>
          <w:rtl/>
        </w:rPr>
        <w:tab/>
        <w:t>عرضت المراكز خرائط الطريق لديها على المستويات الوطنية والإقليمية والعالمية، وكانت موضع ترحيب وأجريت مناقشات حيالها وأبدى المجلس تعليقات بناءة بشأنها.</w:t>
      </w:r>
    </w:p>
    <w:p w14:paraId="18081876" w14:textId="0EC96D37" w:rsidR="00196706" w:rsidRDefault="00AD65F9" w:rsidP="00AD65F9">
      <w:pPr>
        <w:pStyle w:val="enumlev1"/>
        <w:rPr>
          <w:rtl/>
        </w:rPr>
      </w:pPr>
      <w:r>
        <w:t>‒</w:t>
      </w:r>
      <w:r w:rsidR="00196706">
        <w:rPr>
          <w:rtl/>
        </w:rPr>
        <w:tab/>
        <w:t>عرض قادة فرق الخبراء المواضيعية خرائط طريق خطة العمل المواضيعية، وعرضوا مشاركاتهم مع المراكز، والتمسوا التوجيه من المجلس بشأن الخطوات التالية.</w:t>
      </w:r>
    </w:p>
    <w:p w14:paraId="099F3326" w14:textId="77777777" w:rsidR="00196706" w:rsidRDefault="00196706" w:rsidP="00B7470B">
      <w:pPr>
        <w:rPr>
          <w:rtl/>
          <w:lang w:bidi="ar-EG"/>
        </w:rPr>
      </w:pPr>
      <w:r>
        <w:rPr>
          <w:rtl/>
          <w:lang w:bidi="ar-EG"/>
        </w:rPr>
        <w:lastRenderedPageBreak/>
        <w:t>أتاح تفعيل شبكة الخبراء السبل للتحالف لإنشاء مجتمعات ممارسين، وإشراك أكثر من 100 خبير للعمل على الأهداف الاستراتيجية للتحالف وتبادل الخبرات، والمساهمة في أعماله، والنهوض بالابتكار في الاتحاد.</w:t>
      </w:r>
    </w:p>
    <w:p w14:paraId="3B79E8D6" w14:textId="77777777" w:rsidR="00196706" w:rsidRDefault="00196706" w:rsidP="00B7470B">
      <w:pPr>
        <w:rPr>
          <w:rtl/>
          <w:lang w:bidi="ar-EG"/>
        </w:rPr>
      </w:pPr>
      <w:r>
        <w:rPr>
          <w:rtl/>
          <w:lang w:bidi="ar-EG"/>
        </w:rPr>
        <w:t>وشهد الاجتماع الثالث عموماً التفعيل الكامل لآليات التحالف كافة، بدعم قوي من أمانة مكتب تنمية الاتصالات، تمهيداً لتوسيع نطاق أنشطته في عام 2026.</w:t>
      </w:r>
    </w:p>
    <w:p w14:paraId="4EE61DC7" w14:textId="54E6E71F" w:rsidR="00196706" w:rsidRDefault="00AD65F9" w:rsidP="00AD65F9">
      <w:pPr>
        <w:pStyle w:val="Heading2"/>
        <w:rPr>
          <w:rtl/>
          <w:lang w:bidi="ar-EG"/>
        </w:rPr>
      </w:pPr>
      <w:r>
        <w:rPr>
          <w:lang w:bidi="ar-EG"/>
        </w:rPr>
        <w:t>2.1</w:t>
      </w:r>
      <w:r>
        <w:rPr>
          <w:lang w:bidi="ar-EG"/>
        </w:rPr>
        <w:tab/>
      </w:r>
      <w:r w:rsidR="00196706">
        <w:rPr>
          <w:rtl/>
          <w:lang w:bidi="ar-EG"/>
        </w:rPr>
        <w:t>شبكة مراكز التسريع</w:t>
      </w:r>
      <w:r w:rsidR="00196706">
        <w:rPr>
          <w:cs/>
          <w:lang w:bidi="ar-EG"/>
        </w:rPr>
        <w:t>‎</w:t>
      </w:r>
    </w:p>
    <w:p w14:paraId="6D11326F" w14:textId="77777777" w:rsidR="00196706" w:rsidRDefault="00196706" w:rsidP="00B7470B">
      <w:pPr>
        <w:rPr>
          <w:rtl/>
          <w:lang w:bidi="ar-EG"/>
        </w:rPr>
      </w:pPr>
      <w:r>
        <w:rPr>
          <w:rtl/>
          <w:lang w:bidi="ar-EG"/>
        </w:rPr>
        <w:t>تعزز شبكة مراكز التسريع التابعة للاتحاد الابتكار وريادة الأعمال عالمياً وإقليمياً ووطنياً، لدفع عجلة التحول الرقمي عن طريق التكنولوجيا والسياسات والمبادرات الرائدة.</w:t>
      </w:r>
    </w:p>
    <w:p w14:paraId="47C8AFAE" w14:textId="77777777" w:rsidR="00196706" w:rsidRDefault="00196706" w:rsidP="00B7470B">
      <w:pPr>
        <w:rPr>
          <w:rtl/>
          <w:lang w:bidi="ar-EG"/>
        </w:rPr>
      </w:pPr>
      <w:r>
        <w:rPr>
          <w:rtl/>
          <w:lang w:bidi="ar-EG"/>
        </w:rPr>
        <w:t>وكان على 17 منظمة، وقع الاختيار عليها في البداية لاستضافة المراكز، الخضوع لعملية تأهيل دقيقة لتصبح جاهزة للعمل بكامل طاقتها. تضمنت هذه العملية ما يلي:</w:t>
      </w:r>
    </w:p>
    <w:p w14:paraId="79087AA7" w14:textId="65FC20AB" w:rsidR="00196706" w:rsidRDefault="00AD65F9" w:rsidP="00AD65F9">
      <w:pPr>
        <w:pStyle w:val="enumlev1"/>
        <w:rPr>
          <w:rtl/>
        </w:rPr>
      </w:pPr>
      <w:r>
        <w:t>‒</w:t>
      </w:r>
      <w:r w:rsidR="00196706">
        <w:rPr>
          <w:rtl/>
        </w:rPr>
        <w:tab/>
        <w:t>توقيع اتفاق تعاون لتنظيم العمليات.</w:t>
      </w:r>
    </w:p>
    <w:p w14:paraId="55564DB4" w14:textId="48196D16" w:rsidR="00196706" w:rsidRDefault="00AD65F9" w:rsidP="00AD65F9">
      <w:pPr>
        <w:pStyle w:val="enumlev1"/>
        <w:rPr>
          <w:rtl/>
        </w:rPr>
      </w:pPr>
      <w:r>
        <w:t>‒</w:t>
      </w:r>
      <w:r w:rsidR="00196706">
        <w:rPr>
          <w:rtl/>
        </w:rPr>
        <w:tab/>
        <w:t>تأمين الدعم المالي والسياسي الكافي لضمان الاستدامة.</w:t>
      </w:r>
    </w:p>
    <w:p w14:paraId="6AEFE81A" w14:textId="0831977D" w:rsidR="00196706" w:rsidRDefault="00AD65F9" w:rsidP="00AD65F9">
      <w:pPr>
        <w:pStyle w:val="enumlev1"/>
        <w:rPr>
          <w:rtl/>
        </w:rPr>
      </w:pPr>
      <w:r>
        <w:t>‒</w:t>
      </w:r>
      <w:r w:rsidR="00196706">
        <w:rPr>
          <w:rtl/>
        </w:rPr>
        <w:tab/>
        <w:t>المشاركة مع أمانة مكتب تنمية الاتصالات في عملية التصميم، وتلقي الدعم في مجال بناء القدرات بشأن عمليات الاتحاد وأطره من أجل الوصول إلى مرحلة التفعيل الكامل.</w:t>
      </w:r>
    </w:p>
    <w:p w14:paraId="4E91E663" w14:textId="77777777" w:rsidR="008903F7" w:rsidRDefault="00196706" w:rsidP="00AD65F9">
      <w:pPr>
        <w:rPr>
          <w:rtl/>
        </w:rPr>
      </w:pPr>
      <w:r>
        <w:rPr>
          <w:rtl/>
        </w:rPr>
        <w:t>وحتى عام 2025، أنجز اثنا عشر مركزاً عملية التصميم، وهذه المراكز الآن في مرحلة تفعيل الأنشطة.</w:t>
      </w:r>
    </w:p>
    <w:p w14:paraId="1B3A55AD" w14:textId="55C05536" w:rsidR="00196706" w:rsidRDefault="00AD65F9" w:rsidP="00AD65F9">
      <w:pPr>
        <w:pStyle w:val="enumlev1"/>
        <w:rPr>
          <w:rtl/>
        </w:rPr>
      </w:pPr>
      <w:r>
        <w:t>‒</w:t>
      </w:r>
      <w:r w:rsidR="00196706">
        <w:rPr>
          <w:rtl/>
        </w:rPr>
        <w:tab/>
        <w:t xml:space="preserve">واصل مكتب تنمية الاتصالات في عام 2025 دعم مراكز التسريع التابعة للاتحاد عن طريق مبادرات بناء القدرات، ويشمل ذلك المشاريع التتويجية التي تعمل مع انطلاق الخدمات. وتجدر الإشارة إلى أن مركزين أصدرا أول تقريرين استشرافيين استراتيجيين لهما في المؤتمر </w:t>
      </w:r>
      <w:r w:rsidR="00196706">
        <w:t>WTDC-25</w:t>
      </w:r>
      <w:r w:rsidR="00196706">
        <w:rPr>
          <w:rtl/>
        </w:rPr>
        <w:t>.</w:t>
      </w:r>
    </w:p>
    <w:p w14:paraId="27F59BED" w14:textId="6DDD4E2B" w:rsidR="00196706" w:rsidRDefault="00AD65F9" w:rsidP="00AD65F9">
      <w:pPr>
        <w:pStyle w:val="enumlev1"/>
        <w:rPr>
          <w:rtl/>
        </w:rPr>
      </w:pPr>
      <w:r>
        <w:t>‒</w:t>
      </w:r>
      <w:r w:rsidR="00196706">
        <w:rPr>
          <w:rtl/>
        </w:rPr>
        <w:tab/>
        <w:t xml:space="preserve">أجرى مكتب تنمية الاتصالات في عام 2025 عدة أنشطة لبناء القدرات، منها منهج دراسي على منصة أكاديمية الاتحاد (مثل </w:t>
      </w:r>
      <w:hyperlink r:id="rId25" w:anchor="/ar" w:history="1">
        <w:r w:rsidR="00196706" w:rsidRPr="00AD65F9">
          <w:rPr>
            <w:rStyle w:val="Hyperlink"/>
            <w:rtl/>
          </w:rPr>
          <w:t>الاستشراف الاستراتيجي 101</w:t>
        </w:r>
      </w:hyperlink>
      <w:r w:rsidR="00196706">
        <w:rPr>
          <w:rtl/>
        </w:rPr>
        <w:t xml:space="preserve"> و</w:t>
      </w:r>
      <w:hyperlink r:id="rId26" w:anchor="/ar" w:history="1">
        <w:r w:rsidR="00196706" w:rsidRPr="00AD65F9">
          <w:rPr>
            <w:rStyle w:val="Hyperlink"/>
            <w:cs/>
          </w:rPr>
          <w:t>‎</w:t>
        </w:r>
        <w:r w:rsidR="00196706" w:rsidRPr="00AD65F9">
          <w:rPr>
            <w:rStyle w:val="Hyperlink"/>
          </w:rPr>
          <w:t>201</w:t>
        </w:r>
      </w:hyperlink>
      <w:r w:rsidR="00196706">
        <w:rPr>
          <w:rtl/>
        </w:rPr>
        <w:t>‏، و</w:t>
      </w:r>
      <w:hyperlink r:id="rId27" w:anchor="/ar" w:history="1">
        <w:r w:rsidR="00196706" w:rsidRPr="00AD65F9">
          <w:rPr>
            <w:rStyle w:val="Hyperlink"/>
            <w:rtl/>
          </w:rPr>
          <w:t xml:space="preserve">إنشاء مبادرات بشأن الأنظمة الإيكولوجية </w:t>
        </w:r>
        <w:r w:rsidR="00196706" w:rsidRPr="00AD65F9">
          <w:rPr>
            <w:rStyle w:val="Hyperlink"/>
            <w:cs/>
          </w:rPr>
          <w:t>‎</w:t>
        </w:r>
        <w:r w:rsidR="00196706" w:rsidRPr="00AD65F9">
          <w:rPr>
            <w:rStyle w:val="Hyperlink"/>
          </w:rPr>
          <w:t>201</w:t>
        </w:r>
      </w:hyperlink>
      <w:r w:rsidR="00196706">
        <w:rPr>
          <w:rtl/>
        </w:rPr>
        <w:t xml:space="preserve">) ‏وورش عمل </w:t>
      </w:r>
      <w:r w:rsidR="00196706">
        <w:rPr>
          <w:cs/>
        </w:rPr>
        <w:t>‎</w:t>
      </w:r>
      <w:r w:rsidR="00196706">
        <w:t>iCodi</w:t>
      </w:r>
      <w:r w:rsidR="00196706">
        <w:rPr>
          <w:rtl/>
        </w:rPr>
        <w:t xml:space="preserve"> ‏التي شاركت في تنظيمها هيئة تنظيم الاتصالات والحكومة الرقمية (</w:t>
      </w:r>
      <w:r w:rsidR="00196706">
        <w:t>TDRA</w:t>
      </w:r>
      <w:r w:rsidR="00196706">
        <w:rPr>
          <w:rtl/>
        </w:rPr>
        <w:t>) بالإمارات العربية المتحدة.</w:t>
      </w:r>
    </w:p>
    <w:p w14:paraId="146B90EB" w14:textId="5E0CB251" w:rsidR="00196706" w:rsidRDefault="00196706" w:rsidP="00AD65F9">
      <w:pPr>
        <w:rPr>
          <w:rtl/>
        </w:rPr>
      </w:pPr>
      <w:r>
        <w:rPr>
          <w:rtl/>
        </w:rPr>
        <w:t>وفي حين أن مراكز عدة قد قدمت بالفعل خدمات إلى الأنظمة الإيكولوجية التي تستهدفها، فإن البعض الآخر يعمل بالوتيرة التي تناسبه، وغالباً ما يتماشى هذا الإيقاع مع الخطط القائمة أو الفرص الماثلة على المستوى الوطني.</w:t>
      </w:r>
    </w:p>
    <w:p w14:paraId="7DA33539" w14:textId="1093D1C9" w:rsidR="00196706" w:rsidRDefault="00AD65F9" w:rsidP="00AD65F9">
      <w:pPr>
        <w:pStyle w:val="enumlev1"/>
        <w:rPr>
          <w:rtl/>
        </w:rPr>
      </w:pPr>
      <w:r>
        <w:t>‒</w:t>
      </w:r>
      <w:r w:rsidR="00196706">
        <w:rPr>
          <w:rtl/>
        </w:rPr>
        <w:tab/>
        <w:t xml:space="preserve">أطلقت أذربيجان في نوفمبر 2025 </w:t>
      </w:r>
      <w:hyperlink r:id="rId28" w:history="1">
        <w:r w:rsidR="00196706" w:rsidRPr="00AD65F9">
          <w:rPr>
            <w:rStyle w:val="Hyperlink"/>
            <w:rtl/>
          </w:rPr>
          <w:t>مركز التسريع التابع للاتحاد</w:t>
        </w:r>
      </w:hyperlink>
      <w:r w:rsidR="00196706">
        <w:rPr>
          <w:rtl/>
        </w:rPr>
        <w:t xml:space="preserve"> في مدينة باكو، على هامش المؤتمر </w:t>
      </w:r>
      <w:r w:rsidR="00196706">
        <w:t>WTDC-25</w:t>
      </w:r>
      <w:r w:rsidR="00196706">
        <w:rPr>
          <w:rtl/>
        </w:rPr>
        <w:t>. ويعمل هذا المركز المملوك والمموَّل وطنياً بمثابة مركز للشركات الناشئة والمشاريع التجارية والحكومات، مهمته تعزيز التحول الرقمي في منطقة كومنولث الدول المستقلة.</w:t>
      </w:r>
    </w:p>
    <w:p w14:paraId="793DD233" w14:textId="57DE0907" w:rsidR="00196706" w:rsidRDefault="00196706" w:rsidP="00B7470B">
      <w:pPr>
        <w:rPr>
          <w:rtl/>
          <w:lang w:bidi="ar-EG"/>
        </w:rPr>
      </w:pPr>
      <w:r>
        <w:rPr>
          <w:rtl/>
          <w:lang w:bidi="ar-EG"/>
        </w:rPr>
        <w:t>ويواصل مكتب تنمية الاتصالات دعم البلدان حسب ما تمليه الحاجة، لاستكشاف إمكانية تحول أيٍّ منها إلى مركز تسريع تابع للاتحاد. وفي هذا الصدد، قدم مكتب تنمية الاتصالات المساعدة لهيئة الاتصالات والفضاء والتقنية بالمملكة العربية السعودية لتصميم مركز متخصص يركز على التكنولوجيات الكمومية. يبرهن هذا الحدث البارز على نهج الاتحاد، إذ يُظهر أن المراكز</w:t>
      </w:r>
      <w:r w:rsidR="00A43EEB">
        <w:rPr>
          <w:rFonts w:hint="cs"/>
          <w:rtl/>
          <w:lang w:bidi="ar-EG"/>
        </w:rPr>
        <w:t xml:space="preserve"> - </w:t>
      </w:r>
      <w:r>
        <w:rPr>
          <w:rtl/>
          <w:lang w:bidi="ar-EG"/>
        </w:rPr>
        <w:t>التي تعد جهات تنسيقية للأنظمة الإيكولوجية</w:t>
      </w:r>
      <w:r w:rsidR="00A43EEB">
        <w:rPr>
          <w:rFonts w:hint="cs"/>
          <w:rtl/>
          <w:lang w:bidi="ar-EG"/>
        </w:rPr>
        <w:t xml:space="preserve"> - </w:t>
      </w:r>
      <w:r>
        <w:rPr>
          <w:rtl/>
          <w:lang w:bidi="ar-EG"/>
        </w:rPr>
        <w:t>يمكنها اعتماد محاور تركيز مواضيعية أو قطاعية متخصصة بناءً على الاحتياجات الوطنية التي تتحدد في أثناء عملية تصميم المركز.</w:t>
      </w:r>
    </w:p>
    <w:p w14:paraId="53B5F087" w14:textId="07912D8C" w:rsidR="00196706" w:rsidRDefault="00196706" w:rsidP="00B7470B">
      <w:pPr>
        <w:rPr>
          <w:rtl/>
          <w:lang w:bidi="ar-EG"/>
        </w:rPr>
      </w:pPr>
      <w:r>
        <w:rPr>
          <w:rtl/>
          <w:lang w:bidi="ar-EG"/>
        </w:rPr>
        <w:t xml:space="preserve">ويمكن للبلدان المهتمة بإنشاء مراكز تسريع تابعة للاتحاد بها، أو التعلم من تجارب المراكز القائمة، التواصل مع أمانة المكتب على عنوان البريد الإلكتروني: </w:t>
      </w:r>
      <w:hyperlink r:id="rId29" w:history="1">
        <w:r w:rsidR="00AD65F9" w:rsidRPr="00882839">
          <w:rPr>
            <w:rStyle w:val="Hyperlink"/>
            <w:lang w:bidi="ar-EG"/>
          </w:rPr>
          <w:t>BDTinnovation@itu.int</w:t>
        </w:r>
      </w:hyperlink>
      <w:r w:rsidR="00AD65F9">
        <w:rPr>
          <w:rFonts w:hint="cs"/>
          <w:rtl/>
          <w:lang w:bidi="ar-EG"/>
        </w:rPr>
        <w:t xml:space="preserve">، </w:t>
      </w:r>
      <w:r>
        <w:rPr>
          <w:rtl/>
          <w:lang w:bidi="ar-EG"/>
        </w:rPr>
        <w:t>للحصول على مزيد من المعلومات.</w:t>
      </w:r>
    </w:p>
    <w:p w14:paraId="05D94A95" w14:textId="04A89D5D" w:rsidR="00196706" w:rsidRDefault="0092283E" w:rsidP="0092283E">
      <w:pPr>
        <w:pStyle w:val="Heading2"/>
        <w:rPr>
          <w:rtl/>
          <w:lang w:bidi="ar-EG"/>
        </w:rPr>
      </w:pPr>
      <w:r>
        <w:rPr>
          <w:lang w:bidi="ar-EG"/>
        </w:rPr>
        <w:t>3.1</w:t>
      </w:r>
      <w:r>
        <w:rPr>
          <w:lang w:bidi="ar-EG"/>
        </w:rPr>
        <w:tab/>
      </w:r>
      <w:r w:rsidR="00196706">
        <w:rPr>
          <w:rtl/>
          <w:lang w:bidi="ar-EG"/>
        </w:rPr>
        <w:t>مختبر التحول الرقمي</w:t>
      </w:r>
    </w:p>
    <w:p w14:paraId="7C0ED9F1" w14:textId="77777777" w:rsidR="00196706" w:rsidRDefault="00196706" w:rsidP="00B7470B">
      <w:pPr>
        <w:rPr>
          <w:rtl/>
          <w:lang w:bidi="ar-EG"/>
        </w:rPr>
      </w:pPr>
      <w:r>
        <w:rPr>
          <w:rtl/>
          <w:lang w:bidi="ar-EG"/>
        </w:rPr>
        <w:t>يتولى مختبر التحول الرقمي (</w:t>
      </w:r>
      <w:r>
        <w:rPr>
          <w:lang w:bidi="ar-EG"/>
        </w:rPr>
        <w:t>DT Lab</w:t>
      </w:r>
      <w:r>
        <w:rPr>
          <w:rtl/>
          <w:lang w:bidi="ar-EG"/>
        </w:rPr>
        <w:t>) وضع برامج تعريفية بشأن الابتكار لتعزيز جهود التحالف وأصحاب المصلحة فيه. ويحقق المختبر أهدافه من خلال:</w:t>
      </w:r>
    </w:p>
    <w:p w14:paraId="60CBEC02" w14:textId="446BBEF6" w:rsidR="00196706" w:rsidRDefault="0092283E" w:rsidP="0092283E">
      <w:pPr>
        <w:pStyle w:val="enumlev1"/>
        <w:rPr>
          <w:rtl/>
        </w:rPr>
      </w:pPr>
      <w:r>
        <w:t>‒</w:t>
      </w:r>
      <w:r w:rsidR="00196706">
        <w:rPr>
          <w:rtl/>
        </w:rPr>
        <w:tab/>
        <w:t>إعداد أدلة تتضمن أطراً تعريفية، وإجراءات تشغيل قياسية، ونماذج تقديم الخدمات للمراكز.</w:t>
      </w:r>
    </w:p>
    <w:p w14:paraId="0A29F381" w14:textId="7DECCB58" w:rsidR="00196706" w:rsidRDefault="0092283E" w:rsidP="0092283E">
      <w:pPr>
        <w:pStyle w:val="enumlev1"/>
        <w:rPr>
          <w:rtl/>
        </w:rPr>
      </w:pPr>
      <w:r>
        <w:t>‒</w:t>
      </w:r>
      <w:r w:rsidR="00196706">
        <w:rPr>
          <w:rtl/>
        </w:rPr>
        <w:tab/>
        <w:t>إنشاء مجموعات أدوات تسهل وصول المحتوى إلى فئات واسعة من أصحاب المصلحة في الأنظمة الإيكولوجية.</w:t>
      </w:r>
    </w:p>
    <w:p w14:paraId="066F4920" w14:textId="7E9DA46A" w:rsidR="00196706" w:rsidRDefault="0092283E" w:rsidP="0092283E">
      <w:pPr>
        <w:pStyle w:val="enumlev1"/>
        <w:rPr>
          <w:rtl/>
        </w:rPr>
      </w:pPr>
      <w:r>
        <w:t>‒</w:t>
      </w:r>
      <w:r w:rsidR="00196706">
        <w:rPr>
          <w:rtl/>
        </w:rPr>
        <w:tab/>
        <w:t>تنظيم ورش عمل ودورات تدريبية لبناء القدرات عن طريق أكاديمية الاتحاد.</w:t>
      </w:r>
    </w:p>
    <w:p w14:paraId="7654F902" w14:textId="0E0FECED" w:rsidR="00196706" w:rsidRDefault="0092283E" w:rsidP="0092283E">
      <w:pPr>
        <w:pStyle w:val="enumlev1"/>
        <w:rPr>
          <w:rtl/>
        </w:rPr>
      </w:pPr>
      <w:r>
        <w:t>‒</w:t>
      </w:r>
      <w:r w:rsidR="00196706">
        <w:rPr>
          <w:rtl/>
        </w:rPr>
        <w:tab/>
        <w:t>دعم شبكة الخبراء ومجلس الابتكار الرقمي في تنفيذ خطط العمل لديهما.</w:t>
      </w:r>
    </w:p>
    <w:p w14:paraId="34E1BE42" w14:textId="02622D87" w:rsidR="00196706" w:rsidRDefault="0092283E" w:rsidP="0092283E">
      <w:pPr>
        <w:pStyle w:val="enumlev1"/>
        <w:rPr>
          <w:rtl/>
        </w:rPr>
      </w:pPr>
      <w:r>
        <w:lastRenderedPageBreak/>
        <w:t>‒</w:t>
      </w:r>
      <w:r w:rsidR="00196706">
        <w:rPr>
          <w:rtl/>
        </w:rPr>
        <w:tab/>
        <w:t>المساعدة في تصميم المراكز وتفعيلها.</w:t>
      </w:r>
    </w:p>
    <w:p w14:paraId="534CBF9E" w14:textId="77777777" w:rsidR="00196706" w:rsidRDefault="00196706" w:rsidP="00B7470B">
      <w:pPr>
        <w:rPr>
          <w:rtl/>
          <w:lang w:bidi="ar-EG"/>
        </w:rPr>
      </w:pPr>
      <w:r>
        <w:rPr>
          <w:rtl/>
          <w:lang w:bidi="ar-EG"/>
        </w:rPr>
        <w:t>ويمكن الاطلاع على قائمة شاملة بالأدلة ومبادرات بناء القدرات، وغير ذلك من الأحداث الخاصة بمراكز التسريع التابعة للاتحاد، في التقارير السابقة المقدمة إلى الفريق الاستشاري لتنمية الاتصالات.</w:t>
      </w:r>
    </w:p>
    <w:p w14:paraId="426001D7" w14:textId="6E90F502" w:rsidR="00196706" w:rsidRPr="00AA490A" w:rsidRDefault="00196706" w:rsidP="00B7470B">
      <w:pPr>
        <w:rPr>
          <w:spacing w:val="-4"/>
          <w:rtl/>
          <w:lang w:bidi="ar-EG"/>
        </w:rPr>
      </w:pPr>
      <w:r w:rsidRPr="00AA490A">
        <w:rPr>
          <w:spacing w:val="-4"/>
          <w:rtl/>
          <w:lang w:bidi="ar-EG"/>
        </w:rPr>
        <w:t xml:space="preserve">بالإضافة إلى ذلك، وضع مكتب تنمية الاتصالات في عام 2025 اللمسات الأخيرة على </w:t>
      </w:r>
      <w:hyperlink r:id="rId30" w:anchor="/ar" w:history="1">
        <w:r w:rsidRPr="00AA490A">
          <w:rPr>
            <w:rStyle w:val="Hyperlink"/>
            <w:spacing w:val="-4"/>
            <w:rtl/>
            <w:lang w:bidi="ar-EG"/>
          </w:rPr>
          <w:t>مجموعة الأدوات الخاصة بمسرع المبادرات الإقليمية</w:t>
        </w:r>
      </w:hyperlink>
      <w:r w:rsidRPr="00AA490A">
        <w:rPr>
          <w:spacing w:val="-4"/>
          <w:rtl/>
          <w:lang w:bidi="ar-EG"/>
        </w:rPr>
        <w:t xml:space="preserve"> </w:t>
      </w:r>
      <w:r w:rsidRPr="00AA490A">
        <w:rPr>
          <w:spacing w:val="-4"/>
          <w:lang w:bidi="ar-EG"/>
        </w:rPr>
        <w:t>(RI Accelerator)</w:t>
      </w:r>
      <w:r w:rsidRPr="00AA490A">
        <w:rPr>
          <w:spacing w:val="-4"/>
          <w:rtl/>
          <w:lang w:bidi="ar-EG"/>
        </w:rPr>
        <w:t xml:space="preserve">، وهو ما سيجرى تعزيزه من أجل دعم تنفيذ المبادرات الإقليمية المعتمدة مؤخراً في المؤتمر </w:t>
      </w:r>
      <w:r w:rsidRPr="00AA490A">
        <w:rPr>
          <w:spacing w:val="-4"/>
          <w:lang w:bidi="ar-EG"/>
        </w:rPr>
        <w:t>WTDC-25</w:t>
      </w:r>
      <w:r w:rsidRPr="00AA490A">
        <w:rPr>
          <w:spacing w:val="-4"/>
          <w:rtl/>
          <w:lang w:bidi="ar-EG"/>
        </w:rPr>
        <w:t>. وقد أجريت اختبارات مكثفة لمسرع المبادرات الإقليمية بالاستعانة بمبادرات كيغالي الإقليمية، ويخطط مكتب تنمية الاتصالات في</w:t>
      </w:r>
      <w:r w:rsidR="00AA490A">
        <w:rPr>
          <w:rFonts w:hint="cs"/>
          <w:spacing w:val="-4"/>
          <w:rtl/>
          <w:lang w:bidi="ar-EG"/>
        </w:rPr>
        <w:t> </w:t>
      </w:r>
      <w:r w:rsidRPr="00AA490A">
        <w:rPr>
          <w:spacing w:val="-4"/>
          <w:rtl/>
          <w:lang w:bidi="ar-EG"/>
        </w:rPr>
        <w:t>عام</w:t>
      </w:r>
      <w:r w:rsidR="00AA490A">
        <w:rPr>
          <w:rFonts w:hint="eastAsia"/>
          <w:spacing w:val="-4"/>
          <w:rtl/>
        </w:rPr>
        <w:t> </w:t>
      </w:r>
      <w:r w:rsidRPr="00AA490A">
        <w:rPr>
          <w:spacing w:val="-4"/>
          <w:rtl/>
          <w:lang w:bidi="ar-EG"/>
        </w:rPr>
        <w:t>2026 لمواصلة تشغيل المسرع باستخدام المبادرات الإقليمية المعتمدة مؤخراً في باكو من خلال اتخاذ الإجراءات التالية:</w:t>
      </w:r>
    </w:p>
    <w:p w14:paraId="78336F17" w14:textId="1484912E" w:rsidR="00196706" w:rsidRDefault="00AA490A" w:rsidP="00AA490A">
      <w:pPr>
        <w:pStyle w:val="enumlev1"/>
        <w:rPr>
          <w:rtl/>
        </w:rPr>
      </w:pPr>
      <w:r>
        <w:t>‒</w:t>
      </w:r>
      <w:r w:rsidR="00196706">
        <w:rPr>
          <w:rtl/>
        </w:rPr>
        <w:tab/>
        <w:t>عقد ورش عمل للمبادرات الإقليمية في منطقة إفريقيا ومنطقة آسيا والمحيط الهادئ.</w:t>
      </w:r>
    </w:p>
    <w:p w14:paraId="6839CB53" w14:textId="070FAFA5" w:rsidR="00196706" w:rsidRDefault="00AA490A" w:rsidP="00AA490A">
      <w:pPr>
        <w:pStyle w:val="enumlev1"/>
        <w:rPr>
          <w:rtl/>
        </w:rPr>
      </w:pPr>
      <w:r>
        <w:t>‒</w:t>
      </w:r>
      <w:r w:rsidR="00196706">
        <w:rPr>
          <w:rtl/>
        </w:rPr>
        <w:tab/>
        <w:t>إطلاق مجموعة الأدوات رسمياً.</w:t>
      </w:r>
    </w:p>
    <w:p w14:paraId="0C3A26AB" w14:textId="34A66EB8" w:rsidR="00196706" w:rsidRDefault="00AA490A" w:rsidP="00AA490A">
      <w:pPr>
        <w:pStyle w:val="enumlev1"/>
        <w:rPr>
          <w:rtl/>
        </w:rPr>
      </w:pPr>
      <w:r>
        <w:t>‒</w:t>
      </w:r>
      <w:r w:rsidR="00196706">
        <w:rPr>
          <w:rtl/>
        </w:rPr>
        <w:tab/>
        <w:t>إعداد دورة في مجال بناء القدرات وتقديمها من خلال أكاديمية الاتحاد، مع مشروع تتويجي لجميع المناطق.</w:t>
      </w:r>
    </w:p>
    <w:p w14:paraId="2DEA16BC" w14:textId="77777777" w:rsidR="00196706" w:rsidRDefault="00196706" w:rsidP="00B7470B">
      <w:pPr>
        <w:rPr>
          <w:rtl/>
          <w:lang w:bidi="ar-EG"/>
        </w:rPr>
      </w:pPr>
      <w:r>
        <w:rPr>
          <w:rtl/>
          <w:lang w:bidi="ar-EG"/>
        </w:rPr>
        <w:t>أحرز مكتب تنمية الاتصالات كذلك تقدماً كبيراً في إعداد مجموعة أدوات جديدة بشأن تسريع الابتكار والتقييس في مجال التكنولوجيات المفتوحة والناشئة، في إطار دعم تعاونه مع مكتب تقييس الاتصالات بشأن سد الفجوة التقييسية. ومن المزمع تنظيم ورشة عمل تجريبية في عام 2026 قبل إطلاق مجموعة الأدوات.</w:t>
      </w:r>
    </w:p>
    <w:p w14:paraId="0876EF03" w14:textId="77777777" w:rsidR="00196706" w:rsidRPr="00A43EEB" w:rsidRDefault="00196706" w:rsidP="00B7470B">
      <w:pPr>
        <w:rPr>
          <w:spacing w:val="-2"/>
          <w:rtl/>
          <w:lang w:bidi="ar-EG"/>
        </w:rPr>
      </w:pPr>
      <w:r w:rsidRPr="00A43EEB">
        <w:rPr>
          <w:spacing w:val="-2"/>
          <w:rtl/>
          <w:lang w:bidi="ar-EG"/>
        </w:rPr>
        <w:t>ويواصل مختبر التحول الرقمي تعزيز قدرات الابتكار الداخلية لدى الشُعب التابعة لمكتب تنمية الاتصالات وخدماته وأعضائه. فقد دعمت خبراته العديد من مبادرات الإبداع المشترك على المستوى الداخلي، بما في ذلك إشراك الموظفين واستحداث منتجات وخدمات مبتكرة في إطار دعم خطة عمل المؤتمر العالمي لتنمية الاتصالات وقراراته، فضلاً عن تقديم الدعم للدول الأعضاء في مجال الابتكار بناءً على طلبها. ويُشجَّع أعضاء الاتحاد على التواصل مع مكتب تنمية الاتصالات لمعرفة كيفية التعامل مع هذه الآلية.</w:t>
      </w:r>
      <w:r w:rsidRPr="00A43EEB">
        <w:rPr>
          <w:spacing w:val="-2"/>
          <w:cs/>
          <w:lang w:bidi="ar-EG"/>
        </w:rPr>
        <w:t>‎</w:t>
      </w:r>
    </w:p>
    <w:p w14:paraId="55BBE8DB" w14:textId="0C528C2D" w:rsidR="00196706" w:rsidRDefault="00AA490A" w:rsidP="00AA490A">
      <w:pPr>
        <w:pStyle w:val="Heading2"/>
        <w:rPr>
          <w:rtl/>
          <w:lang w:bidi="ar-EG"/>
        </w:rPr>
      </w:pPr>
      <w:r>
        <w:rPr>
          <w:lang w:bidi="ar-EG"/>
        </w:rPr>
        <w:t>4.1</w:t>
      </w:r>
      <w:r>
        <w:rPr>
          <w:lang w:bidi="ar-EG"/>
        </w:rPr>
        <w:tab/>
      </w:r>
      <w:r w:rsidR="00196706">
        <w:rPr>
          <w:rtl/>
          <w:lang w:bidi="ar-EG"/>
        </w:rPr>
        <w:t xml:space="preserve">تحديث من المؤتمر </w:t>
      </w:r>
      <w:r w:rsidR="00196706">
        <w:rPr>
          <w:lang w:bidi="ar-EG"/>
        </w:rPr>
        <w:t>WTDC-25</w:t>
      </w:r>
    </w:p>
    <w:p w14:paraId="24E0FE30" w14:textId="6CBE732D" w:rsidR="00196706" w:rsidRDefault="00196706" w:rsidP="00B7470B">
      <w:pPr>
        <w:rPr>
          <w:rtl/>
          <w:lang w:bidi="ar-EG"/>
        </w:rPr>
      </w:pPr>
      <w:r>
        <w:rPr>
          <w:rtl/>
          <w:lang w:bidi="ar-EG"/>
        </w:rPr>
        <w:t xml:space="preserve">عقب انعقاد </w:t>
      </w:r>
      <w:hyperlink r:id="rId31" w:history="1">
        <w:r w:rsidRPr="00E12E0B">
          <w:rPr>
            <w:rStyle w:val="Hyperlink"/>
            <w:rtl/>
            <w:lang w:bidi="ar-EG"/>
          </w:rPr>
          <w:t>المؤتمر العالمي لتنمية الاتصالات لعام 2025 (</w:t>
        </w:r>
        <w:r w:rsidRPr="00E12E0B">
          <w:rPr>
            <w:rStyle w:val="Hyperlink"/>
            <w:lang w:bidi="ar-EG"/>
          </w:rPr>
          <w:t>WTDC-25</w:t>
        </w:r>
        <w:r w:rsidRPr="00E12E0B">
          <w:rPr>
            <w:rStyle w:val="Hyperlink"/>
            <w:rtl/>
            <w:lang w:bidi="ar-EG"/>
          </w:rPr>
          <w:t>)</w:t>
        </w:r>
      </w:hyperlink>
      <w:r>
        <w:rPr>
          <w:rtl/>
          <w:lang w:bidi="ar-EG"/>
        </w:rPr>
        <w:t xml:space="preserve"> في باكو، جرى الاعتراف بالتحالف رسمياً في نتائج </w:t>
      </w:r>
      <w:hyperlink r:id="rId32" w:history="1">
        <w:r w:rsidRPr="00E12E0B">
          <w:rPr>
            <w:rStyle w:val="Hyperlink"/>
            <w:rtl/>
            <w:lang w:bidi="ar-EG"/>
          </w:rPr>
          <w:t>خطة عمل باكو</w:t>
        </w:r>
      </w:hyperlink>
      <w:r>
        <w:rPr>
          <w:rtl/>
          <w:lang w:bidi="ar-EG"/>
        </w:rPr>
        <w:t>:</w:t>
      </w:r>
    </w:p>
    <w:p w14:paraId="66844F1A" w14:textId="2704B29B" w:rsidR="00196706" w:rsidRDefault="00AA490A" w:rsidP="00AA490A">
      <w:pPr>
        <w:pStyle w:val="enumlev1"/>
        <w:rPr>
          <w:rtl/>
        </w:rPr>
      </w:pPr>
      <w:r>
        <w:t>‒</w:t>
      </w:r>
      <w:r w:rsidR="00196706">
        <w:rPr>
          <w:rtl/>
        </w:rPr>
        <w:tab/>
        <w:t>أُقرَّ بالدور الحاسم الذي تؤديه مراكز التحالف في تعميق الحضور الإقليمي للاتحاد، وتضمن ذلك اعتماد القرار 92 الجديد بشأن تعزيز الحضور الإقليمي.</w:t>
      </w:r>
    </w:p>
    <w:p w14:paraId="7CDB8636" w14:textId="733D271B" w:rsidR="00196706" w:rsidRDefault="00AA490A" w:rsidP="00AA490A">
      <w:pPr>
        <w:pStyle w:val="enumlev1"/>
        <w:rPr>
          <w:rtl/>
        </w:rPr>
      </w:pPr>
      <w:r>
        <w:t>‒</w:t>
      </w:r>
      <w:r w:rsidR="00196706">
        <w:rPr>
          <w:rtl/>
        </w:rPr>
        <w:tab/>
        <w:t xml:space="preserve">جرى التصديق على الأهداف رفيعة المستوى للتحالف ومنتجاته، ومنها عملية </w:t>
      </w:r>
      <w:hyperlink r:id="rId33" w:anchor="/ar" w:history="1">
        <w:r w:rsidR="00196706" w:rsidRPr="00E12E0B">
          <w:rPr>
            <w:rStyle w:val="Hyperlink"/>
            <w:rtl/>
          </w:rPr>
          <w:t>الاستشراف الاستراتيجي</w:t>
        </w:r>
      </w:hyperlink>
      <w:r w:rsidR="00196706">
        <w:rPr>
          <w:rtl/>
        </w:rPr>
        <w:t xml:space="preserve">، وإعداد نظام إيكولوجي للشراكات، ودور </w:t>
      </w:r>
      <w:hyperlink r:id="rId34" w:anchor="/ar" w:history="1">
        <w:r w:rsidR="00196706" w:rsidRPr="00E12E0B">
          <w:rPr>
            <w:rStyle w:val="Hyperlink"/>
            <w:rtl/>
          </w:rPr>
          <w:t>مسرع المبادرات الإقليمية</w:t>
        </w:r>
      </w:hyperlink>
      <w:r w:rsidR="00196706">
        <w:rPr>
          <w:rtl/>
        </w:rPr>
        <w:t xml:space="preserve">، في القرارات المعنية التي اعتُمدت في المؤتمر </w:t>
      </w:r>
      <w:r w:rsidR="00196706">
        <w:t>WTDC-25</w:t>
      </w:r>
      <w:r w:rsidR="00196706">
        <w:rPr>
          <w:rtl/>
        </w:rPr>
        <w:t>.</w:t>
      </w:r>
    </w:p>
    <w:p w14:paraId="0CB8C9CB" w14:textId="77777777" w:rsidR="00196706" w:rsidRDefault="00196706" w:rsidP="00AA490A">
      <w:pPr>
        <w:rPr>
          <w:rtl/>
        </w:rPr>
      </w:pPr>
      <w:r>
        <w:rPr>
          <w:rtl/>
        </w:rPr>
        <w:t>وبالإضافة إلى ذلك، يدعم التحالف بموجب خطة عمل باكو النتائج المتوقعة التالية في إطار أولوية التحول الرقمي:</w:t>
      </w:r>
    </w:p>
    <w:p w14:paraId="2822341C" w14:textId="71F49E4E" w:rsidR="00196706" w:rsidRDefault="00AA490A" w:rsidP="00AA490A">
      <w:pPr>
        <w:pStyle w:val="enumlev1"/>
        <w:rPr>
          <w:rtl/>
        </w:rPr>
      </w:pPr>
      <w:r>
        <w:t>‒</w:t>
      </w:r>
      <w:r w:rsidR="00196706">
        <w:rPr>
          <w:rtl/>
        </w:rPr>
        <w:tab/>
        <w:t>تعزيز القدرات الوطنية لتطوير الاتصالات/تكنولوجيات المعلومات والاتصالات المحلية واعتمادها.</w:t>
      </w:r>
    </w:p>
    <w:p w14:paraId="4335D4F6" w14:textId="581B8AE2" w:rsidR="00196706" w:rsidRDefault="00AA490A" w:rsidP="00AA490A">
      <w:pPr>
        <w:pStyle w:val="enumlev1"/>
        <w:rPr>
          <w:rtl/>
        </w:rPr>
      </w:pPr>
      <w:r>
        <w:t>‒</w:t>
      </w:r>
      <w:r w:rsidR="00196706">
        <w:rPr>
          <w:rtl/>
        </w:rPr>
        <w:tab/>
        <w:t>‏تقوية القدرة على وضع وإدماج خطط الابتكار بشأن مجال الاتصالات/تكنولوجيا المعلومات والاتصالات والرقمنة في</w:t>
      </w:r>
      <w:r w:rsidR="00A31DF9">
        <w:rPr>
          <w:rFonts w:hint="cs"/>
          <w:rtl/>
        </w:rPr>
        <w:t> </w:t>
      </w:r>
      <w:r w:rsidR="00196706">
        <w:rPr>
          <w:rtl/>
        </w:rPr>
        <w:t>خطط التنمية الوطنية.</w:t>
      </w:r>
    </w:p>
    <w:p w14:paraId="0337C374" w14:textId="6CDF5119" w:rsidR="00196706" w:rsidRDefault="00AA490A" w:rsidP="00AA490A">
      <w:pPr>
        <w:pStyle w:val="enumlev1"/>
        <w:rPr>
          <w:rtl/>
        </w:rPr>
      </w:pPr>
      <w:r>
        <w:t>‒</w:t>
      </w:r>
      <w:r w:rsidR="00196706">
        <w:rPr>
          <w:rtl/>
        </w:rPr>
        <w:tab/>
        <w:t>تعزيز قدرة أعضاء الاتحاد البشرية والمؤسسية في مجال الاتصالات/تكنولوجيا المعلومات والاتصالات على دعم التحول الرقمي.</w:t>
      </w:r>
    </w:p>
    <w:p w14:paraId="0D51E3B4" w14:textId="77777777" w:rsidR="00196706" w:rsidRDefault="00196706" w:rsidP="00B7470B">
      <w:pPr>
        <w:rPr>
          <w:rtl/>
          <w:lang w:bidi="ar-EG"/>
        </w:rPr>
      </w:pPr>
      <w:r>
        <w:rPr>
          <w:rtl/>
          <w:lang w:bidi="ar-EG"/>
        </w:rPr>
        <w:t xml:space="preserve">وقد أقرَّت القرارات الجديدة والحالية والمبادرات الإقليمية مسرع المبادرات الإقليمية في المؤتمر </w:t>
      </w:r>
      <w:r>
        <w:rPr>
          <w:lang w:bidi="ar-EG"/>
        </w:rPr>
        <w:t>WTDC-25</w:t>
      </w:r>
      <w:r>
        <w:rPr>
          <w:rtl/>
          <w:lang w:bidi="ar-EG"/>
        </w:rPr>
        <w:t>، ما يعد علامة فارقة تمهد السبيل لتحالف الابتكار من أجل المساهمة بشكل كامل في أعمال مكتب تنمية الاتصالات، ويدلل على النهج المرن والنظامي الذي يتبعه التحالف.</w:t>
      </w:r>
    </w:p>
    <w:p w14:paraId="19992A77" w14:textId="52ABDAE1" w:rsidR="00196706" w:rsidRPr="00804B02" w:rsidRDefault="00196706" w:rsidP="00B7470B">
      <w:pPr>
        <w:rPr>
          <w:spacing w:val="-2"/>
          <w:rtl/>
          <w:lang w:bidi="ar-EG"/>
        </w:rPr>
      </w:pPr>
      <w:r w:rsidRPr="00804B02">
        <w:rPr>
          <w:spacing w:val="-2"/>
          <w:rtl/>
          <w:lang w:bidi="ar-EG"/>
        </w:rPr>
        <w:t>وعلى وجه التحديد، يكلف القرار 92 (باكو، 2025) بشأن "</w:t>
      </w:r>
      <w:r w:rsidR="00804B02" w:rsidRPr="00804B02">
        <w:rPr>
          <w:spacing w:val="-2"/>
          <w:rtl/>
        </w:rPr>
        <w:t xml:space="preserve"> </w:t>
      </w:r>
      <w:r w:rsidR="00804B02" w:rsidRPr="00804B02">
        <w:rPr>
          <w:spacing w:val="-2"/>
          <w:rtl/>
          <w:lang w:bidi="ar-EG"/>
        </w:rPr>
        <w:t>توطيد دور المكاتب الإقليمية التابعة للاتحاد الدولي للاتصالات في تسريع مسيرة التحول الرقمي والاستفادة من الشراكات</w:t>
      </w:r>
      <w:r w:rsidRPr="00804B02">
        <w:rPr>
          <w:spacing w:val="-2"/>
          <w:rtl/>
          <w:lang w:bidi="ar-EG"/>
        </w:rPr>
        <w:t>"، مدير مكتب تنمية الاتصالات "</w:t>
      </w:r>
      <w:r w:rsidR="00804B02" w:rsidRPr="00804B02">
        <w:rPr>
          <w:spacing w:val="-2"/>
          <w:rtl/>
          <w:lang w:bidi="ar-EG"/>
        </w:rPr>
        <w:t>بإنشاء إطار لتسريع تنفيذ المبادرات الإقليمية داخل المكاتب الإقليمية، بالتعاون مع الدول الأعضاء والجهات الشريكة، لدعم الاشتراك في تصميم مشاريع قابلة للتنفيذ تتفق مع أولويات قطاع تنمية الاتصالات بالاتحاد والأقاليم، في حدود الموارد المتاحة</w:t>
      </w:r>
      <w:r w:rsidRPr="00804B02">
        <w:rPr>
          <w:spacing w:val="-2"/>
          <w:rtl/>
          <w:lang w:bidi="ar-EG"/>
        </w:rPr>
        <w:t>".</w:t>
      </w:r>
    </w:p>
    <w:p w14:paraId="23FED8EF" w14:textId="77777777" w:rsidR="00196706" w:rsidRDefault="00196706" w:rsidP="00E12E0B">
      <w:pPr>
        <w:keepLines/>
        <w:rPr>
          <w:rtl/>
          <w:lang w:bidi="ar-EG"/>
        </w:rPr>
      </w:pPr>
      <w:r>
        <w:rPr>
          <w:rtl/>
          <w:lang w:bidi="ar-EG"/>
        </w:rPr>
        <w:lastRenderedPageBreak/>
        <w:t xml:space="preserve">وتنعكس الحاجة المتزايدة إلى مسرع المبادرات الإقليمية كذلك في المبادرة </w:t>
      </w:r>
      <w:r>
        <w:rPr>
          <w:lang w:bidi="ar-EG"/>
        </w:rPr>
        <w:t>EUR 5</w:t>
      </w:r>
      <w:r>
        <w:rPr>
          <w:rtl/>
          <w:lang w:bidi="ar-EG"/>
        </w:rPr>
        <w:t xml:space="preserve">، التي يُتوقع أن تحقق النتيجة الآتية: "مبادرات ومشاريع بناء الأنظمة الإيكولوجية التي تنشأ بما يتواءم مع إطار تعجيل المبادرات الإقليمية من قبيل بيئات اختبار التكنولوجيا والبرامج الداعمة للشركات التكنولوجية الناشئة وريادة الأعمال لإحداث تأثير ملموس"، والمبادرة </w:t>
      </w:r>
      <w:r>
        <w:rPr>
          <w:lang w:bidi="ar-EG"/>
        </w:rPr>
        <w:t>AFR 4</w:t>
      </w:r>
      <w:r>
        <w:rPr>
          <w:rtl/>
          <w:lang w:bidi="ar-EG"/>
        </w:rPr>
        <w:t xml:space="preserve"> التي يُتوقع أن تحقق نتيجة تهدف إلى "الاستفادة من أطر تسريع المبادرات الإقليمية وأطر مقاهي الابتكار التي طورها تحالف الابتكار وريادة الأعمال لدعم تحقيق المبادرات الإقليمية."</w:t>
      </w:r>
    </w:p>
    <w:p w14:paraId="02D51EE2" w14:textId="5A3EF92A" w:rsidR="00196706" w:rsidRDefault="00196706" w:rsidP="00B7470B">
      <w:pPr>
        <w:rPr>
          <w:rtl/>
          <w:lang w:bidi="ar-EG"/>
        </w:rPr>
      </w:pPr>
      <w:r>
        <w:rPr>
          <w:rtl/>
          <w:lang w:bidi="ar-EG"/>
        </w:rPr>
        <w:t>وقد تعزز وضع التحالف في عدد من القرارات الجديدة والمراجَعة، ومنها:</w:t>
      </w:r>
    </w:p>
    <w:p w14:paraId="450E7BF6" w14:textId="58F72F04" w:rsidR="00196706" w:rsidRDefault="00E12E0B" w:rsidP="00E12E0B">
      <w:pPr>
        <w:pStyle w:val="enumlev1"/>
        <w:rPr>
          <w:rtl/>
        </w:rPr>
      </w:pPr>
      <w:r>
        <w:t>‒</w:t>
      </w:r>
      <w:r w:rsidR="00196706">
        <w:rPr>
          <w:rtl/>
        </w:rPr>
        <w:tab/>
        <w:t xml:space="preserve">القرار 17 (المراجَع في باكو، 2025)، </w:t>
      </w:r>
      <w:r w:rsidR="00DA53EF" w:rsidRPr="00DA53EF">
        <w:rPr>
          <w:rtl/>
        </w:rPr>
        <w:t>تعبئة الموارد وتنفيذ المبادرات الإقليمية المعتمدة والتعاون بشأنها</w:t>
      </w:r>
      <w:r w:rsidR="00196706">
        <w:rPr>
          <w:rtl/>
        </w:rPr>
        <w:t>.</w:t>
      </w:r>
    </w:p>
    <w:p w14:paraId="57B662E0" w14:textId="5E26D21C" w:rsidR="00196706" w:rsidRDefault="00E12E0B" w:rsidP="00E12E0B">
      <w:pPr>
        <w:pStyle w:val="enumlev1"/>
        <w:rPr>
          <w:rtl/>
        </w:rPr>
      </w:pPr>
      <w:r>
        <w:t>‒</w:t>
      </w:r>
      <w:r w:rsidR="00196706">
        <w:rPr>
          <w:rtl/>
        </w:rPr>
        <w:tab/>
        <w:t>القرار 85 (المراجَع في باكو، 2025)، تيسير إنترنت الأشياء والمدن والمجتمعات الذكية المستدامة، بما في ذلك القرى، من أجل التنمية العالمية.</w:t>
      </w:r>
    </w:p>
    <w:p w14:paraId="0AFBFDA6" w14:textId="3BA84178" w:rsidR="00196706" w:rsidRDefault="00E12E0B" w:rsidP="00E12E0B">
      <w:pPr>
        <w:pStyle w:val="enumlev1"/>
        <w:rPr>
          <w:rtl/>
        </w:rPr>
      </w:pPr>
      <w:r>
        <w:t>‒</w:t>
      </w:r>
      <w:r w:rsidR="00196706">
        <w:rPr>
          <w:rtl/>
        </w:rPr>
        <w:tab/>
        <w:t>القرار 89 (المراجَع في باكو، 2025)، التحول الرقمي من أجل التنمية المستدامة.</w:t>
      </w:r>
    </w:p>
    <w:p w14:paraId="003E8DB8" w14:textId="5B94B55D" w:rsidR="00196706" w:rsidRDefault="00E12E0B" w:rsidP="00DA53EF">
      <w:pPr>
        <w:pStyle w:val="enumlev1"/>
        <w:rPr>
          <w:rtl/>
        </w:rPr>
      </w:pPr>
      <w:r>
        <w:t>‒</w:t>
      </w:r>
      <w:r w:rsidR="00196706">
        <w:rPr>
          <w:rtl/>
        </w:rPr>
        <w:tab/>
        <w:t xml:space="preserve">القرار 90 (المراجَع في باكو، 2025)، </w:t>
      </w:r>
      <w:r w:rsidR="00DA53EF">
        <w:rPr>
          <w:rtl/>
        </w:rPr>
        <w:t>تعزيز ريادة الأعمال في مجال الاتصالات/تكنولوجيا المعلومات والاتصالات</w:t>
      </w:r>
      <w:r w:rsidR="00DA53EF">
        <w:t xml:space="preserve"> </w:t>
      </w:r>
      <w:r w:rsidR="00DA53EF">
        <w:rPr>
          <w:rtl/>
        </w:rPr>
        <w:t>والأنظمة الإيكولوجية للابتكار الرقمي من أجل تحقيق التنمية الرقمية المستدامة</w:t>
      </w:r>
      <w:r w:rsidR="00196706">
        <w:rPr>
          <w:rtl/>
        </w:rPr>
        <w:t>.</w:t>
      </w:r>
    </w:p>
    <w:p w14:paraId="7ACF7919" w14:textId="23D8A3E5" w:rsidR="00196706" w:rsidRDefault="00E12E0B" w:rsidP="00E12E0B">
      <w:pPr>
        <w:pStyle w:val="enumlev1"/>
        <w:rPr>
          <w:rtl/>
        </w:rPr>
      </w:pPr>
      <w:r>
        <w:t>‒</w:t>
      </w:r>
      <w:r w:rsidR="00196706">
        <w:rPr>
          <w:rtl/>
        </w:rPr>
        <w:tab/>
        <w:t xml:space="preserve">القرار 92 (المراجَع في باكو، 2025) </w:t>
      </w:r>
      <w:r w:rsidR="00DA53EF" w:rsidRPr="00DA53EF">
        <w:rPr>
          <w:rtl/>
        </w:rPr>
        <w:t>توطيد دور المكاتب الإقليمية التابعة للاتحاد الدولي للاتصالات في تسريع مسيرة التحول الرقمي والاستفادة من الشراكات</w:t>
      </w:r>
      <w:r w:rsidR="00196706">
        <w:rPr>
          <w:rtl/>
        </w:rPr>
        <w:t>.</w:t>
      </w:r>
    </w:p>
    <w:p w14:paraId="0465A933" w14:textId="77777777" w:rsidR="00196706" w:rsidRDefault="00196706" w:rsidP="00DA53EF">
      <w:pPr>
        <w:rPr>
          <w:rtl/>
          <w:lang w:bidi="ar-EG"/>
        </w:rPr>
      </w:pPr>
      <w:r>
        <w:rPr>
          <w:rtl/>
          <w:lang w:bidi="ar-EG"/>
        </w:rPr>
        <w:t>هذا بالإضافة إلى مساهمته في القرار 205 لمؤتمر المندوبين المفوضين لعام 2022 (</w:t>
      </w:r>
      <w:r>
        <w:rPr>
          <w:lang w:bidi="ar-EG"/>
        </w:rPr>
        <w:t>PP-22</w:t>
      </w:r>
      <w:r>
        <w:rPr>
          <w:rtl/>
          <w:lang w:bidi="ar-EG"/>
        </w:rPr>
        <w:t>).</w:t>
      </w:r>
    </w:p>
    <w:p w14:paraId="4B18C7CB" w14:textId="77777777" w:rsidR="00196706" w:rsidRDefault="00196706" w:rsidP="00DA53EF">
      <w:pPr>
        <w:rPr>
          <w:rtl/>
          <w:lang w:bidi="ar-EG"/>
        </w:rPr>
      </w:pPr>
      <w:r>
        <w:rPr>
          <w:rtl/>
          <w:lang w:bidi="ar-EG"/>
        </w:rPr>
        <w:t xml:space="preserve">وتؤكد هذه القرارات أهمية تشجيع الابتكار القائم على تكنولوجيا المعلومات والاتصالات للنهوض بالاقتصاد والمجتمع الرقميين، وتؤكد من جديد دور مكتب تنمية الاتصالات القيادي في تشجيع الابتكار لخدمة التنمية الرقمية، تماشياً مع الخطة الاستراتيجية للاتحاد المصوغة في القرار </w:t>
      </w:r>
      <w:r>
        <w:rPr>
          <w:cs/>
          <w:lang w:bidi="ar-EG"/>
        </w:rPr>
        <w:t>‎</w:t>
      </w:r>
      <w:r>
        <w:rPr>
          <w:lang w:bidi="ar-EG"/>
        </w:rPr>
        <w:t>71</w:t>
      </w:r>
      <w:r>
        <w:rPr>
          <w:rtl/>
          <w:lang w:bidi="ar-EG"/>
        </w:rPr>
        <w:t xml:space="preserve"> ‏لمؤتمر المندوبين المفوضين (المراجَع في بوخارست، 2022).</w:t>
      </w:r>
    </w:p>
    <w:p w14:paraId="10B58E6A" w14:textId="77777777" w:rsidR="00196706" w:rsidRDefault="00196706" w:rsidP="00DA53EF">
      <w:pPr>
        <w:rPr>
          <w:rtl/>
          <w:lang w:bidi="ar-EG"/>
        </w:rPr>
      </w:pPr>
      <w:r>
        <w:rPr>
          <w:rtl/>
          <w:lang w:bidi="ar-EG"/>
        </w:rPr>
        <w:t>وبالإضافة إلى ذلك، يرتبط العديد من المبادرات الإقليمية المعتمدة مؤخراً في باكو ارتباطاً مباشراً بقدرات التحالف، وتعزز ولايته وأهدافه. وتشمل هذه المبادرات، على سبيل المثال لا الحصر:</w:t>
      </w:r>
    </w:p>
    <w:p w14:paraId="20253FEB" w14:textId="6E95E524" w:rsidR="00196706" w:rsidRDefault="006A3F57" w:rsidP="006A3F57">
      <w:pPr>
        <w:pStyle w:val="enumlev1"/>
        <w:rPr>
          <w:rtl/>
        </w:rPr>
      </w:pPr>
      <w:r>
        <w:t>‒</w:t>
      </w:r>
      <w:r w:rsidR="00196706">
        <w:rPr>
          <w:rtl/>
        </w:rPr>
        <w:tab/>
      </w:r>
      <w:r w:rsidR="00196706">
        <w:t>AFR4</w:t>
      </w:r>
      <w:r w:rsidR="00196706">
        <w:rPr>
          <w:rtl/>
        </w:rPr>
        <w:t xml:space="preserve">: </w:t>
      </w:r>
      <w:r w:rsidR="00DA53EF" w:rsidRPr="00DA53EF">
        <w:rPr>
          <w:rtl/>
        </w:rPr>
        <w:t>تطوير التطبيقات الرقمية والشركات بالغة الصغر والصغيرة والمتوسطة، والنظام الإيكولوجي للابتكار الرقمي</w:t>
      </w:r>
    </w:p>
    <w:p w14:paraId="5011D1D1" w14:textId="7E7BBEA0" w:rsidR="00196706" w:rsidRDefault="006A3F57" w:rsidP="006A3F57">
      <w:pPr>
        <w:pStyle w:val="enumlev1"/>
        <w:rPr>
          <w:rtl/>
        </w:rPr>
      </w:pPr>
      <w:r>
        <w:t>‒</w:t>
      </w:r>
      <w:r w:rsidR="00196706">
        <w:rPr>
          <w:rtl/>
        </w:rPr>
        <w:tab/>
      </w:r>
      <w:r w:rsidR="00196706">
        <w:t>AMS3</w:t>
      </w:r>
      <w:r w:rsidR="00196706">
        <w:rPr>
          <w:rtl/>
        </w:rPr>
        <w:t xml:space="preserve">: </w:t>
      </w:r>
      <w:r w:rsidR="00DA53EF" w:rsidRPr="00DA53EF">
        <w:rPr>
          <w:rtl/>
        </w:rPr>
        <w:t>دعم الأنظمة الإيكولوجية الرقمية المبتكرة واعتماد التكنولوجيات الناشئة واستخدامها</w:t>
      </w:r>
      <w:r w:rsidR="00196706">
        <w:rPr>
          <w:rtl/>
        </w:rPr>
        <w:t>.</w:t>
      </w:r>
    </w:p>
    <w:p w14:paraId="56AB28A6" w14:textId="078475EA" w:rsidR="00196706" w:rsidRDefault="006A3F57" w:rsidP="006A3F57">
      <w:pPr>
        <w:pStyle w:val="enumlev1"/>
        <w:rPr>
          <w:rtl/>
        </w:rPr>
      </w:pPr>
      <w:r>
        <w:t>‒</w:t>
      </w:r>
      <w:r w:rsidR="00196706">
        <w:rPr>
          <w:rtl/>
        </w:rPr>
        <w:tab/>
      </w:r>
      <w:r w:rsidR="00196706">
        <w:t>ARB4</w:t>
      </w:r>
      <w:r w:rsidR="00196706">
        <w:rPr>
          <w:rtl/>
        </w:rPr>
        <w:t xml:space="preserve">: </w:t>
      </w:r>
      <w:r w:rsidR="00DA53EF" w:rsidRPr="00DA53EF">
        <w:rPr>
          <w:rtl/>
        </w:rPr>
        <w:t>الأنظمة الإيكولوجية للابتكار لدعم اعتماد ونمو التكنولوجيات الناشئة، بما في ذلك الذكاء الاصطناعي</w:t>
      </w:r>
      <w:r w:rsidR="00196706">
        <w:rPr>
          <w:rtl/>
        </w:rPr>
        <w:t>.</w:t>
      </w:r>
    </w:p>
    <w:p w14:paraId="7F434D74" w14:textId="06C8065F" w:rsidR="00196706" w:rsidRDefault="006A3F57" w:rsidP="006A3F57">
      <w:pPr>
        <w:pStyle w:val="enumlev1"/>
        <w:rPr>
          <w:rtl/>
        </w:rPr>
      </w:pPr>
      <w:r>
        <w:t>‒</w:t>
      </w:r>
      <w:r w:rsidR="00196706">
        <w:rPr>
          <w:rtl/>
        </w:rPr>
        <w:tab/>
      </w:r>
      <w:r w:rsidR="00196706">
        <w:t>ASP4</w:t>
      </w:r>
      <w:r w:rsidR="00196706">
        <w:rPr>
          <w:rtl/>
        </w:rPr>
        <w:t xml:space="preserve">: </w:t>
      </w:r>
      <w:r w:rsidR="00DA53EF" w:rsidRPr="00DA53EF">
        <w:rPr>
          <w:rtl/>
        </w:rPr>
        <w:t>تمكين قطاع مبتكر ومستدام للاتصالات/تكنولوجيا المعلومات والاتصالات</w:t>
      </w:r>
    </w:p>
    <w:p w14:paraId="53FF6396" w14:textId="6D52002F" w:rsidR="00196706" w:rsidRDefault="006A3F57" w:rsidP="006A3F57">
      <w:pPr>
        <w:pStyle w:val="enumlev1"/>
        <w:rPr>
          <w:rtl/>
        </w:rPr>
      </w:pPr>
      <w:r>
        <w:t>‒</w:t>
      </w:r>
      <w:r w:rsidR="00196706">
        <w:rPr>
          <w:rtl/>
        </w:rPr>
        <w:tab/>
      </w:r>
      <w:r w:rsidR="00196706">
        <w:t>CIS4</w:t>
      </w:r>
      <w:r w:rsidR="00196706">
        <w:rPr>
          <w:rtl/>
        </w:rPr>
        <w:t xml:space="preserve">: </w:t>
      </w:r>
      <w:r w:rsidR="00DA53EF" w:rsidRPr="00DA53EF">
        <w:rPr>
          <w:rtl/>
        </w:rPr>
        <w:t>البيئة التمكينية وتنظيم الاتصالات/تكنولوجيات المعلومات والاتصالات</w:t>
      </w:r>
    </w:p>
    <w:p w14:paraId="079C427E" w14:textId="46922083" w:rsidR="00196706" w:rsidRDefault="006A3F57" w:rsidP="006A3F57">
      <w:pPr>
        <w:pStyle w:val="enumlev1"/>
        <w:rPr>
          <w:rtl/>
        </w:rPr>
      </w:pPr>
      <w:r>
        <w:t>‒</w:t>
      </w:r>
      <w:r w:rsidR="00196706">
        <w:rPr>
          <w:rtl/>
        </w:rPr>
        <w:tab/>
      </w:r>
      <w:r w:rsidR="00196706">
        <w:t>EUR5</w:t>
      </w:r>
      <w:r w:rsidR="00196706">
        <w:rPr>
          <w:rtl/>
        </w:rPr>
        <w:t>: الأنظمة الإيكولوجية للابتكار الرقمي.</w:t>
      </w:r>
    </w:p>
    <w:p w14:paraId="10AF9CD0" w14:textId="77777777" w:rsidR="00196706" w:rsidRDefault="00196706" w:rsidP="00B7470B">
      <w:pPr>
        <w:rPr>
          <w:rtl/>
          <w:lang w:bidi="ar-EG"/>
        </w:rPr>
      </w:pPr>
      <w:r>
        <w:rPr>
          <w:rtl/>
          <w:lang w:bidi="ar-EG"/>
        </w:rPr>
        <w:t>وآلية التحالف قادرة في جوهرها، مع إطلاق مسرع المبادرات الإقليمية، على معالجة جميع المبادرات الإقليمية للاتحاد، بصرف النظر عن مواضيعها.</w:t>
      </w:r>
    </w:p>
    <w:p w14:paraId="3C1FA484" w14:textId="3D447FF4" w:rsidR="00196706" w:rsidRDefault="00196706" w:rsidP="00311DCB">
      <w:pPr>
        <w:pStyle w:val="Headingb"/>
        <w:rPr>
          <w:rtl/>
          <w:lang w:bidi="ar-EG"/>
        </w:rPr>
      </w:pPr>
      <w:r>
        <w:rPr>
          <w:rtl/>
          <w:lang w:bidi="ar-EG"/>
        </w:rPr>
        <w:t>آفاق المستقبل</w:t>
      </w:r>
    </w:p>
    <w:p w14:paraId="24F72456" w14:textId="77777777" w:rsidR="00196706" w:rsidRDefault="00196706" w:rsidP="00B7470B">
      <w:pPr>
        <w:rPr>
          <w:rtl/>
          <w:lang w:bidi="ar-EG"/>
        </w:rPr>
      </w:pPr>
      <w:r>
        <w:rPr>
          <w:rtl/>
          <w:lang w:bidi="ar-EG"/>
        </w:rPr>
        <w:t>سيواصل مكتب تنمية الاتصالات تفعيل جميع أذرع التحالف، وتسريع وتيرة تأثيره على أعمال الاتحاد.</w:t>
      </w:r>
    </w:p>
    <w:p w14:paraId="3839BC8D" w14:textId="77777777" w:rsidR="00196706" w:rsidRDefault="00196706" w:rsidP="00B7470B">
      <w:pPr>
        <w:rPr>
          <w:rtl/>
          <w:lang w:bidi="ar-EG"/>
        </w:rPr>
      </w:pPr>
      <w:r>
        <w:rPr>
          <w:rtl/>
          <w:lang w:bidi="ar-EG"/>
        </w:rPr>
        <w:t>‏وسيعزز المكتب أعمال التحالف ومبادراته بالأنشطة التالية، على سبيل المثال لا الحصر:</w:t>
      </w:r>
      <w:r>
        <w:rPr>
          <w:cs/>
          <w:lang w:bidi="ar-EG"/>
        </w:rPr>
        <w:t>‎</w:t>
      </w:r>
    </w:p>
    <w:p w14:paraId="1A0347BD" w14:textId="77777777" w:rsidR="00196706" w:rsidRDefault="00196706" w:rsidP="00B7470B">
      <w:pPr>
        <w:rPr>
          <w:rtl/>
          <w:lang w:bidi="ar-EG"/>
        </w:rPr>
      </w:pPr>
      <w:r>
        <w:rPr>
          <w:rtl/>
          <w:lang w:bidi="ar-EG"/>
        </w:rPr>
        <w:t>‏مواصلة إعداد وتنفيذ أدلة للمراكز التابعة للتحالف وبرامج لبناء قدراتها.</w:t>
      </w:r>
    </w:p>
    <w:p w14:paraId="0AE3E153" w14:textId="23B5419C" w:rsidR="00196706" w:rsidRDefault="00311DCB" w:rsidP="00311DCB">
      <w:pPr>
        <w:pStyle w:val="enumlev1"/>
        <w:rPr>
          <w:rtl/>
        </w:rPr>
      </w:pPr>
      <w:r>
        <w:t>‒</w:t>
      </w:r>
      <w:r w:rsidR="00196706">
        <w:rPr>
          <w:rtl/>
        </w:rPr>
        <w:tab/>
        <w:t>دعم المراكز في تقديم الخدمات إلى مجتمعاتها المحلية، والوفاء بولاياتها.</w:t>
      </w:r>
    </w:p>
    <w:p w14:paraId="6347E173" w14:textId="2D6CB9B7" w:rsidR="00196706" w:rsidRDefault="00311DCB" w:rsidP="00311DCB">
      <w:pPr>
        <w:pStyle w:val="enumlev1"/>
        <w:rPr>
          <w:rtl/>
        </w:rPr>
      </w:pPr>
      <w:r>
        <w:t>‒</w:t>
      </w:r>
      <w:r w:rsidR="00196706">
        <w:rPr>
          <w:rtl/>
        </w:rPr>
        <w:tab/>
        <w:t>استكشاف الفرص المتاحة للبلدان أو المنظمات للانضمام إلى التحالف أو إقامة شراكات معه، والإسهام في أعماله.</w:t>
      </w:r>
    </w:p>
    <w:p w14:paraId="57A0F0BD" w14:textId="698F44C5" w:rsidR="00196706" w:rsidRDefault="00311DCB" w:rsidP="00311DCB">
      <w:pPr>
        <w:pStyle w:val="enumlev1"/>
        <w:rPr>
          <w:rtl/>
        </w:rPr>
      </w:pPr>
      <w:r>
        <w:t>‒</w:t>
      </w:r>
      <w:r w:rsidR="00196706">
        <w:rPr>
          <w:rtl/>
        </w:rPr>
        <w:tab/>
        <w:t>تجريب مجموعة الأدوات المتعلقة بتسريع الابتكار والتقييس في مجال التكنولوجيات المفتوحة والناشئة، بالتعاون مع مكتب تقييس الاتصالات.</w:t>
      </w:r>
    </w:p>
    <w:p w14:paraId="54405515" w14:textId="27CC7D20" w:rsidR="00196706" w:rsidRDefault="00311DCB" w:rsidP="00311DCB">
      <w:pPr>
        <w:pStyle w:val="enumlev1"/>
        <w:rPr>
          <w:rtl/>
        </w:rPr>
      </w:pPr>
      <w:r>
        <w:t>‒</w:t>
      </w:r>
      <w:r w:rsidR="00196706">
        <w:rPr>
          <w:rtl/>
        </w:rPr>
        <w:tab/>
        <w:t>‏مواصلة تعزيز مركز الابتكار بمكتب الاتحاد لمنطقة جنوب آسيا.</w:t>
      </w:r>
    </w:p>
    <w:p w14:paraId="430CD8FA" w14:textId="0786D7CE" w:rsidR="00196706" w:rsidRDefault="00311DCB" w:rsidP="00311DCB">
      <w:pPr>
        <w:pStyle w:val="enumlev1"/>
        <w:rPr>
          <w:rtl/>
        </w:rPr>
      </w:pPr>
      <w:r>
        <w:t>‒</w:t>
      </w:r>
      <w:r w:rsidR="00196706">
        <w:rPr>
          <w:rtl/>
        </w:rPr>
        <w:tab/>
        <w:t>مواصلة تفعيل شبكة الخبراء وخرائط الطريق الخاصة بها، والعمل على استدامتها.</w:t>
      </w:r>
    </w:p>
    <w:p w14:paraId="5EECBA32" w14:textId="5221117D" w:rsidR="00196706" w:rsidRDefault="00311DCB" w:rsidP="00F64A81">
      <w:pPr>
        <w:pStyle w:val="enumlev1"/>
        <w:keepNext/>
        <w:rPr>
          <w:rtl/>
        </w:rPr>
      </w:pPr>
      <w:r>
        <w:lastRenderedPageBreak/>
        <w:t>‒</w:t>
      </w:r>
      <w:r w:rsidR="00196706">
        <w:rPr>
          <w:rtl/>
        </w:rPr>
        <w:tab/>
        <w:t>مواصلة تفعيل مسرع المبادرات الإقليمية، وإشراك أعضاء الاتحاد في استخدامه.</w:t>
      </w:r>
    </w:p>
    <w:p w14:paraId="3AB00607" w14:textId="3D22010A" w:rsidR="00196706" w:rsidRDefault="00311DCB" w:rsidP="00311DCB">
      <w:pPr>
        <w:pStyle w:val="enumlev1"/>
        <w:rPr>
          <w:rtl/>
        </w:rPr>
      </w:pPr>
      <w:r>
        <w:t>‒</w:t>
      </w:r>
      <w:r w:rsidR="00196706">
        <w:rPr>
          <w:rtl/>
        </w:rPr>
        <w:tab/>
        <w:t>إقامة شراكات إضافية مع الأمم المتحدة والمنظمات الدولية الأخرى المعنية.</w:t>
      </w:r>
    </w:p>
    <w:p w14:paraId="518A4A84" w14:textId="0DE409AC" w:rsidR="0019128D" w:rsidRDefault="00196706" w:rsidP="00B7470B">
      <w:pPr>
        <w:rPr>
          <w:lang w:bidi="ar-EG"/>
        </w:rPr>
      </w:pPr>
      <w:r>
        <w:rPr>
          <w:rtl/>
          <w:lang w:bidi="ar-EG"/>
        </w:rPr>
        <w:t>‏ويُدعى الفريق الاستشاري لتنمية الاتصالات إلى الإحاطة علماً بهذا التقرير وإسداء المشورة حسبما يراه لازماً.</w:t>
      </w:r>
    </w:p>
    <w:p w14:paraId="41598E82" w14:textId="77777777" w:rsidR="007B4FA0" w:rsidRDefault="00153471" w:rsidP="00153471">
      <w:pPr>
        <w:spacing w:before="600"/>
        <w:jc w:val="center"/>
        <w:rPr>
          <w:lang w:bidi="ar-EG"/>
        </w:rPr>
      </w:pPr>
      <w:r w:rsidRPr="00FC4592">
        <w:rPr>
          <w:rFonts w:hint="cs"/>
          <w:rtl/>
          <w:lang w:bidi="ar-EG"/>
        </w:rPr>
        <w:t>ــــــــــــــــــــــــــــــــــــــــــــــــــــــــــــــــــــــــــــــــــــــــــــــــ</w:t>
      </w:r>
    </w:p>
    <w:sectPr w:rsidR="007B4FA0" w:rsidSect="006C3242">
      <w:headerReference w:type="default" r:id="rId35"/>
      <w:footerReference w:type="first" r:id="rId36"/>
      <w:type w:val="oddPage"/>
      <w:pgSz w:w="11907" w:h="16840" w:code="9"/>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448D2B" w14:textId="77777777" w:rsidR="007C0D2A" w:rsidRDefault="007C0D2A" w:rsidP="006C3242">
      <w:pPr>
        <w:spacing w:before="0" w:line="240" w:lineRule="auto"/>
      </w:pPr>
      <w:r>
        <w:separator/>
      </w:r>
    </w:p>
  </w:endnote>
  <w:endnote w:type="continuationSeparator" w:id="0">
    <w:p w14:paraId="5FC4C75D" w14:textId="77777777" w:rsidR="007C0D2A" w:rsidRDefault="007C0D2A" w:rsidP="006C324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0" w:type="auto"/>
      <w:tblLook w:val="04A0" w:firstRow="1" w:lastRow="0" w:firstColumn="1" w:lastColumn="0" w:noHBand="0" w:noVBand="1"/>
      <w:tblCaption w:val="اسم الشخص الذي يمكن الاتصال به بشأن الوثيقة وبيانات الاتصال الخاصة به"/>
    </w:tblPr>
    <w:tblGrid>
      <w:gridCol w:w="991"/>
      <w:gridCol w:w="2411"/>
      <w:gridCol w:w="6237"/>
    </w:tblGrid>
    <w:tr w:rsidR="00AD1E92" w:rsidRPr="00AD1E92" w14:paraId="78FE0C83" w14:textId="77777777" w:rsidTr="00031158">
      <w:tc>
        <w:tcPr>
          <w:tcW w:w="991" w:type="dxa"/>
          <w:tcBorders>
            <w:top w:val="single" w:sz="4" w:space="0" w:color="auto"/>
            <w:left w:val="nil"/>
            <w:bottom w:val="nil"/>
            <w:right w:val="nil"/>
          </w:tcBorders>
          <w:shd w:val="clear" w:color="auto" w:fill="FFFFFF" w:themeFill="background1"/>
          <w:hideMark/>
        </w:tcPr>
        <w:p w14:paraId="4E23E647" w14:textId="77777777" w:rsidR="00AD1E92" w:rsidRPr="00AD1E92" w:rsidRDefault="00AD1E92" w:rsidP="00AD1E92">
          <w:pPr>
            <w:spacing w:before="60" w:after="40" w:line="260" w:lineRule="exact"/>
            <w:rPr>
              <w:position w:val="2"/>
              <w:sz w:val="18"/>
              <w:szCs w:val="18"/>
              <w:lang w:val="en-GB"/>
            </w:rPr>
          </w:pPr>
          <w:r w:rsidRPr="00AD1E92">
            <w:rPr>
              <w:position w:val="2"/>
              <w:sz w:val="18"/>
              <w:szCs w:val="18"/>
              <w:rtl/>
              <w:lang w:val="fr-FR" w:bidi="ar-EG"/>
            </w:rPr>
            <w:t>للاتصال:</w:t>
          </w:r>
        </w:p>
      </w:tc>
      <w:tc>
        <w:tcPr>
          <w:tcW w:w="2411" w:type="dxa"/>
          <w:tcBorders>
            <w:top w:val="single" w:sz="4" w:space="0" w:color="auto"/>
            <w:left w:val="nil"/>
            <w:bottom w:val="nil"/>
            <w:right w:val="nil"/>
          </w:tcBorders>
          <w:shd w:val="clear" w:color="auto" w:fill="FFFFFF" w:themeFill="background1"/>
          <w:hideMark/>
        </w:tcPr>
        <w:p w14:paraId="524619B8" w14:textId="77777777" w:rsidR="00AD1E92" w:rsidRPr="00AD1E92" w:rsidRDefault="00AD1E92" w:rsidP="00AD1E92">
          <w:pPr>
            <w:spacing w:before="60" w:after="40" w:line="260" w:lineRule="exact"/>
            <w:rPr>
              <w:position w:val="2"/>
              <w:sz w:val="18"/>
              <w:szCs w:val="18"/>
              <w:lang w:val="en-GB"/>
            </w:rPr>
          </w:pPr>
          <w:r w:rsidRPr="00AD1E92">
            <w:rPr>
              <w:position w:val="2"/>
              <w:sz w:val="18"/>
              <w:szCs w:val="18"/>
              <w:rtl/>
              <w:lang w:val="fr-FR" w:bidi="ar-EG"/>
            </w:rPr>
            <w:t>الاسم/المنظمة/الكيان:</w:t>
          </w:r>
        </w:p>
      </w:tc>
      <w:tc>
        <w:tcPr>
          <w:tcW w:w="6237" w:type="dxa"/>
          <w:tcBorders>
            <w:top w:val="single" w:sz="4" w:space="0" w:color="auto"/>
            <w:left w:val="nil"/>
            <w:bottom w:val="nil"/>
            <w:right w:val="nil"/>
          </w:tcBorders>
          <w:shd w:val="clear" w:color="auto" w:fill="FFFFFF" w:themeFill="background1"/>
        </w:tcPr>
        <w:p w14:paraId="66557F35" w14:textId="430C5280" w:rsidR="00AD1E92" w:rsidRPr="00AD1E92" w:rsidRDefault="00196706" w:rsidP="00AD1E92">
          <w:pPr>
            <w:spacing w:before="60" w:after="40" w:line="260" w:lineRule="exact"/>
            <w:rPr>
              <w:position w:val="2"/>
              <w:sz w:val="18"/>
              <w:szCs w:val="18"/>
              <w:lang w:val="en-GB"/>
            </w:rPr>
          </w:pPr>
          <w:r w:rsidRPr="00196706">
            <w:rPr>
              <w:position w:val="2"/>
              <w:sz w:val="18"/>
              <w:szCs w:val="18"/>
              <w:rtl/>
              <w:lang w:val="fr-FR" w:bidi="ar-EG"/>
            </w:rPr>
            <w:t xml:space="preserve">السيدة </w:t>
          </w:r>
          <w:r w:rsidRPr="00196706">
            <w:rPr>
              <w:position w:val="2"/>
              <w:sz w:val="18"/>
              <w:szCs w:val="18"/>
              <w:lang w:val="fr-FR" w:bidi="ar-EG"/>
            </w:rPr>
            <w:t>Sofie Maddens</w:t>
          </w:r>
          <w:r w:rsidRPr="00196706">
            <w:rPr>
              <w:position w:val="2"/>
              <w:sz w:val="18"/>
              <w:szCs w:val="18"/>
              <w:rtl/>
              <w:lang w:val="fr-FR" w:bidi="ar-EG"/>
            </w:rPr>
            <w:t>، رئيسة دائرة مجتمع المعرفة الرقمية، مكتب تنمية الاتصالات</w:t>
          </w:r>
        </w:p>
      </w:tc>
    </w:tr>
    <w:tr w:rsidR="00196706" w:rsidRPr="00AD1E92" w14:paraId="2484E81B" w14:textId="77777777" w:rsidTr="00031158">
      <w:tc>
        <w:tcPr>
          <w:tcW w:w="991" w:type="dxa"/>
        </w:tcPr>
        <w:p w14:paraId="4532EBE2" w14:textId="77777777" w:rsidR="00196706" w:rsidRPr="00AD1E92" w:rsidRDefault="00196706" w:rsidP="00196706">
          <w:pPr>
            <w:spacing w:before="60" w:after="40" w:line="260" w:lineRule="exact"/>
            <w:rPr>
              <w:position w:val="2"/>
              <w:sz w:val="18"/>
              <w:szCs w:val="18"/>
              <w:lang w:val="en-GB"/>
            </w:rPr>
          </w:pPr>
        </w:p>
      </w:tc>
      <w:tc>
        <w:tcPr>
          <w:tcW w:w="2411" w:type="dxa"/>
          <w:hideMark/>
        </w:tcPr>
        <w:p w14:paraId="4D902554" w14:textId="77777777" w:rsidR="00196706" w:rsidRPr="00AD1E92" w:rsidRDefault="00196706" w:rsidP="00196706">
          <w:pPr>
            <w:spacing w:before="60" w:after="40" w:line="260" w:lineRule="exact"/>
            <w:rPr>
              <w:position w:val="2"/>
              <w:sz w:val="18"/>
              <w:szCs w:val="18"/>
              <w:lang w:val="en-GB"/>
            </w:rPr>
          </w:pPr>
          <w:r w:rsidRPr="00AD1E92">
            <w:rPr>
              <w:position w:val="2"/>
              <w:sz w:val="18"/>
              <w:szCs w:val="18"/>
              <w:rtl/>
              <w:lang w:val="fr-FR" w:bidi="ar-EG"/>
            </w:rPr>
            <w:t>رقم الهاتف:</w:t>
          </w:r>
        </w:p>
      </w:tc>
      <w:tc>
        <w:tcPr>
          <w:tcW w:w="6237" w:type="dxa"/>
        </w:tcPr>
        <w:p w14:paraId="2DF4D465" w14:textId="5E301DDA" w:rsidR="00196706" w:rsidRPr="00196706" w:rsidRDefault="00196706" w:rsidP="00196706">
          <w:pPr>
            <w:spacing w:before="60" w:after="40" w:line="260" w:lineRule="exact"/>
            <w:rPr>
              <w:position w:val="2"/>
              <w:sz w:val="18"/>
              <w:szCs w:val="18"/>
              <w:lang w:val="fr-FR" w:bidi="ar-EG"/>
            </w:rPr>
          </w:pPr>
          <w:r w:rsidRPr="00196706">
            <w:rPr>
              <w:position w:val="2"/>
              <w:sz w:val="18"/>
              <w:szCs w:val="18"/>
              <w:lang w:val="fr-FR" w:bidi="ar-EG"/>
            </w:rPr>
            <w:t>+41 22 730 6256</w:t>
          </w:r>
        </w:p>
      </w:tc>
    </w:tr>
    <w:tr w:rsidR="00196706" w:rsidRPr="00AD1E92" w14:paraId="184E3370" w14:textId="77777777" w:rsidTr="00031158">
      <w:tc>
        <w:tcPr>
          <w:tcW w:w="991" w:type="dxa"/>
        </w:tcPr>
        <w:p w14:paraId="19C91D3E" w14:textId="77777777" w:rsidR="00196706" w:rsidRPr="00AD1E92" w:rsidRDefault="00196706" w:rsidP="00196706">
          <w:pPr>
            <w:spacing w:before="60" w:after="40" w:line="260" w:lineRule="exact"/>
            <w:rPr>
              <w:position w:val="2"/>
              <w:sz w:val="18"/>
              <w:szCs w:val="18"/>
              <w:lang w:val="en-GB"/>
            </w:rPr>
          </w:pPr>
        </w:p>
      </w:tc>
      <w:tc>
        <w:tcPr>
          <w:tcW w:w="2411" w:type="dxa"/>
          <w:hideMark/>
        </w:tcPr>
        <w:p w14:paraId="5373874C" w14:textId="77777777" w:rsidR="00196706" w:rsidRPr="00AD1E92" w:rsidRDefault="00196706" w:rsidP="00196706">
          <w:pPr>
            <w:spacing w:before="60" w:after="40" w:line="260" w:lineRule="exact"/>
            <w:rPr>
              <w:position w:val="2"/>
              <w:sz w:val="18"/>
              <w:szCs w:val="18"/>
              <w:lang w:val="en-GB"/>
            </w:rPr>
          </w:pPr>
          <w:r w:rsidRPr="00AD1E92">
            <w:rPr>
              <w:position w:val="2"/>
              <w:sz w:val="18"/>
              <w:szCs w:val="18"/>
              <w:rtl/>
              <w:lang w:val="fr-FR" w:bidi="ar-EG"/>
            </w:rPr>
            <w:t>البريد الإلكتروني:</w:t>
          </w:r>
        </w:p>
      </w:tc>
      <w:tc>
        <w:tcPr>
          <w:tcW w:w="6237" w:type="dxa"/>
        </w:tcPr>
        <w:p w14:paraId="121A5C28" w14:textId="562D5C6F" w:rsidR="00196706" w:rsidRPr="00AD1E92" w:rsidRDefault="007D7962" w:rsidP="00196706">
          <w:pPr>
            <w:spacing w:before="60" w:after="40" w:line="260" w:lineRule="exact"/>
            <w:rPr>
              <w:position w:val="2"/>
              <w:sz w:val="18"/>
              <w:szCs w:val="18"/>
              <w:rtl/>
              <w:lang w:val="fr-FR" w:bidi="ar-EG"/>
            </w:rPr>
          </w:pPr>
          <w:hyperlink r:id="rId1" w:history="1">
            <w:r w:rsidR="00196706" w:rsidRPr="00882839">
              <w:rPr>
                <w:rStyle w:val="Hyperlink"/>
                <w:position w:val="2"/>
                <w:sz w:val="18"/>
                <w:szCs w:val="18"/>
                <w:lang w:val="fr-FR" w:bidi="ar-EG"/>
              </w:rPr>
              <w:t>sofie.maddens@itu.int</w:t>
            </w:r>
          </w:hyperlink>
        </w:p>
      </w:tc>
    </w:tr>
  </w:tbl>
  <w:p w14:paraId="0B181F6A" w14:textId="77777777" w:rsidR="00AD1E92" w:rsidRPr="004A0B7B" w:rsidRDefault="00AD1E92">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25238" w14:textId="77777777" w:rsidR="007C0D2A" w:rsidRDefault="007C0D2A" w:rsidP="006C3242">
      <w:pPr>
        <w:spacing w:before="0" w:line="240" w:lineRule="auto"/>
      </w:pPr>
      <w:r>
        <w:separator/>
      </w:r>
    </w:p>
  </w:footnote>
  <w:footnote w:type="continuationSeparator" w:id="0">
    <w:p w14:paraId="71F1E1A8" w14:textId="77777777" w:rsidR="007C0D2A" w:rsidRDefault="007C0D2A" w:rsidP="006C324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tl/>
      </w:rPr>
      <w:id w:val="-1375531529"/>
      <w:docPartObj>
        <w:docPartGallery w:val="Page Numbers (Top of Page)"/>
        <w:docPartUnique/>
      </w:docPartObj>
    </w:sdtPr>
    <w:sdtEndPr>
      <w:rPr>
        <w:rFonts w:cs="Calibri"/>
        <w:noProof/>
        <w:sz w:val="18"/>
        <w:szCs w:val="18"/>
      </w:rPr>
    </w:sdtEndPr>
    <w:sdtContent>
      <w:p w14:paraId="56C4BF1A" w14:textId="722D3BBB" w:rsidR="00882A17" w:rsidRPr="00FC3D2F" w:rsidRDefault="00882A17" w:rsidP="004F0F62">
        <w:pPr>
          <w:pStyle w:val="Header"/>
          <w:tabs>
            <w:tab w:val="clear" w:pos="794"/>
            <w:tab w:val="clear" w:pos="4680"/>
            <w:tab w:val="clear" w:pos="9360"/>
            <w:tab w:val="center" w:pos="4819"/>
            <w:tab w:val="right" w:pos="9639"/>
          </w:tabs>
          <w:spacing w:before="120" w:line="192" w:lineRule="auto"/>
          <w:rPr>
            <w:sz w:val="20"/>
            <w:szCs w:val="20"/>
            <w:rtl/>
            <w:lang w:bidi="ar-EG"/>
          </w:rPr>
        </w:pPr>
        <w:r w:rsidRPr="00FC3D2F">
          <w:rPr>
            <w:sz w:val="20"/>
            <w:szCs w:val="20"/>
          </w:rPr>
          <w:tab/>
        </w:r>
        <w:r w:rsidR="00983DA5">
          <w:rPr>
            <w:sz w:val="20"/>
            <w:szCs w:val="20"/>
            <w:lang w:val="es-ES_tradnl"/>
          </w:rPr>
          <w:t>TDAG</w:t>
        </w:r>
        <w:r>
          <w:rPr>
            <w:sz w:val="20"/>
            <w:szCs w:val="20"/>
            <w:lang w:val="es-ES_tradnl"/>
          </w:rPr>
          <w:t>-2</w:t>
        </w:r>
        <w:bookmarkStart w:id="1" w:name="DocNo2"/>
        <w:bookmarkEnd w:id="1"/>
        <w:r w:rsidR="00105EF4">
          <w:rPr>
            <w:sz w:val="20"/>
            <w:szCs w:val="20"/>
            <w:lang w:val="es-ES_tradnl"/>
          </w:rPr>
          <w:t>6</w:t>
        </w:r>
        <w:r w:rsidR="004F0F62" w:rsidRPr="004F0F62">
          <w:rPr>
            <w:sz w:val="20"/>
            <w:szCs w:val="20"/>
            <w:lang w:val="es-ES_tradnl"/>
          </w:rPr>
          <w:t>/</w:t>
        </w:r>
        <w:r w:rsidR="00196706">
          <w:rPr>
            <w:sz w:val="20"/>
            <w:szCs w:val="20"/>
            <w:lang w:val="es-ES_tradnl"/>
          </w:rPr>
          <w:t>21</w:t>
        </w:r>
        <w:r w:rsidRPr="00FC3D2F">
          <w:rPr>
            <w:sz w:val="20"/>
            <w:szCs w:val="20"/>
            <w:lang w:val="en-GB"/>
          </w:rPr>
          <w:t>-A</w:t>
        </w:r>
        <w:r w:rsidRPr="00FC3D2F">
          <w:rPr>
            <w:sz w:val="20"/>
            <w:szCs w:val="20"/>
            <w:rtl/>
            <w:lang w:bidi="ar-EG"/>
          </w:rPr>
          <w:tab/>
        </w:r>
        <w:r w:rsidRPr="00FC3D2F">
          <w:rPr>
            <w:rFonts w:hint="cs"/>
            <w:sz w:val="20"/>
            <w:szCs w:val="20"/>
            <w:rtl/>
          </w:rPr>
          <w:t>الصفحة</w:t>
        </w:r>
        <w:r w:rsidRPr="00FC3D2F">
          <w:rPr>
            <w:rFonts w:hint="cs"/>
            <w:sz w:val="20"/>
            <w:szCs w:val="20"/>
            <w:rtl/>
            <w:lang w:bidi="ar-EG"/>
          </w:rPr>
          <w:t xml:space="preserve"> </w:t>
        </w:r>
        <w:r w:rsidRPr="00FC3D2F">
          <w:rPr>
            <w:sz w:val="20"/>
            <w:szCs w:val="20"/>
            <w:lang w:val="en-GB"/>
          </w:rPr>
          <w:fldChar w:fldCharType="begin"/>
        </w:r>
        <w:r w:rsidRPr="00FC3D2F">
          <w:rPr>
            <w:sz w:val="20"/>
            <w:szCs w:val="20"/>
            <w:lang w:val="en-GB"/>
          </w:rPr>
          <w:instrText xml:space="preserve"> PAGE </w:instrText>
        </w:r>
        <w:r w:rsidRPr="00FC3D2F">
          <w:rPr>
            <w:sz w:val="20"/>
            <w:szCs w:val="20"/>
            <w:lang w:val="en-GB"/>
          </w:rPr>
          <w:fldChar w:fldCharType="separate"/>
        </w:r>
        <w:r>
          <w:rPr>
            <w:sz w:val="20"/>
            <w:szCs w:val="20"/>
            <w:lang w:val="en-GB"/>
          </w:rPr>
          <w:t>2</w:t>
        </w:r>
        <w:r w:rsidRPr="00FC3D2F">
          <w:rPr>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CC4D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8CC1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8648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866A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52F6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EA1B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E469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48CB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C27F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CA24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2B3D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1052376">
    <w:abstractNumId w:val="9"/>
  </w:num>
  <w:num w:numId="2" w16cid:durableId="1147554591">
    <w:abstractNumId w:val="7"/>
  </w:num>
  <w:num w:numId="3" w16cid:durableId="1041170884">
    <w:abstractNumId w:val="6"/>
  </w:num>
  <w:num w:numId="4" w16cid:durableId="1808467772">
    <w:abstractNumId w:val="5"/>
  </w:num>
  <w:num w:numId="5" w16cid:durableId="939215603">
    <w:abstractNumId w:val="4"/>
  </w:num>
  <w:num w:numId="6" w16cid:durableId="1171480664">
    <w:abstractNumId w:val="8"/>
  </w:num>
  <w:num w:numId="7" w16cid:durableId="1511486152">
    <w:abstractNumId w:val="3"/>
  </w:num>
  <w:num w:numId="8" w16cid:durableId="1234042883">
    <w:abstractNumId w:val="2"/>
  </w:num>
  <w:num w:numId="9" w16cid:durableId="285890177">
    <w:abstractNumId w:val="1"/>
  </w:num>
  <w:num w:numId="10" w16cid:durableId="1410539016">
    <w:abstractNumId w:val="0"/>
  </w:num>
  <w:num w:numId="11" w16cid:durableId="17734767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9E9"/>
    <w:rsid w:val="00026D7C"/>
    <w:rsid w:val="0006468A"/>
    <w:rsid w:val="0008573A"/>
    <w:rsid w:val="00090574"/>
    <w:rsid w:val="000C1C0E"/>
    <w:rsid w:val="000C548A"/>
    <w:rsid w:val="00105EF4"/>
    <w:rsid w:val="00122FA5"/>
    <w:rsid w:val="00145668"/>
    <w:rsid w:val="00153471"/>
    <w:rsid w:val="0019128D"/>
    <w:rsid w:val="00196706"/>
    <w:rsid w:val="001C0169"/>
    <w:rsid w:val="001D1D50"/>
    <w:rsid w:val="001D6745"/>
    <w:rsid w:val="001E446E"/>
    <w:rsid w:val="0021016E"/>
    <w:rsid w:val="002154EE"/>
    <w:rsid w:val="002276D2"/>
    <w:rsid w:val="0023283D"/>
    <w:rsid w:val="0026373E"/>
    <w:rsid w:val="00271C43"/>
    <w:rsid w:val="00290728"/>
    <w:rsid w:val="002978F4"/>
    <w:rsid w:val="002B028D"/>
    <w:rsid w:val="002B3317"/>
    <w:rsid w:val="002D695E"/>
    <w:rsid w:val="002E6541"/>
    <w:rsid w:val="00311DCB"/>
    <w:rsid w:val="00317741"/>
    <w:rsid w:val="00334924"/>
    <w:rsid w:val="003409BC"/>
    <w:rsid w:val="00352462"/>
    <w:rsid w:val="00357185"/>
    <w:rsid w:val="00383829"/>
    <w:rsid w:val="003971E3"/>
    <w:rsid w:val="003C4402"/>
    <w:rsid w:val="003F4B29"/>
    <w:rsid w:val="004200BD"/>
    <w:rsid w:val="0042686F"/>
    <w:rsid w:val="004317D8"/>
    <w:rsid w:val="00434183"/>
    <w:rsid w:val="00443869"/>
    <w:rsid w:val="00447F32"/>
    <w:rsid w:val="00457D22"/>
    <w:rsid w:val="004A0B7B"/>
    <w:rsid w:val="004E11DC"/>
    <w:rsid w:val="004F0F62"/>
    <w:rsid w:val="004F3C48"/>
    <w:rsid w:val="00506E94"/>
    <w:rsid w:val="00525DDD"/>
    <w:rsid w:val="005409AC"/>
    <w:rsid w:val="0055516A"/>
    <w:rsid w:val="0058491B"/>
    <w:rsid w:val="005874F2"/>
    <w:rsid w:val="00592EA5"/>
    <w:rsid w:val="00596D75"/>
    <w:rsid w:val="005A3170"/>
    <w:rsid w:val="005B2C89"/>
    <w:rsid w:val="005C0C76"/>
    <w:rsid w:val="005D610E"/>
    <w:rsid w:val="005D63D6"/>
    <w:rsid w:val="005E1E6D"/>
    <w:rsid w:val="006128FC"/>
    <w:rsid w:val="00677396"/>
    <w:rsid w:val="0069200F"/>
    <w:rsid w:val="006A3F57"/>
    <w:rsid w:val="006A5FEC"/>
    <w:rsid w:val="006A65CB"/>
    <w:rsid w:val="006B266A"/>
    <w:rsid w:val="006C3242"/>
    <w:rsid w:val="006C7CC0"/>
    <w:rsid w:val="006E4285"/>
    <w:rsid w:val="006F63F7"/>
    <w:rsid w:val="007025C7"/>
    <w:rsid w:val="007063D0"/>
    <w:rsid w:val="00706D7A"/>
    <w:rsid w:val="00722F0D"/>
    <w:rsid w:val="0074420E"/>
    <w:rsid w:val="0074742E"/>
    <w:rsid w:val="00747A70"/>
    <w:rsid w:val="00783A69"/>
    <w:rsid w:val="00783E26"/>
    <w:rsid w:val="007A1D77"/>
    <w:rsid w:val="007B4FA0"/>
    <w:rsid w:val="007C0D2A"/>
    <w:rsid w:val="007C3BC7"/>
    <w:rsid w:val="007C3BCD"/>
    <w:rsid w:val="007D345C"/>
    <w:rsid w:val="007D4ACF"/>
    <w:rsid w:val="007D7962"/>
    <w:rsid w:val="007F0787"/>
    <w:rsid w:val="00804B02"/>
    <w:rsid w:val="00810B7B"/>
    <w:rsid w:val="0082358A"/>
    <w:rsid w:val="008235CD"/>
    <w:rsid w:val="008247DE"/>
    <w:rsid w:val="00837DAE"/>
    <w:rsid w:val="00840B10"/>
    <w:rsid w:val="008513CB"/>
    <w:rsid w:val="00855F97"/>
    <w:rsid w:val="008562F3"/>
    <w:rsid w:val="00874F08"/>
    <w:rsid w:val="00882A17"/>
    <w:rsid w:val="008903F7"/>
    <w:rsid w:val="008A7F84"/>
    <w:rsid w:val="0091702E"/>
    <w:rsid w:val="0092283E"/>
    <w:rsid w:val="00923B0C"/>
    <w:rsid w:val="0094021C"/>
    <w:rsid w:val="0094065A"/>
    <w:rsid w:val="00952F86"/>
    <w:rsid w:val="00957084"/>
    <w:rsid w:val="00982B28"/>
    <w:rsid w:val="00983DA5"/>
    <w:rsid w:val="009D313F"/>
    <w:rsid w:val="00A15396"/>
    <w:rsid w:val="00A24359"/>
    <w:rsid w:val="00A31DF9"/>
    <w:rsid w:val="00A43EEB"/>
    <w:rsid w:val="00A47A5A"/>
    <w:rsid w:val="00A6683B"/>
    <w:rsid w:val="00A97F94"/>
    <w:rsid w:val="00AA490A"/>
    <w:rsid w:val="00AA7EA2"/>
    <w:rsid w:val="00AD1E92"/>
    <w:rsid w:val="00AD65F9"/>
    <w:rsid w:val="00B03099"/>
    <w:rsid w:val="00B05BC8"/>
    <w:rsid w:val="00B319BC"/>
    <w:rsid w:val="00B64B47"/>
    <w:rsid w:val="00B7470B"/>
    <w:rsid w:val="00B93B7B"/>
    <w:rsid w:val="00BC4B48"/>
    <w:rsid w:val="00C002DE"/>
    <w:rsid w:val="00C53BF8"/>
    <w:rsid w:val="00C56B5F"/>
    <w:rsid w:val="00C66157"/>
    <w:rsid w:val="00C674FE"/>
    <w:rsid w:val="00C67501"/>
    <w:rsid w:val="00C75633"/>
    <w:rsid w:val="00C85CB5"/>
    <w:rsid w:val="00C94E55"/>
    <w:rsid w:val="00CA08BA"/>
    <w:rsid w:val="00CE2EE1"/>
    <w:rsid w:val="00CE3349"/>
    <w:rsid w:val="00CE36E5"/>
    <w:rsid w:val="00CF27F5"/>
    <w:rsid w:val="00CF3FFD"/>
    <w:rsid w:val="00CF4342"/>
    <w:rsid w:val="00D10CCF"/>
    <w:rsid w:val="00D77D0F"/>
    <w:rsid w:val="00D8311F"/>
    <w:rsid w:val="00D84440"/>
    <w:rsid w:val="00DA1CF0"/>
    <w:rsid w:val="00DA53EF"/>
    <w:rsid w:val="00DC1E02"/>
    <w:rsid w:val="00DC24B4"/>
    <w:rsid w:val="00DC29E9"/>
    <w:rsid w:val="00DC5FB0"/>
    <w:rsid w:val="00DF16DC"/>
    <w:rsid w:val="00E12E0B"/>
    <w:rsid w:val="00E43176"/>
    <w:rsid w:val="00E45211"/>
    <w:rsid w:val="00E473C5"/>
    <w:rsid w:val="00E92863"/>
    <w:rsid w:val="00EB796D"/>
    <w:rsid w:val="00EE5CF2"/>
    <w:rsid w:val="00F058DC"/>
    <w:rsid w:val="00F17716"/>
    <w:rsid w:val="00F24FC4"/>
    <w:rsid w:val="00F2676C"/>
    <w:rsid w:val="00F43D01"/>
    <w:rsid w:val="00F64A81"/>
    <w:rsid w:val="00F74958"/>
    <w:rsid w:val="00F77022"/>
    <w:rsid w:val="00F84366"/>
    <w:rsid w:val="00F85089"/>
    <w:rsid w:val="00F974C5"/>
    <w:rsid w:val="00FA6F46"/>
    <w:rsid w:val="00FE5872"/>
    <w:rsid w:val="00FE7FC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51F41A"/>
  <w15:chartTrackingRefBased/>
  <w15:docId w15:val="{0D8438AE-DE5A-44E3-87D6-9F1D7E6BC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668"/>
    <w:pPr>
      <w:tabs>
        <w:tab w:val="left" w:pos="794"/>
      </w:tabs>
      <w:bidi/>
      <w:spacing w:before="120" w:after="120" w:line="192" w:lineRule="auto"/>
      <w:jc w:val="both"/>
    </w:pPr>
    <w:rPr>
      <w:rFonts w:ascii="Dubai" w:hAnsi="Dubai" w:cs="Dubai"/>
    </w:rPr>
  </w:style>
  <w:style w:type="paragraph" w:styleId="Heading1">
    <w:name w:val="heading 1"/>
    <w:basedOn w:val="Normal"/>
    <w:next w:val="Normal"/>
    <w:link w:val="Heading1Char"/>
    <w:uiPriority w:val="9"/>
    <w:qFormat/>
    <w:rsid w:val="00F974C5"/>
    <w:pPr>
      <w:keepNext/>
      <w:keepLines/>
      <w:spacing w:before="360"/>
      <w:ind w:left="794" w:hanging="794"/>
      <w:outlineLvl w:val="0"/>
    </w:pPr>
    <w:rPr>
      <w:rFonts w:eastAsiaTheme="majorEastAsia"/>
      <w:b/>
      <w:bCs/>
      <w:sz w:val="26"/>
      <w:szCs w:val="26"/>
    </w:rPr>
  </w:style>
  <w:style w:type="paragraph" w:styleId="Heading2">
    <w:name w:val="heading 2"/>
    <w:basedOn w:val="Normal"/>
    <w:next w:val="Normal"/>
    <w:link w:val="Heading2Char"/>
    <w:uiPriority w:val="9"/>
    <w:unhideWhenUsed/>
    <w:qFormat/>
    <w:rsid w:val="00F974C5"/>
    <w:pPr>
      <w:keepNext/>
      <w:keepLines/>
      <w:spacing w:before="300"/>
      <w:ind w:left="794" w:hanging="794"/>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F974C5"/>
    <w:pPr>
      <w:keepNext/>
      <w:keepLines/>
      <w:spacing w:before="240"/>
      <w:ind w:left="794" w:hanging="794"/>
      <w:outlineLvl w:val="2"/>
    </w:pPr>
    <w:rPr>
      <w:rFonts w:eastAsiaTheme="majorEastAsia"/>
      <w:b/>
      <w:bCs/>
    </w:rPr>
  </w:style>
  <w:style w:type="paragraph" w:styleId="Heading4">
    <w:name w:val="heading 4"/>
    <w:basedOn w:val="Normal"/>
    <w:next w:val="Normal"/>
    <w:link w:val="Heading4Char"/>
    <w:uiPriority w:val="9"/>
    <w:unhideWhenUsed/>
    <w:qFormat/>
    <w:rsid w:val="00F974C5"/>
    <w:pPr>
      <w:keepNext/>
      <w:keepLines/>
      <w:spacing w:before="160"/>
      <w:ind w:left="794" w:hanging="794"/>
      <w:outlineLvl w:val="3"/>
    </w:pPr>
    <w:rPr>
      <w:rFonts w:eastAsiaTheme="majorEastAsia"/>
      <w:b/>
      <w:bCs/>
    </w:rPr>
  </w:style>
  <w:style w:type="paragraph" w:styleId="Heading5">
    <w:name w:val="heading 5"/>
    <w:basedOn w:val="Normal"/>
    <w:next w:val="Normal"/>
    <w:link w:val="Heading5Char"/>
    <w:uiPriority w:val="9"/>
    <w:unhideWhenUsed/>
    <w:qFormat/>
    <w:rsid w:val="00F974C5"/>
    <w:pPr>
      <w:keepNext/>
      <w:keepLines/>
      <w:ind w:left="1134" w:hanging="1134"/>
      <w:outlineLvl w:val="4"/>
    </w:pPr>
    <w:rPr>
      <w:rFonts w:eastAsiaTheme="majorEastAsia"/>
      <w:b/>
      <w:bCs/>
    </w:rPr>
  </w:style>
  <w:style w:type="paragraph" w:styleId="Heading6">
    <w:name w:val="heading 6"/>
    <w:basedOn w:val="Normal"/>
    <w:next w:val="Normal"/>
    <w:link w:val="Heading6Char"/>
    <w:uiPriority w:val="9"/>
    <w:unhideWhenUsed/>
    <w:qFormat/>
    <w:rsid w:val="00F974C5"/>
    <w:pPr>
      <w:keepNext/>
      <w:keepLines/>
      <w:spacing w:before="160"/>
      <w:ind w:left="1134" w:hanging="1134"/>
      <w:outlineLvl w:val="5"/>
    </w:pPr>
    <w:rPr>
      <w:rFonts w:eastAsiaTheme="majorEastAsia"/>
      <w:b/>
      <w:bCs/>
    </w:rPr>
  </w:style>
  <w:style w:type="paragraph" w:styleId="Heading7">
    <w:name w:val="heading 7"/>
    <w:basedOn w:val="Normal"/>
    <w:next w:val="Normal"/>
    <w:link w:val="Heading7Char"/>
    <w:uiPriority w:val="9"/>
    <w:unhideWhenUsed/>
    <w:qFormat/>
    <w:rsid w:val="00F974C5"/>
    <w:pPr>
      <w:keepNext/>
      <w:keepLines/>
      <w:spacing w:before="160"/>
      <w:ind w:left="1134" w:hanging="1134"/>
      <w:outlineLvl w:val="6"/>
    </w:pPr>
    <w:rPr>
      <w:rFonts w:eastAsiaTheme="majorEastAsia"/>
      <w:b/>
      <w:bCs/>
    </w:rPr>
  </w:style>
  <w:style w:type="paragraph" w:styleId="Heading8">
    <w:name w:val="heading 8"/>
    <w:basedOn w:val="Normal"/>
    <w:next w:val="Normal"/>
    <w:link w:val="Heading8Char"/>
    <w:uiPriority w:val="9"/>
    <w:unhideWhenUsed/>
    <w:qFormat/>
    <w:rsid w:val="00F974C5"/>
    <w:pPr>
      <w:keepNext/>
      <w:keepLines/>
      <w:spacing w:before="160"/>
      <w:ind w:left="1134" w:hanging="1134"/>
      <w:outlineLvl w:val="7"/>
    </w:pPr>
    <w:rPr>
      <w:rFonts w:eastAsiaTheme="majorEastAsia"/>
      <w:b/>
      <w:bCs/>
    </w:rPr>
  </w:style>
  <w:style w:type="paragraph" w:styleId="Heading9">
    <w:name w:val="heading 9"/>
    <w:basedOn w:val="Normal"/>
    <w:next w:val="Normal"/>
    <w:link w:val="Heading9Char"/>
    <w:uiPriority w:val="9"/>
    <w:unhideWhenUsed/>
    <w:qFormat/>
    <w:rsid w:val="00F974C5"/>
    <w:pPr>
      <w:keepNext/>
      <w:keepLines/>
      <w:spacing w:before="160"/>
      <w:ind w:left="1134" w:hanging="1134"/>
      <w:outlineLvl w:val="8"/>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7C3BC7"/>
    <w:pPr>
      <w:spacing w:after="0" w:line="240" w:lineRule="auto"/>
    </w:pPr>
    <w:rPr>
      <w:color w:val="FF0000"/>
    </w:rPr>
  </w:style>
  <w:style w:type="character" w:customStyle="1" w:styleId="Heading1Char">
    <w:name w:val="Heading 1 Char"/>
    <w:basedOn w:val="DefaultParagraphFont"/>
    <w:link w:val="Heading1"/>
    <w:uiPriority w:val="9"/>
    <w:rsid w:val="00F974C5"/>
    <w:rPr>
      <w:rFonts w:ascii="Dubai" w:eastAsiaTheme="majorEastAsia" w:hAnsi="Dubai" w:cs="Dubai"/>
      <w:b/>
      <w:bCs/>
      <w:sz w:val="26"/>
      <w:szCs w:val="26"/>
    </w:rPr>
  </w:style>
  <w:style w:type="character" w:customStyle="1" w:styleId="Heading2Char">
    <w:name w:val="Heading 2 Char"/>
    <w:basedOn w:val="DefaultParagraphFont"/>
    <w:link w:val="Heading2"/>
    <w:uiPriority w:val="9"/>
    <w:rsid w:val="00F974C5"/>
    <w:rPr>
      <w:rFonts w:ascii="Dubai" w:eastAsiaTheme="majorEastAsia" w:hAnsi="Dubai" w:cs="Dubai"/>
      <w:b/>
      <w:bCs/>
      <w:sz w:val="24"/>
      <w:szCs w:val="24"/>
    </w:rPr>
  </w:style>
  <w:style w:type="character" w:customStyle="1" w:styleId="Heading3Char">
    <w:name w:val="Heading 3 Char"/>
    <w:basedOn w:val="DefaultParagraphFont"/>
    <w:link w:val="Heading3"/>
    <w:uiPriority w:val="9"/>
    <w:rsid w:val="00F974C5"/>
    <w:rPr>
      <w:rFonts w:ascii="Dubai" w:eastAsiaTheme="majorEastAsia" w:hAnsi="Dubai" w:cs="Dubai"/>
      <w:b/>
      <w:bCs/>
    </w:rPr>
  </w:style>
  <w:style w:type="character" w:customStyle="1" w:styleId="Heading4Char">
    <w:name w:val="Heading 4 Char"/>
    <w:basedOn w:val="DefaultParagraphFont"/>
    <w:link w:val="Heading4"/>
    <w:uiPriority w:val="9"/>
    <w:rsid w:val="00F974C5"/>
    <w:rPr>
      <w:rFonts w:ascii="Dubai" w:eastAsiaTheme="majorEastAsia" w:hAnsi="Dubai" w:cs="Dubai"/>
      <w:b/>
      <w:bCs/>
    </w:rPr>
  </w:style>
  <w:style w:type="character" w:customStyle="1" w:styleId="Heading5Char">
    <w:name w:val="Heading 5 Char"/>
    <w:basedOn w:val="DefaultParagraphFont"/>
    <w:link w:val="Heading5"/>
    <w:uiPriority w:val="9"/>
    <w:rsid w:val="00F974C5"/>
    <w:rPr>
      <w:rFonts w:ascii="Dubai" w:eastAsiaTheme="majorEastAsia" w:hAnsi="Dubai" w:cs="Dubai"/>
      <w:b/>
      <w:bCs/>
    </w:rPr>
  </w:style>
  <w:style w:type="character" w:customStyle="1" w:styleId="Heading6Char">
    <w:name w:val="Heading 6 Char"/>
    <w:basedOn w:val="DefaultParagraphFont"/>
    <w:link w:val="Heading6"/>
    <w:uiPriority w:val="9"/>
    <w:rsid w:val="00F974C5"/>
    <w:rPr>
      <w:rFonts w:ascii="Dubai" w:eastAsiaTheme="majorEastAsia" w:hAnsi="Dubai" w:cs="Dubai"/>
      <w:b/>
      <w:bCs/>
    </w:rPr>
  </w:style>
  <w:style w:type="character" w:customStyle="1" w:styleId="Heading7Char">
    <w:name w:val="Heading 7 Char"/>
    <w:basedOn w:val="DefaultParagraphFont"/>
    <w:link w:val="Heading7"/>
    <w:uiPriority w:val="9"/>
    <w:rsid w:val="00F974C5"/>
    <w:rPr>
      <w:rFonts w:ascii="Dubai" w:eastAsiaTheme="majorEastAsia" w:hAnsi="Dubai" w:cs="Dubai"/>
      <w:b/>
      <w:bCs/>
    </w:rPr>
  </w:style>
  <w:style w:type="character" w:customStyle="1" w:styleId="Heading8Char">
    <w:name w:val="Heading 8 Char"/>
    <w:basedOn w:val="DefaultParagraphFont"/>
    <w:link w:val="Heading8"/>
    <w:uiPriority w:val="9"/>
    <w:rsid w:val="00F974C5"/>
    <w:rPr>
      <w:rFonts w:ascii="Dubai" w:eastAsiaTheme="majorEastAsia" w:hAnsi="Dubai" w:cs="Dubai"/>
      <w:b/>
      <w:bCs/>
    </w:rPr>
  </w:style>
  <w:style w:type="character" w:customStyle="1" w:styleId="Heading9Char">
    <w:name w:val="Heading 9 Char"/>
    <w:basedOn w:val="DefaultParagraphFont"/>
    <w:link w:val="Heading9"/>
    <w:uiPriority w:val="9"/>
    <w:rsid w:val="00F974C5"/>
    <w:rPr>
      <w:rFonts w:ascii="Dubai" w:eastAsiaTheme="majorEastAsia" w:hAnsi="Dubai" w:cs="Dubai"/>
      <w:b/>
      <w:bCs/>
    </w:rPr>
  </w:style>
  <w:style w:type="paragraph" w:customStyle="1" w:styleId="HeadingI">
    <w:name w:val="Heading I"/>
    <w:basedOn w:val="Normal"/>
    <w:qFormat/>
    <w:rsid w:val="00F974C5"/>
    <w:pPr>
      <w:keepNext/>
      <w:keepLines/>
      <w:spacing w:before="160"/>
    </w:pPr>
    <w:rPr>
      <w:i/>
      <w:iCs/>
    </w:rPr>
  </w:style>
  <w:style w:type="paragraph" w:customStyle="1" w:styleId="AgendaItem">
    <w:name w:val="Agenda Item"/>
    <w:basedOn w:val="Normal"/>
    <w:qFormat/>
    <w:rsid w:val="00F974C5"/>
    <w:pPr>
      <w:spacing w:before="360"/>
      <w:jc w:val="center"/>
    </w:pPr>
    <w:rPr>
      <w:sz w:val="26"/>
      <w:szCs w:val="26"/>
      <w:lang w:bidi="ar-SY"/>
    </w:rPr>
  </w:style>
  <w:style w:type="paragraph" w:customStyle="1" w:styleId="AnnexNo">
    <w:name w:val="Annex No"/>
    <w:basedOn w:val="AgendaItem"/>
    <w:qFormat/>
    <w:rsid w:val="00F974C5"/>
  </w:style>
  <w:style w:type="paragraph" w:customStyle="1" w:styleId="Annextitle">
    <w:name w:val="Annex title"/>
    <w:basedOn w:val="AnnexNo"/>
    <w:qFormat/>
    <w:rsid w:val="00F974C5"/>
    <w:pPr>
      <w:keepNext/>
      <w:keepLines/>
      <w:spacing w:before="120" w:after="360"/>
    </w:pPr>
    <w:rPr>
      <w:b/>
      <w:bCs/>
      <w:sz w:val="28"/>
      <w:szCs w:val="28"/>
    </w:rPr>
  </w:style>
  <w:style w:type="character" w:styleId="PlaceholderText">
    <w:name w:val="Placeholder Text"/>
    <w:basedOn w:val="DefaultParagraphFont"/>
    <w:uiPriority w:val="99"/>
    <w:semiHidden/>
    <w:rsid w:val="00DC24B4"/>
    <w:rPr>
      <w:color w:val="808080"/>
    </w:rPr>
  </w:style>
  <w:style w:type="paragraph" w:styleId="Footer">
    <w:name w:val="footer"/>
    <w:basedOn w:val="Normal"/>
    <w:link w:val="FooterChar"/>
    <w:rsid w:val="00F974C5"/>
    <w:pPr>
      <w:tabs>
        <w:tab w:val="center" w:pos="4153"/>
        <w:tab w:val="right" w:pos="8306"/>
      </w:tabs>
      <w:bidi w:val="0"/>
      <w:spacing w:before="0" w:line="240" w:lineRule="auto"/>
      <w:jc w:val="left"/>
    </w:pPr>
    <w:rPr>
      <w:rFonts w:eastAsia="Times New Roman"/>
      <w:sz w:val="20"/>
      <w:szCs w:val="20"/>
      <w:lang w:eastAsia="en-US"/>
    </w:rPr>
  </w:style>
  <w:style w:type="character" w:customStyle="1" w:styleId="FooterChar">
    <w:name w:val="Footer Char"/>
    <w:basedOn w:val="DefaultParagraphFont"/>
    <w:link w:val="Footer"/>
    <w:rsid w:val="00F974C5"/>
    <w:rPr>
      <w:rFonts w:ascii="Dubai" w:eastAsia="Times New Roman" w:hAnsi="Dubai" w:cs="Dubai"/>
      <w:sz w:val="20"/>
      <w:szCs w:val="20"/>
      <w:lang w:eastAsia="en-US"/>
    </w:rPr>
  </w:style>
  <w:style w:type="paragraph" w:customStyle="1" w:styleId="Referencetitle">
    <w:name w:val="Reference title"/>
    <w:basedOn w:val="Normal"/>
    <w:qFormat/>
    <w:rsid w:val="00F974C5"/>
    <w:pPr>
      <w:keepNext/>
      <w:spacing w:after="360"/>
      <w:jc w:val="center"/>
    </w:pPr>
    <w:rPr>
      <w:lang w:bidi="ar-SY"/>
    </w:rPr>
  </w:style>
  <w:style w:type="paragraph" w:customStyle="1" w:styleId="AppendixNo">
    <w:name w:val="Appendix No"/>
    <w:basedOn w:val="Normal"/>
    <w:qFormat/>
    <w:rsid w:val="00F974C5"/>
    <w:pPr>
      <w:keepNext/>
      <w:keepLines/>
      <w:spacing w:before="360"/>
      <w:jc w:val="center"/>
    </w:pPr>
    <w:rPr>
      <w:sz w:val="26"/>
      <w:szCs w:val="26"/>
      <w:lang w:bidi="ar-SY"/>
    </w:rPr>
  </w:style>
  <w:style w:type="paragraph" w:customStyle="1" w:styleId="Appendixtitle">
    <w:name w:val="Appendix title"/>
    <w:basedOn w:val="Normal"/>
    <w:qFormat/>
    <w:rsid w:val="00F974C5"/>
    <w:pPr>
      <w:keepNext/>
      <w:keepLines/>
      <w:spacing w:after="360"/>
      <w:jc w:val="center"/>
    </w:pPr>
    <w:rPr>
      <w:b/>
      <w:bCs/>
      <w:sz w:val="28"/>
      <w:szCs w:val="28"/>
    </w:rPr>
  </w:style>
  <w:style w:type="paragraph" w:customStyle="1" w:styleId="ArticleNo">
    <w:name w:val="Article No"/>
    <w:basedOn w:val="Normal"/>
    <w:qFormat/>
    <w:rsid w:val="00F974C5"/>
    <w:pPr>
      <w:keepNext/>
      <w:keepLines/>
      <w:spacing w:after="360"/>
      <w:jc w:val="center"/>
    </w:pPr>
    <w:rPr>
      <w:sz w:val="26"/>
      <w:szCs w:val="26"/>
      <w:lang w:bidi="ar-SY"/>
    </w:rPr>
  </w:style>
  <w:style w:type="paragraph" w:customStyle="1" w:styleId="Articletitle">
    <w:name w:val="Article title"/>
    <w:basedOn w:val="ArticleNo"/>
    <w:qFormat/>
    <w:rsid w:val="00F974C5"/>
    <w:rPr>
      <w:b/>
      <w:bCs/>
      <w:sz w:val="28"/>
      <w:szCs w:val="28"/>
    </w:rPr>
  </w:style>
  <w:style w:type="paragraph" w:customStyle="1" w:styleId="Call">
    <w:name w:val="Call"/>
    <w:basedOn w:val="Normal"/>
    <w:qFormat/>
    <w:rsid w:val="00F974C5"/>
    <w:pPr>
      <w:keepNext/>
      <w:spacing w:before="160"/>
      <w:ind w:left="1588" w:hanging="794"/>
    </w:pPr>
    <w:rPr>
      <w:i/>
      <w:iCs/>
    </w:rPr>
  </w:style>
  <w:style w:type="paragraph" w:customStyle="1" w:styleId="ChapterNo">
    <w:name w:val="Chapter No"/>
    <w:basedOn w:val="Normal"/>
    <w:qFormat/>
    <w:rsid w:val="00F974C5"/>
    <w:pPr>
      <w:keepNext/>
      <w:keepLines/>
      <w:spacing w:before="600"/>
      <w:jc w:val="center"/>
    </w:pPr>
    <w:rPr>
      <w:sz w:val="28"/>
      <w:szCs w:val="28"/>
      <w:lang w:bidi="ar-SY"/>
    </w:rPr>
  </w:style>
  <w:style w:type="paragraph" w:customStyle="1" w:styleId="Chaptertitle">
    <w:name w:val="Chapter title"/>
    <w:basedOn w:val="ChapterNo"/>
    <w:qFormat/>
    <w:rsid w:val="00F974C5"/>
    <w:pPr>
      <w:spacing w:before="120" w:after="600"/>
    </w:pPr>
    <w:rPr>
      <w:b/>
      <w:bCs/>
      <w:sz w:val="32"/>
      <w:szCs w:val="32"/>
    </w:rPr>
  </w:style>
  <w:style w:type="paragraph" w:styleId="Date">
    <w:name w:val="Date"/>
    <w:basedOn w:val="Normal"/>
    <w:next w:val="Normal"/>
    <w:link w:val="DateChar"/>
    <w:uiPriority w:val="99"/>
    <w:unhideWhenUsed/>
    <w:rsid w:val="00F974C5"/>
    <w:pPr>
      <w:keepNext/>
      <w:jc w:val="right"/>
    </w:pPr>
  </w:style>
  <w:style w:type="character" w:customStyle="1" w:styleId="DateChar">
    <w:name w:val="Date Char"/>
    <w:basedOn w:val="DefaultParagraphFont"/>
    <w:link w:val="Date"/>
    <w:uiPriority w:val="99"/>
    <w:rsid w:val="00F974C5"/>
    <w:rPr>
      <w:rFonts w:ascii="Dubai" w:hAnsi="Dubai" w:cs="Dubai"/>
    </w:rPr>
  </w:style>
  <w:style w:type="paragraph" w:customStyle="1" w:styleId="DecNo">
    <w:name w:val="Dec_No"/>
    <w:basedOn w:val="Normal"/>
    <w:qFormat/>
    <w:rsid w:val="00F974C5"/>
    <w:pPr>
      <w:keepNext/>
      <w:keepLines/>
      <w:spacing w:before="360"/>
      <w:jc w:val="center"/>
    </w:pPr>
    <w:rPr>
      <w:sz w:val="26"/>
      <w:szCs w:val="26"/>
    </w:rPr>
  </w:style>
  <w:style w:type="paragraph" w:customStyle="1" w:styleId="Dectitle">
    <w:name w:val="Dec_title"/>
    <w:basedOn w:val="DecNo"/>
    <w:qFormat/>
    <w:rsid w:val="00F974C5"/>
    <w:pPr>
      <w:spacing w:before="120" w:after="360"/>
    </w:pPr>
    <w:rPr>
      <w:b/>
      <w:bCs/>
      <w:sz w:val="28"/>
      <w:szCs w:val="28"/>
    </w:rPr>
  </w:style>
  <w:style w:type="paragraph" w:customStyle="1" w:styleId="enumlev1">
    <w:name w:val="enumlev 1"/>
    <w:basedOn w:val="Normal"/>
    <w:qFormat/>
    <w:rsid w:val="00AD65F9"/>
    <w:pPr>
      <w:spacing w:before="80" w:after="80"/>
      <w:ind w:left="794" w:hanging="794"/>
      <w:outlineLvl w:val="0"/>
    </w:pPr>
    <w:rPr>
      <w:lang w:bidi="ar-SY"/>
    </w:rPr>
  </w:style>
  <w:style w:type="paragraph" w:customStyle="1" w:styleId="enumlev2">
    <w:name w:val="enumlev 2"/>
    <w:basedOn w:val="Normal"/>
    <w:next w:val="enumlev1"/>
    <w:qFormat/>
    <w:rsid w:val="00F974C5"/>
    <w:pPr>
      <w:spacing w:before="80"/>
      <w:ind w:left="1588" w:hanging="794"/>
      <w:outlineLvl w:val="1"/>
    </w:pPr>
  </w:style>
  <w:style w:type="paragraph" w:customStyle="1" w:styleId="enumlev3">
    <w:name w:val="enumlev 3"/>
    <w:basedOn w:val="Normal"/>
    <w:qFormat/>
    <w:rsid w:val="008A7F84"/>
    <w:pPr>
      <w:spacing w:before="80"/>
      <w:ind w:left="2382" w:hanging="794"/>
      <w:outlineLvl w:val="2"/>
    </w:pPr>
    <w:rPr>
      <w:lang w:bidi="ar-SY"/>
    </w:rPr>
  </w:style>
  <w:style w:type="paragraph" w:customStyle="1" w:styleId="Figurelegend">
    <w:name w:val="Figure legend"/>
    <w:basedOn w:val="Normal"/>
    <w:qFormat/>
    <w:rsid w:val="00F974C5"/>
    <w:pPr>
      <w:spacing w:before="60"/>
    </w:pPr>
    <w:rPr>
      <w:lang w:bidi="ar-SY"/>
    </w:rPr>
  </w:style>
  <w:style w:type="paragraph" w:styleId="FootnoteText">
    <w:name w:val="footnote text"/>
    <w:basedOn w:val="Normal"/>
    <w:link w:val="FootnoteTextChar"/>
    <w:autoRedefine/>
    <w:uiPriority w:val="99"/>
    <w:semiHidden/>
    <w:unhideWhenUsed/>
    <w:qFormat/>
    <w:rsid w:val="00747A70"/>
    <w:pPr>
      <w:spacing w:before="60" w:line="168" w:lineRule="auto"/>
    </w:pPr>
    <w:rPr>
      <w:sz w:val="18"/>
      <w:szCs w:val="18"/>
    </w:rPr>
  </w:style>
  <w:style w:type="character" w:styleId="FootnoteReference">
    <w:name w:val="footnote reference"/>
    <w:basedOn w:val="DefaultParagraphFont"/>
    <w:uiPriority w:val="99"/>
    <w:unhideWhenUsed/>
    <w:qFormat/>
    <w:rsid w:val="00F974C5"/>
    <w:rPr>
      <w:rFonts w:ascii="Dubai" w:hAnsi="Dubai" w:cs="Dubai"/>
      <w:b w:val="0"/>
      <w:bCs w:val="0"/>
      <w:i w:val="0"/>
      <w:iCs w:val="0"/>
      <w:caps w:val="0"/>
      <w:smallCaps w:val="0"/>
      <w:strike w:val="0"/>
      <w:dstrike w:val="0"/>
      <w:vanish w:val="0"/>
      <w:spacing w:val="0"/>
      <w:w w:val="100"/>
      <w:position w:val="6"/>
      <w:sz w:val="18"/>
      <w:szCs w:val="18"/>
      <w:vertAlign w:val="baseline"/>
    </w:rPr>
  </w:style>
  <w:style w:type="character" w:customStyle="1" w:styleId="FootnoteTextChar">
    <w:name w:val="Footnote Text Char"/>
    <w:basedOn w:val="DefaultParagraphFont"/>
    <w:link w:val="FootnoteText"/>
    <w:uiPriority w:val="99"/>
    <w:semiHidden/>
    <w:rsid w:val="00747A70"/>
    <w:rPr>
      <w:rFonts w:ascii="Dubai" w:hAnsi="Dubai" w:cs="Dubai"/>
      <w:sz w:val="18"/>
      <w:szCs w:val="18"/>
    </w:rPr>
  </w:style>
  <w:style w:type="paragraph" w:customStyle="1" w:styleId="Normalaftertitle">
    <w:name w:val="Normal after title"/>
    <w:basedOn w:val="Normal"/>
    <w:qFormat/>
    <w:rsid w:val="00F974C5"/>
    <w:pPr>
      <w:keepNext/>
      <w:spacing w:before="360"/>
    </w:pPr>
    <w:rPr>
      <w:lang w:bidi="ar-SY"/>
    </w:rPr>
  </w:style>
  <w:style w:type="paragraph" w:customStyle="1" w:styleId="Note">
    <w:name w:val="Note"/>
    <w:basedOn w:val="Normal"/>
    <w:qFormat/>
    <w:rsid w:val="00F974C5"/>
    <w:pPr>
      <w:spacing w:before="80"/>
    </w:pPr>
    <w:rPr>
      <w:sz w:val="20"/>
      <w:szCs w:val="20"/>
    </w:rPr>
  </w:style>
  <w:style w:type="paragraph" w:customStyle="1" w:styleId="Proposal">
    <w:name w:val="Proposal"/>
    <w:basedOn w:val="Note"/>
    <w:qFormat/>
    <w:rsid w:val="00F974C5"/>
    <w:pPr>
      <w:keepNext/>
      <w:spacing w:before="240"/>
    </w:pPr>
    <w:rPr>
      <w:b/>
      <w:bCs/>
      <w:sz w:val="22"/>
      <w:szCs w:val="22"/>
    </w:rPr>
  </w:style>
  <w:style w:type="paragraph" w:customStyle="1" w:styleId="Reasons">
    <w:name w:val="Reasons"/>
    <w:basedOn w:val="Normal"/>
    <w:qFormat/>
    <w:rsid w:val="00F974C5"/>
    <w:rPr>
      <w:b/>
      <w:bCs/>
    </w:rPr>
  </w:style>
  <w:style w:type="paragraph" w:customStyle="1" w:styleId="RecNo">
    <w:name w:val="Rec_No"/>
    <w:basedOn w:val="Normal"/>
    <w:qFormat/>
    <w:rsid w:val="00F974C5"/>
    <w:pPr>
      <w:keepNext/>
      <w:keepLines/>
      <w:spacing w:before="360"/>
      <w:jc w:val="center"/>
    </w:pPr>
    <w:rPr>
      <w:sz w:val="26"/>
      <w:szCs w:val="26"/>
    </w:rPr>
  </w:style>
  <w:style w:type="paragraph" w:customStyle="1" w:styleId="Rectitle">
    <w:name w:val="Rec_title"/>
    <w:basedOn w:val="Normal"/>
    <w:qFormat/>
    <w:rsid w:val="00F974C5"/>
    <w:pPr>
      <w:keepNext/>
      <w:keepLines/>
      <w:spacing w:after="360"/>
      <w:jc w:val="center"/>
    </w:pPr>
    <w:rPr>
      <w:b/>
      <w:bCs/>
      <w:sz w:val="28"/>
      <w:szCs w:val="28"/>
    </w:rPr>
  </w:style>
  <w:style w:type="paragraph" w:customStyle="1" w:styleId="Referencetexte">
    <w:name w:val="Reference texte"/>
    <w:basedOn w:val="Normal"/>
    <w:qFormat/>
    <w:rsid w:val="00F974C5"/>
  </w:style>
  <w:style w:type="paragraph" w:customStyle="1" w:styleId="PartNo">
    <w:name w:val="Part No"/>
    <w:basedOn w:val="Normal"/>
    <w:qFormat/>
    <w:rsid w:val="00F974C5"/>
    <w:pPr>
      <w:keepNext/>
      <w:keepLines/>
      <w:spacing w:before="360"/>
      <w:jc w:val="center"/>
    </w:pPr>
    <w:rPr>
      <w:sz w:val="26"/>
      <w:szCs w:val="26"/>
    </w:rPr>
  </w:style>
  <w:style w:type="paragraph" w:customStyle="1" w:styleId="Parttitle">
    <w:name w:val="Part title"/>
    <w:basedOn w:val="PartNo"/>
    <w:qFormat/>
    <w:rsid w:val="00F974C5"/>
    <w:pPr>
      <w:spacing w:before="120" w:after="360"/>
    </w:pPr>
    <w:rPr>
      <w:b/>
      <w:bCs/>
      <w:sz w:val="28"/>
      <w:szCs w:val="28"/>
    </w:rPr>
  </w:style>
  <w:style w:type="paragraph" w:customStyle="1" w:styleId="Reftitle">
    <w:name w:val="Ref_title"/>
    <w:basedOn w:val="Normal"/>
    <w:qFormat/>
    <w:rsid w:val="00F974C5"/>
    <w:pPr>
      <w:keepNext/>
      <w:keepLines/>
      <w:spacing w:before="480" w:after="240"/>
      <w:jc w:val="center"/>
    </w:pPr>
    <w:rPr>
      <w:b/>
      <w:bCs/>
      <w:sz w:val="28"/>
      <w:szCs w:val="28"/>
    </w:rPr>
  </w:style>
  <w:style w:type="paragraph" w:customStyle="1" w:styleId="Section1">
    <w:name w:val="Section 1"/>
    <w:basedOn w:val="Normal"/>
    <w:qFormat/>
    <w:rsid w:val="00F974C5"/>
    <w:pPr>
      <w:keepNext/>
      <w:spacing w:before="360" w:after="240"/>
      <w:jc w:val="center"/>
    </w:pPr>
    <w:rPr>
      <w:b/>
      <w:bCs/>
      <w:sz w:val="26"/>
      <w:szCs w:val="26"/>
      <w:lang w:bidi="ar-SY"/>
    </w:rPr>
  </w:style>
  <w:style w:type="paragraph" w:customStyle="1" w:styleId="Section2">
    <w:name w:val="Section 2"/>
    <w:basedOn w:val="Section1"/>
    <w:qFormat/>
    <w:rsid w:val="00F974C5"/>
    <w:pPr>
      <w:spacing w:before="240"/>
    </w:pPr>
    <w:rPr>
      <w:b w:val="0"/>
      <w:bCs w:val="0"/>
    </w:rPr>
  </w:style>
  <w:style w:type="paragraph" w:customStyle="1" w:styleId="SectionNo">
    <w:name w:val="Section No"/>
    <w:basedOn w:val="Normal"/>
    <w:qFormat/>
    <w:rsid w:val="00F974C5"/>
    <w:pPr>
      <w:keepNext/>
      <w:keepLines/>
      <w:spacing w:before="360"/>
      <w:jc w:val="center"/>
    </w:pPr>
    <w:rPr>
      <w:sz w:val="26"/>
      <w:szCs w:val="26"/>
    </w:rPr>
  </w:style>
  <w:style w:type="paragraph" w:customStyle="1" w:styleId="Sectiontitle">
    <w:name w:val="Section title"/>
    <w:basedOn w:val="Normal"/>
    <w:qFormat/>
    <w:rsid w:val="00F974C5"/>
    <w:pPr>
      <w:keepNext/>
      <w:keepLines/>
      <w:spacing w:after="360"/>
      <w:jc w:val="center"/>
    </w:pPr>
    <w:rPr>
      <w:b/>
      <w:bCs/>
      <w:sz w:val="28"/>
      <w:szCs w:val="28"/>
      <w:lang w:bidi="ar-SY"/>
    </w:rPr>
  </w:style>
  <w:style w:type="paragraph" w:customStyle="1" w:styleId="Source">
    <w:name w:val="Source"/>
    <w:basedOn w:val="Normal"/>
    <w:qFormat/>
    <w:rsid w:val="007C3BCD"/>
    <w:pPr>
      <w:keepNext/>
      <w:keepLines/>
      <w:spacing w:before="840"/>
      <w:jc w:val="center"/>
    </w:pPr>
    <w:rPr>
      <w:b/>
      <w:bCs/>
      <w:sz w:val="32"/>
      <w:szCs w:val="32"/>
    </w:rPr>
  </w:style>
  <w:style w:type="paragraph" w:customStyle="1" w:styleId="FigureNo">
    <w:name w:val="Figure No"/>
    <w:basedOn w:val="Normal"/>
    <w:qFormat/>
    <w:rsid w:val="00F974C5"/>
    <w:pPr>
      <w:keepNext/>
      <w:spacing w:before="240"/>
      <w:jc w:val="center"/>
    </w:pPr>
    <w:rPr>
      <w:lang w:bidi="ar-SY"/>
    </w:rPr>
  </w:style>
  <w:style w:type="paragraph" w:customStyle="1" w:styleId="Figuretitle">
    <w:name w:val="Figure title"/>
    <w:basedOn w:val="Normal"/>
    <w:qFormat/>
    <w:rsid w:val="00F974C5"/>
    <w:pPr>
      <w:keepNext/>
      <w:spacing w:after="240"/>
      <w:jc w:val="center"/>
    </w:pPr>
    <w:rPr>
      <w:b/>
      <w:bCs/>
    </w:rPr>
  </w:style>
  <w:style w:type="paragraph" w:customStyle="1" w:styleId="TableNo">
    <w:name w:val="Table No"/>
    <w:basedOn w:val="Normal"/>
    <w:qFormat/>
    <w:rsid w:val="00F974C5"/>
    <w:pPr>
      <w:keepNext/>
      <w:spacing w:before="240"/>
      <w:jc w:val="center"/>
    </w:pPr>
    <w:rPr>
      <w:lang w:bidi="ar-SY"/>
    </w:rPr>
  </w:style>
  <w:style w:type="paragraph" w:customStyle="1" w:styleId="Tabletitle">
    <w:name w:val="Table title"/>
    <w:basedOn w:val="TableNo"/>
    <w:qFormat/>
    <w:rsid w:val="00F974C5"/>
    <w:pPr>
      <w:spacing w:before="120" w:after="240"/>
    </w:pPr>
    <w:rPr>
      <w:b/>
      <w:bCs/>
    </w:rPr>
  </w:style>
  <w:style w:type="paragraph" w:customStyle="1" w:styleId="TableHead">
    <w:name w:val="Table Head"/>
    <w:basedOn w:val="Normal"/>
    <w:qFormat/>
    <w:rsid w:val="00F974C5"/>
    <w:pPr>
      <w:keepNext/>
      <w:spacing w:before="60" w:after="60" w:line="260" w:lineRule="exact"/>
      <w:jc w:val="center"/>
    </w:pPr>
    <w:rPr>
      <w:b/>
      <w:bCs/>
      <w:sz w:val="20"/>
      <w:szCs w:val="20"/>
    </w:rPr>
  </w:style>
  <w:style w:type="paragraph" w:customStyle="1" w:styleId="Tabletexte">
    <w:name w:val="Table texte"/>
    <w:basedOn w:val="Normal"/>
    <w:qFormat/>
    <w:rsid w:val="00F974C5"/>
    <w:pPr>
      <w:spacing w:before="60" w:after="60" w:line="260" w:lineRule="exact"/>
    </w:pPr>
    <w:rPr>
      <w:sz w:val="20"/>
      <w:szCs w:val="20"/>
      <w:lang w:bidi="ar-SY"/>
    </w:rPr>
  </w:style>
  <w:style w:type="paragraph" w:customStyle="1" w:styleId="Title1">
    <w:name w:val="Title 1"/>
    <w:basedOn w:val="Normal"/>
    <w:qFormat/>
    <w:rsid w:val="007C3BCD"/>
    <w:pPr>
      <w:keepNext/>
      <w:spacing w:before="360"/>
      <w:jc w:val="center"/>
    </w:pPr>
    <w:rPr>
      <w:w w:val="120"/>
      <w:sz w:val="28"/>
      <w:szCs w:val="28"/>
    </w:rPr>
  </w:style>
  <w:style w:type="paragraph" w:customStyle="1" w:styleId="Title2">
    <w:name w:val="Title 2"/>
    <w:basedOn w:val="Normal"/>
    <w:qFormat/>
    <w:rsid w:val="00F974C5"/>
    <w:pPr>
      <w:keepNext/>
      <w:spacing w:before="240"/>
      <w:jc w:val="center"/>
    </w:pPr>
    <w:rPr>
      <w:w w:val="120"/>
      <w:sz w:val="26"/>
      <w:szCs w:val="26"/>
    </w:rPr>
  </w:style>
  <w:style w:type="paragraph" w:customStyle="1" w:styleId="Title3">
    <w:name w:val="Title 3"/>
    <w:basedOn w:val="Normal"/>
    <w:qFormat/>
    <w:rsid w:val="00F974C5"/>
    <w:pPr>
      <w:keepNext/>
      <w:spacing w:before="240"/>
      <w:jc w:val="center"/>
    </w:pPr>
    <w:rPr>
      <w:sz w:val="26"/>
      <w:szCs w:val="26"/>
    </w:rPr>
  </w:style>
  <w:style w:type="paragraph" w:styleId="TOC1">
    <w:name w:val="toc 1"/>
    <w:basedOn w:val="Normal"/>
    <w:next w:val="Normal"/>
    <w:autoRedefine/>
    <w:uiPriority w:val="39"/>
    <w:unhideWhenUsed/>
    <w:rsid w:val="00F974C5"/>
    <w:pPr>
      <w:ind w:left="720" w:hanging="720"/>
    </w:pPr>
  </w:style>
  <w:style w:type="paragraph" w:styleId="TOC2">
    <w:name w:val="toc 2"/>
    <w:basedOn w:val="Normal"/>
    <w:next w:val="Normal"/>
    <w:autoRedefine/>
    <w:uiPriority w:val="39"/>
    <w:unhideWhenUsed/>
    <w:rsid w:val="002978F4"/>
    <w:pPr>
      <w:ind w:left="1514" w:hanging="720"/>
    </w:pPr>
  </w:style>
  <w:style w:type="paragraph" w:styleId="TOC3">
    <w:name w:val="toc 3"/>
    <w:basedOn w:val="Normal"/>
    <w:next w:val="Normal"/>
    <w:autoRedefine/>
    <w:uiPriority w:val="39"/>
    <w:unhideWhenUsed/>
    <w:rsid w:val="002978F4"/>
    <w:pPr>
      <w:ind w:left="2308" w:hanging="720"/>
    </w:pPr>
  </w:style>
  <w:style w:type="paragraph" w:styleId="TOC4">
    <w:name w:val="toc 4"/>
    <w:basedOn w:val="Normal"/>
    <w:next w:val="Normal"/>
    <w:autoRedefine/>
    <w:uiPriority w:val="39"/>
    <w:unhideWhenUsed/>
    <w:rsid w:val="0023283D"/>
    <w:pPr>
      <w:ind w:left="3045" w:hanging="720"/>
    </w:pPr>
  </w:style>
  <w:style w:type="paragraph" w:styleId="TOC5">
    <w:name w:val="toc 5"/>
    <w:basedOn w:val="Normal"/>
    <w:next w:val="Normal"/>
    <w:autoRedefine/>
    <w:uiPriority w:val="39"/>
    <w:unhideWhenUsed/>
    <w:rsid w:val="0023283D"/>
    <w:pPr>
      <w:ind w:left="3782" w:hanging="720"/>
    </w:pPr>
  </w:style>
  <w:style w:type="paragraph" w:styleId="TOC6">
    <w:name w:val="toc 6"/>
    <w:basedOn w:val="Normal"/>
    <w:next w:val="Normal"/>
    <w:autoRedefine/>
    <w:uiPriority w:val="39"/>
    <w:unhideWhenUsed/>
    <w:rsid w:val="0023283D"/>
    <w:pPr>
      <w:ind w:left="4519" w:hanging="720"/>
    </w:pPr>
  </w:style>
  <w:style w:type="paragraph" w:styleId="TOC7">
    <w:name w:val="toc 7"/>
    <w:basedOn w:val="Normal"/>
    <w:next w:val="Normal"/>
    <w:autoRedefine/>
    <w:uiPriority w:val="39"/>
    <w:unhideWhenUsed/>
    <w:rsid w:val="0023283D"/>
    <w:pPr>
      <w:ind w:left="5256" w:hanging="720"/>
    </w:pPr>
  </w:style>
  <w:style w:type="paragraph" w:styleId="TOC8">
    <w:name w:val="toc 8"/>
    <w:basedOn w:val="Normal"/>
    <w:next w:val="Normal"/>
    <w:autoRedefine/>
    <w:uiPriority w:val="39"/>
    <w:unhideWhenUsed/>
    <w:rsid w:val="0023283D"/>
    <w:pPr>
      <w:ind w:left="6050" w:hanging="720"/>
    </w:pPr>
    <w:rPr>
      <w:lang w:bidi="ar-SY"/>
    </w:rPr>
  </w:style>
  <w:style w:type="paragraph" w:styleId="TOC9">
    <w:name w:val="toc 9"/>
    <w:basedOn w:val="Normal"/>
    <w:next w:val="Normal"/>
    <w:autoRedefine/>
    <w:uiPriority w:val="39"/>
    <w:unhideWhenUsed/>
    <w:rsid w:val="0023283D"/>
    <w:pPr>
      <w:ind w:left="6787" w:hanging="720"/>
    </w:pPr>
  </w:style>
  <w:style w:type="paragraph" w:customStyle="1" w:styleId="VolumeNo">
    <w:name w:val="Volume No"/>
    <w:basedOn w:val="Normal"/>
    <w:qFormat/>
    <w:rsid w:val="00F974C5"/>
    <w:pPr>
      <w:keepNext/>
      <w:spacing w:before="360"/>
      <w:jc w:val="center"/>
    </w:pPr>
    <w:rPr>
      <w:sz w:val="26"/>
      <w:szCs w:val="26"/>
      <w:lang w:bidi="ar-SY"/>
    </w:rPr>
  </w:style>
  <w:style w:type="paragraph" w:customStyle="1" w:styleId="Volumetitle">
    <w:name w:val="Volume title"/>
    <w:basedOn w:val="VolumeNo"/>
    <w:qFormat/>
    <w:rsid w:val="00F974C5"/>
    <w:pPr>
      <w:spacing w:before="120" w:after="360"/>
    </w:pPr>
    <w:rPr>
      <w:b/>
      <w:bCs/>
      <w:sz w:val="28"/>
      <w:szCs w:val="28"/>
    </w:rPr>
  </w:style>
  <w:style w:type="paragraph" w:styleId="Title">
    <w:name w:val="Title"/>
    <w:aliases w:val="Title right"/>
    <w:basedOn w:val="Normal"/>
    <w:next w:val="Normal"/>
    <w:link w:val="TitleChar"/>
    <w:uiPriority w:val="10"/>
    <w:rsid w:val="007C3BC7"/>
    <w:pPr>
      <w:keepNext/>
      <w:spacing w:before="360"/>
    </w:pPr>
    <w:rPr>
      <w:rFonts w:eastAsiaTheme="majorEastAsia"/>
      <w:b/>
      <w:bCs/>
      <w:color w:val="FF0000"/>
      <w:kern w:val="28"/>
      <w:sz w:val="28"/>
      <w:szCs w:val="40"/>
    </w:rPr>
  </w:style>
  <w:style w:type="character" w:customStyle="1" w:styleId="TitleChar">
    <w:name w:val="Title Char"/>
    <w:aliases w:val="Title right Char"/>
    <w:basedOn w:val="DefaultParagraphFont"/>
    <w:link w:val="Title"/>
    <w:uiPriority w:val="10"/>
    <w:rsid w:val="007C3BC7"/>
    <w:rPr>
      <w:rFonts w:ascii="Calibri" w:eastAsiaTheme="majorEastAsia" w:hAnsi="Calibri" w:cs="Traditional Arabic"/>
      <w:b/>
      <w:bCs/>
      <w:color w:val="FF0000"/>
      <w:kern w:val="28"/>
      <w:sz w:val="28"/>
      <w:szCs w:val="40"/>
    </w:rPr>
  </w:style>
  <w:style w:type="paragraph" w:customStyle="1" w:styleId="ResNo">
    <w:name w:val="Res_No"/>
    <w:basedOn w:val="Normal"/>
    <w:qFormat/>
    <w:rsid w:val="00F974C5"/>
    <w:pPr>
      <w:keepNext/>
      <w:keepLines/>
      <w:spacing w:before="360"/>
      <w:jc w:val="center"/>
    </w:pPr>
    <w:rPr>
      <w:sz w:val="26"/>
      <w:szCs w:val="26"/>
    </w:rPr>
  </w:style>
  <w:style w:type="paragraph" w:customStyle="1" w:styleId="Restitle">
    <w:name w:val="Res_title"/>
    <w:basedOn w:val="Normal"/>
    <w:qFormat/>
    <w:rsid w:val="00F974C5"/>
    <w:pPr>
      <w:keepNext/>
      <w:keepLines/>
      <w:spacing w:before="240"/>
      <w:jc w:val="center"/>
    </w:pPr>
    <w:rPr>
      <w:b/>
      <w:bCs/>
      <w:sz w:val="28"/>
      <w:szCs w:val="28"/>
      <w:lang w:bidi="ar-SY"/>
    </w:rPr>
  </w:style>
  <w:style w:type="paragraph" w:customStyle="1" w:styleId="OpinionNo">
    <w:name w:val="Opinion No"/>
    <w:basedOn w:val="Normal"/>
    <w:qFormat/>
    <w:rsid w:val="00F974C5"/>
    <w:pPr>
      <w:keepNext/>
      <w:keepLines/>
      <w:spacing w:before="360"/>
      <w:jc w:val="center"/>
    </w:pPr>
    <w:rPr>
      <w:sz w:val="26"/>
      <w:szCs w:val="26"/>
    </w:rPr>
  </w:style>
  <w:style w:type="paragraph" w:customStyle="1" w:styleId="Opiniontitle">
    <w:name w:val="Opinion title"/>
    <w:basedOn w:val="Normal"/>
    <w:qFormat/>
    <w:rsid w:val="00F974C5"/>
    <w:pPr>
      <w:keepNext/>
      <w:keepLines/>
      <w:spacing w:after="360"/>
      <w:jc w:val="center"/>
    </w:pPr>
    <w:rPr>
      <w:b/>
      <w:bCs/>
      <w:sz w:val="28"/>
      <w:szCs w:val="28"/>
    </w:rPr>
  </w:style>
  <w:style w:type="paragraph" w:styleId="Signature">
    <w:name w:val="Signature"/>
    <w:basedOn w:val="Normal"/>
    <w:link w:val="SignatureChar"/>
    <w:uiPriority w:val="99"/>
    <w:semiHidden/>
    <w:unhideWhenUsed/>
    <w:qFormat/>
    <w:rsid w:val="008235CD"/>
    <w:pPr>
      <w:spacing w:before="1440"/>
      <w:jc w:val="left"/>
    </w:pPr>
  </w:style>
  <w:style w:type="character" w:customStyle="1" w:styleId="SignatureChar">
    <w:name w:val="Signature Char"/>
    <w:basedOn w:val="DefaultParagraphFont"/>
    <w:link w:val="Signature"/>
    <w:uiPriority w:val="99"/>
    <w:semiHidden/>
    <w:rsid w:val="008235CD"/>
    <w:rPr>
      <w:rFonts w:ascii="Calibri" w:hAnsi="Calibri" w:cs="Traditional Arabic"/>
      <w:szCs w:val="30"/>
    </w:rPr>
  </w:style>
  <w:style w:type="table" w:styleId="TableGrid">
    <w:name w:val="Table Grid"/>
    <w:basedOn w:val="TableNormal"/>
    <w:uiPriority w:val="39"/>
    <w:rsid w:val="00290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4C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F974C5"/>
    <w:rPr>
      <w:rFonts w:ascii="Dubai" w:hAnsi="Dubai" w:cs="Dubai"/>
    </w:rPr>
  </w:style>
  <w:style w:type="character" w:styleId="Hyperlink">
    <w:name w:val="Hyperlink"/>
    <w:aliases w:val="CEO_Hyperlink,超级链接,超?级链,Style 58,超????,하이퍼링크2,超链接1,超?级链?,Style?,S,하이퍼링크21,ECC Hyperlink,超??级链Ú,fL????,fL?级,超??级链,超?级链ïÈ,õ±?级链,õ±链ïÈ1,õ±???"/>
    <w:basedOn w:val="DefaultParagraphFont"/>
    <w:uiPriority w:val="99"/>
    <w:unhideWhenUsed/>
    <w:qFormat/>
    <w:rsid w:val="00F974C5"/>
    <w:rPr>
      <w:rFonts w:ascii="Dubai" w:hAnsi="Dubai" w:cs="Dubai"/>
      <w:color w:val="0000FF"/>
      <w:u w:val="single"/>
    </w:rPr>
  </w:style>
  <w:style w:type="character" w:styleId="BookTitle">
    <w:name w:val="Book Title"/>
    <w:basedOn w:val="DefaultParagraphFont"/>
    <w:uiPriority w:val="33"/>
    <w:rsid w:val="007C3BC7"/>
    <w:rPr>
      <w:b/>
      <w:bCs/>
      <w:i/>
      <w:iCs/>
      <w:color w:val="FF0000"/>
      <w:spacing w:val="5"/>
    </w:rPr>
  </w:style>
  <w:style w:type="character" w:styleId="Emphasis">
    <w:name w:val="Emphasis"/>
    <w:basedOn w:val="DefaultParagraphFont"/>
    <w:uiPriority w:val="20"/>
    <w:rsid w:val="007C3BC7"/>
    <w:rPr>
      <w:i/>
      <w:iCs/>
      <w:color w:val="FF0000"/>
    </w:rPr>
  </w:style>
  <w:style w:type="paragraph" w:customStyle="1" w:styleId="Footnotetexte">
    <w:name w:val="Footnote texte"/>
    <w:basedOn w:val="Normal"/>
    <w:qFormat/>
    <w:rsid w:val="00F974C5"/>
    <w:pPr>
      <w:tabs>
        <w:tab w:val="clear" w:pos="794"/>
        <w:tab w:val="left" w:pos="397"/>
      </w:tabs>
      <w:spacing w:before="60" w:line="168" w:lineRule="auto"/>
      <w:ind w:left="397" w:hanging="397"/>
    </w:pPr>
    <w:rPr>
      <w:sz w:val="20"/>
      <w:szCs w:val="20"/>
    </w:rPr>
  </w:style>
  <w:style w:type="character" w:styleId="IntenseEmphasis">
    <w:name w:val="Intense Emphasis"/>
    <w:basedOn w:val="DefaultParagraphFont"/>
    <w:uiPriority w:val="21"/>
    <w:rsid w:val="007C3BC7"/>
    <w:rPr>
      <w:i/>
      <w:iCs/>
      <w:color w:val="FF0000"/>
    </w:rPr>
  </w:style>
  <w:style w:type="paragraph" w:styleId="IntenseQuote">
    <w:name w:val="Intense Quote"/>
    <w:basedOn w:val="Normal"/>
    <w:next w:val="Normal"/>
    <w:link w:val="IntenseQuoteChar"/>
    <w:uiPriority w:val="30"/>
    <w:rsid w:val="007C3BC7"/>
    <w:pPr>
      <w:pBdr>
        <w:top w:val="single" w:sz="4" w:space="10" w:color="5B9BD5" w:themeColor="accent1"/>
        <w:bottom w:val="single" w:sz="4" w:space="10" w:color="5B9BD5" w:themeColor="accent1"/>
      </w:pBdr>
      <w:spacing w:before="360" w:after="360"/>
      <w:ind w:left="864" w:right="864"/>
      <w:jc w:val="center"/>
    </w:pPr>
    <w:rPr>
      <w:i/>
      <w:iCs/>
      <w:color w:val="FF0000"/>
    </w:rPr>
  </w:style>
  <w:style w:type="character" w:customStyle="1" w:styleId="IntenseQuoteChar">
    <w:name w:val="Intense Quote Char"/>
    <w:basedOn w:val="DefaultParagraphFont"/>
    <w:link w:val="IntenseQuote"/>
    <w:uiPriority w:val="30"/>
    <w:rsid w:val="007C3BC7"/>
    <w:rPr>
      <w:rFonts w:ascii="Calibri" w:hAnsi="Calibri" w:cs="Traditional Arabic"/>
      <w:i/>
      <w:iCs/>
      <w:color w:val="FF0000"/>
      <w:szCs w:val="30"/>
    </w:rPr>
  </w:style>
  <w:style w:type="character" w:styleId="IntenseReference">
    <w:name w:val="Intense Reference"/>
    <w:basedOn w:val="DefaultParagraphFont"/>
    <w:uiPriority w:val="32"/>
    <w:rsid w:val="007C3BC7"/>
    <w:rPr>
      <w:b/>
      <w:bCs/>
      <w:smallCaps/>
      <w:color w:val="FF0000"/>
      <w:spacing w:val="5"/>
    </w:rPr>
  </w:style>
  <w:style w:type="paragraph" w:styleId="ListParagraph">
    <w:name w:val="List Paragraph"/>
    <w:basedOn w:val="Normal"/>
    <w:uiPriority w:val="34"/>
    <w:rsid w:val="00F974C5"/>
    <w:pPr>
      <w:spacing w:before="80"/>
      <w:ind w:left="720"/>
      <w:contextualSpacing/>
    </w:pPr>
  </w:style>
  <w:style w:type="paragraph" w:styleId="Quote">
    <w:name w:val="Quote"/>
    <w:basedOn w:val="Normal"/>
    <w:next w:val="Normal"/>
    <w:link w:val="QuoteChar"/>
    <w:uiPriority w:val="29"/>
    <w:rsid w:val="007C3BC7"/>
    <w:pPr>
      <w:spacing w:before="200" w:after="160"/>
      <w:ind w:left="864" w:right="864"/>
      <w:jc w:val="center"/>
    </w:pPr>
    <w:rPr>
      <w:i/>
      <w:iCs/>
      <w:color w:val="FF0000"/>
    </w:rPr>
  </w:style>
  <w:style w:type="character" w:customStyle="1" w:styleId="QuoteChar">
    <w:name w:val="Quote Char"/>
    <w:basedOn w:val="DefaultParagraphFont"/>
    <w:link w:val="Quote"/>
    <w:uiPriority w:val="29"/>
    <w:rsid w:val="007C3BC7"/>
    <w:rPr>
      <w:rFonts w:ascii="Calibri" w:hAnsi="Calibri" w:cs="Traditional Arabic"/>
      <w:i/>
      <w:iCs/>
      <w:color w:val="FF0000"/>
      <w:szCs w:val="30"/>
    </w:rPr>
  </w:style>
  <w:style w:type="character" w:styleId="Strong">
    <w:name w:val="Strong"/>
    <w:basedOn w:val="DefaultParagraphFont"/>
    <w:uiPriority w:val="22"/>
    <w:rsid w:val="007C3BC7"/>
    <w:rPr>
      <w:b/>
      <w:bCs/>
      <w:color w:val="FF0000"/>
    </w:rPr>
  </w:style>
  <w:style w:type="paragraph" w:styleId="Subtitle">
    <w:name w:val="Subtitle"/>
    <w:basedOn w:val="Normal"/>
    <w:next w:val="Normal"/>
    <w:link w:val="SubtitleChar"/>
    <w:uiPriority w:val="11"/>
    <w:rsid w:val="007C3BC7"/>
    <w:pPr>
      <w:numPr>
        <w:ilvl w:val="1"/>
      </w:numPr>
      <w:spacing w:after="160"/>
    </w:pPr>
    <w:rPr>
      <w:rFonts w:asciiTheme="minorHAnsi" w:hAnsiTheme="minorHAnsi" w:cstheme="minorBidi"/>
      <w:color w:val="FF0000"/>
      <w:spacing w:val="15"/>
    </w:rPr>
  </w:style>
  <w:style w:type="character" w:customStyle="1" w:styleId="SubtitleChar">
    <w:name w:val="Subtitle Char"/>
    <w:basedOn w:val="DefaultParagraphFont"/>
    <w:link w:val="Subtitle"/>
    <w:uiPriority w:val="11"/>
    <w:rsid w:val="007C3BC7"/>
    <w:rPr>
      <w:color w:val="FF0000"/>
      <w:spacing w:val="15"/>
    </w:rPr>
  </w:style>
  <w:style w:type="character" w:styleId="SubtleEmphasis">
    <w:name w:val="Subtle Emphasis"/>
    <w:basedOn w:val="DefaultParagraphFont"/>
    <w:uiPriority w:val="19"/>
    <w:rsid w:val="007C3BC7"/>
    <w:rPr>
      <w:i/>
      <w:iCs/>
      <w:color w:val="FF0000"/>
    </w:rPr>
  </w:style>
  <w:style w:type="character" w:styleId="SubtleReference">
    <w:name w:val="Subtle Reference"/>
    <w:basedOn w:val="DefaultParagraphFont"/>
    <w:uiPriority w:val="31"/>
    <w:rsid w:val="007C3BC7"/>
    <w:rPr>
      <w:smallCaps/>
      <w:color w:val="FF0000"/>
    </w:rPr>
  </w:style>
  <w:style w:type="paragraph" w:customStyle="1" w:styleId="Tablelegend">
    <w:name w:val="Table legend"/>
    <w:basedOn w:val="Normal"/>
    <w:qFormat/>
    <w:rsid w:val="00F974C5"/>
    <w:pPr>
      <w:spacing w:before="80"/>
    </w:pPr>
    <w:rPr>
      <w:lang w:bidi="ar-SY"/>
    </w:rPr>
  </w:style>
  <w:style w:type="paragraph" w:customStyle="1" w:styleId="Headingb">
    <w:name w:val="Heading b"/>
    <w:basedOn w:val="Normal"/>
    <w:qFormat/>
    <w:rsid w:val="00F974C5"/>
    <w:pPr>
      <w:keepNext/>
      <w:spacing w:before="240"/>
      <w:ind w:left="1134" w:hanging="1134"/>
    </w:pPr>
    <w:rPr>
      <w:b/>
      <w:bCs/>
    </w:rPr>
  </w:style>
  <w:style w:type="character" w:styleId="UnresolvedMention">
    <w:name w:val="Unresolved Mention"/>
    <w:basedOn w:val="DefaultParagraphFont"/>
    <w:uiPriority w:val="99"/>
    <w:semiHidden/>
    <w:unhideWhenUsed/>
    <w:rsid w:val="00196706"/>
    <w:rPr>
      <w:color w:val="605E5C"/>
      <w:shd w:val="clear" w:color="auto" w:fill="E1DFDD"/>
    </w:rPr>
  </w:style>
  <w:style w:type="paragraph" w:customStyle="1" w:styleId="a">
    <w:name w:val="ثىع"/>
    <w:basedOn w:val="Normal"/>
    <w:qFormat/>
    <w:rsid w:val="00AA490A"/>
    <w:rPr>
      <w:lang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tu.int/en/council/Documents/basic-texts-2023/RES-071-a.pdf" TargetMode="External"/><Relationship Id="rId18" Type="http://schemas.openxmlformats.org/officeDocument/2006/relationships/hyperlink" Target="https://www.itu.int/itu-d/sites/innovation-alliance/digital-transformation-lab/" TargetMode="External"/><Relationship Id="rId26" Type="http://schemas.openxmlformats.org/officeDocument/2006/relationships/hyperlink" Target="https://academy.itu.int/training-courses/full-catalogue/strategic-foresight-201" TargetMode="External"/><Relationship Id="rId39" Type="http://schemas.openxmlformats.org/officeDocument/2006/relationships/customXml" Target="../customXml/item2.xml"/><Relationship Id="rId21" Type="http://schemas.openxmlformats.org/officeDocument/2006/relationships/hyperlink" Target="https://www.itu.int/itu-d/sites/innovation-alliance/wp-content/uploads/sites/35/2024/12/Second-Meeting-of-the-Digital-Innovation-Board-28-October-2024-Summary.pdf" TargetMode="External"/><Relationship Id="rId34" Type="http://schemas.openxmlformats.org/officeDocument/2006/relationships/hyperlink" Target="https://www.itu.int/en/ITU-D/Innovation/Pages/RIA/Regional-Initiative-Accelerator.aspx"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itu.int/itu-d/sites/innovation-alliance/board-members/" TargetMode="External"/><Relationship Id="rId20" Type="http://schemas.openxmlformats.org/officeDocument/2006/relationships/hyperlink" Target="https://www.itu.int/itu-d/sites/innovation-alliance/wp-content/uploads/sites/35/2024/05/Inaugural_Meeting_of_the_Digital_Innovation_Board_-_Summary_rev1.pdf" TargetMode="External"/><Relationship Id="rId29" Type="http://schemas.openxmlformats.org/officeDocument/2006/relationships/hyperlink" Target="mailto:BDTinnovation@itu.int" TargetMode="External"/><Relationship Id="rId41"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pub/D-RES-D.89-2022" TargetMode="External"/><Relationship Id="rId24" Type="http://schemas.openxmlformats.org/officeDocument/2006/relationships/hyperlink" Target="https://www.itu.int/itu-d/sites/innovation-alliance/the-expert-network/" TargetMode="External"/><Relationship Id="rId32" Type="http://schemas.openxmlformats.org/officeDocument/2006/relationships/hyperlink" Target="https://www.itu.int/itu-d/meetings/wtdc25/wp-content/uploads/sites/29/2025/11/090-E.pdf" TargetMode="External"/><Relationship Id="rId37" Type="http://schemas.openxmlformats.org/officeDocument/2006/relationships/fontTable" Target="fontTable.xml"/><Relationship Id="rId40"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s://www.itu.int/dms_pub/itu-d/opb/tdc/D-TDC-WTDC-2022-PDF-A.pdf" TargetMode="External"/><Relationship Id="rId23" Type="http://schemas.openxmlformats.org/officeDocument/2006/relationships/hyperlink" Target="https://www.itu.int/itu-d/sites/innovation-alliance/wp-content/uploads/sites/35/2026/02/Third-Meeting-of-the-Digital-Innovation-Board-1-2-October-2025_-Final.pdf" TargetMode="External"/><Relationship Id="rId28" Type="http://schemas.openxmlformats.org/officeDocument/2006/relationships/hyperlink" Target="https://idda.az/en/innovation/itu-regional-acceleration-centre" TargetMode="External"/><Relationship Id="rId36" Type="http://schemas.openxmlformats.org/officeDocument/2006/relationships/footer" Target="footer1.xml"/><Relationship Id="rId10" Type="http://schemas.openxmlformats.org/officeDocument/2006/relationships/hyperlink" Target="https://www.itu.int/dms_pub/itu-d/opb/res/D-RES-D.85-2022-PDF-A.pdf" TargetMode="External"/><Relationship Id="rId19" Type="http://schemas.openxmlformats.org/officeDocument/2006/relationships/hyperlink" Target="https://www.itu.int/itu-d/sites/innovation-alliance/board-members/" TargetMode="External"/><Relationship Id="rId31" Type="http://schemas.openxmlformats.org/officeDocument/2006/relationships/hyperlink" Target="https://www.itu.int/itu-d/meetings/wtdc25/wp-content/uploads/sites/29/2025/11/090-E.pdf" TargetMode="External"/><Relationship Id="rId4" Type="http://schemas.openxmlformats.org/officeDocument/2006/relationships/settings" Target="settings.xml"/><Relationship Id="rId9" Type="http://schemas.openxmlformats.org/officeDocument/2006/relationships/hyperlink" Target="https://www.itu.int/pub/D-RES-D.17-2022" TargetMode="External"/><Relationship Id="rId14" Type="http://schemas.openxmlformats.org/officeDocument/2006/relationships/hyperlink" Target="https://www.itu.int/itu-d/sites/innovation-alliance/" TargetMode="External"/><Relationship Id="rId22" Type="http://schemas.openxmlformats.org/officeDocument/2006/relationships/hyperlink" Target="https://www.itu.int/en/ITU-D/Innovation/Documents/Strategic%20Foresight/Foresight%20brief/ITU%20Strategic%20Foresight%20Research%20Brief_Education%20Foresight%20Study_final_Signed%20BDTDirector.pdf" TargetMode="External"/><Relationship Id="rId27" Type="http://schemas.openxmlformats.org/officeDocument/2006/relationships/hyperlink" Target="https://academy.itu.int/training-courses/full-catalogue/ecosystem-initiative-development-201-0" TargetMode="External"/><Relationship Id="rId30" Type="http://schemas.openxmlformats.org/officeDocument/2006/relationships/hyperlink" Target="https://www.itu.int/en/ITU-D/Innovation/Pages/RIA/Regional-Initiative-Accelerator.aspx" TargetMode="External"/><Relationship Id="rId35" Type="http://schemas.openxmlformats.org/officeDocument/2006/relationships/header" Target="header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www.itu.int/en/council/Documents/basic-texts-2023/RES-205-A.pdf" TargetMode="External"/><Relationship Id="rId17" Type="http://schemas.openxmlformats.org/officeDocument/2006/relationships/hyperlink" Target="https://www.itu.int/itu-d/sites/innovation-alliance/network-of-itu-acceleration-centres/" TargetMode="External"/><Relationship Id="rId25" Type="http://schemas.openxmlformats.org/officeDocument/2006/relationships/hyperlink" Target="https://academy.itu.int/training-courses/full-catalogue/strategic-foresight-101" TargetMode="External"/><Relationship Id="rId33" Type="http://schemas.openxmlformats.org/officeDocument/2006/relationships/hyperlink" Target="https://www.itu.int/en/ITU-D/Innovation/Pages/Strategic%20Foresight/Strategic-Foresight.aspx" TargetMode="External"/><Relationship Id="rId38"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sofie.maddens@itu.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000%20ITU\00%20Template\Arabic%20Templates%202026\ITU-D%20(BDT)\PA_TDAG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421F7F6C5263B4B928A068E40912AB8" ma:contentTypeVersion="17" ma:contentTypeDescription="Create a new document." ma:contentTypeScope="" ma:versionID="08de21dd3d53535c2968f418991843b1">
  <xsd:schema xmlns:xsd="http://www.w3.org/2001/XMLSchema" xmlns:xs="http://www.w3.org/2001/XMLSchema" xmlns:p="http://schemas.microsoft.com/office/2006/metadata/properties" xmlns:ns2="d4ea696a-cca3-460b-a983-57ac2621983a" xmlns:ns3="29399490-13b9-4c73-b71e-403b715b75a7" targetNamespace="http://schemas.microsoft.com/office/2006/metadata/properties" ma:root="true" ma:fieldsID="61722b74c011d0d4baa2c88cba3894f1" ns2:_="" ns3:_="">
    <xsd:import namespace="d4ea696a-cca3-460b-a983-57ac2621983a"/>
    <xsd:import namespace="29399490-13b9-4c73-b71e-403b715b7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696a-cca3-460b-a983-57ac26219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399490-13b9-4c73-b71e-403b715b75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36094f-0688-4081-a569-0c74b76e7ddf}" ma:internalName="TaxCatchAll" ma:showField="CatchAllData" ma:web="29399490-13b9-4c73-b71e-403b715b7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4ea696a-cca3-460b-a983-57ac2621983a">
      <Terms xmlns="http://schemas.microsoft.com/office/infopath/2007/PartnerControls"/>
    </lcf76f155ced4ddcb4097134ff3c332f>
    <TaxCatchAll xmlns="29399490-13b9-4c73-b71e-403b715b75a7" xsi:nil="true"/>
  </documentManagement>
</p:properties>
</file>

<file path=customXml/itemProps1.xml><?xml version="1.0" encoding="utf-8"?>
<ds:datastoreItem xmlns:ds="http://schemas.openxmlformats.org/officeDocument/2006/customXml" ds:itemID="{D2A43E68-FEE1-4201-87D6-0DF5EF736C30}">
  <ds:schemaRefs>
    <ds:schemaRef ds:uri="http://schemas.openxmlformats.org/officeDocument/2006/bibliography"/>
  </ds:schemaRefs>
</ds:datastoreItem>
</file>

<file path=customXml/itemProps2.xml><?xml version="1.0" encoding="utf-8"?>
<ds:datastoreItem xmlns:ds="http://schemas.openxmlformats.org/officeDocument/2006/customXml" ds:itemID="{161B1F17-6D0A-41A6-B2F3-9D64EEAE9E68}"/>
</file>

<file path=customXml/itemProps3.xml><?xml version="1.0" encoding="utf-8"?>
<ds:datastoreItem xmlns:ds="http://schemas.openxmlformats.org/officeDocument/2006/customXml" ds:itemID="{1DB7AEAB-9B01-4AA8-B050-23AB3B52087E}"/>
</file>

<file path=customXml/itemProps4.xml><?xml version="1.0" encoding="utf-8"?>
<ds:datastoreItem xmlns:ds="http://schemas.openxmlformats.org/officeDocument/2006/customXml" ds:itemID="{E0753B17-9CE5-48FD-B449-88FC8A1DAE56}"/>
</file>

<file path=docProps/app.xml><?xml version="1.0" encoding="utf-8"?>
<Properties xmlns="http://schemas.openxmlformats.org/officeDocument/2006/extended-properties" xmlns:vt="http://schemas.openxmlformats.org/officeDocument/2006/docPropsVTypes">
  <Template>PA_TDAG26.dotx</Template>
  <TotalTime>13</TotalTime>
  <Pages>7</Pages>
  <Words>3186</Words>
  <Characters>18161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21305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Arabic_AK</dc:creator>
  <cp:keywords/>
  <dc:description/>
  <cp:lastModifiedBy>Arabic_I.R</cp:lastModifiedBy>
  <cp:revision>5</cp:revision>
  <dcterms:created xsi:type="dcterms:W3CDTF">2026-03-27T13:15:00Z</dcterms:created>
  <dcterms:modified xsi:type="dcterms:W3CDTF">2026-03-27T13:28:00Z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0x0101000421F7F6C5263B4B928A068E40912AB8</vt:lpwstr>
  </property>
</Properties>
</file>