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horzAnchor="margin" w:tblpY="-492"/>
        <w:tblW w:w="10031" w:type="dxa"/>
        <w:tblLayout w:type="fixed"/>
        <w:tblLook w:val="0000" w:firstRow="0" w:lastRow="0" w:firstColumn="0" w:lastColumn="0" w:noHBand="0" w:noVBand="0"/>
      </w:tblPr>
      <w:tblGrid>
        <w:gridCol w:w="6663"/>
        <w:gridCol w:w="3368"/>
      </w:tblGrid>
      <w:tr w:rsidR="00294BF6" w:rsidRPr="00403C69" w14:paraId="31370406" w14:textId="77777777" w:rsidTr="005C3173">
        <w:trPr>
          <w:cantSplit/>
          <w:trHeight w:val="1134"/>
        </w:trPr>
        <w:tc>
          <w:tcPr>
            <w:tcW w:w="6663" w:type="dxa"/>
          </w:tcPr>
          <w:p w14:paraId="2B6ACA23" w14:textId="77777777" w:rsidR="00294BF6" w:rsidRPr="00025801" w:rsidRDefault="00025801" w:rsidP="00294BF6">
            <w:pPr>
              <w:ind w:left="34"/>
              <w:rPr>
                <w:b/>
                <w:bCs/>
                <w:sz w:val="32"/>
                <w:szCs w:val="32"/>
                <w:lang w:val="es-ES"/>
              </w:rPr>
            </w:pPr>
            <w:r w:rsidRPr="00025801">
              <w:rPr>
                <w:b/>
                <w:bCs/>
                <w:sz w:val="32"/>
                <w:szCs w:val="32"/>
                <w:lang w:val="es-ES"/>
              </w:rPr>
              <w:t>Grupo Asesor de Desarrollo de las</w:t>
            </w:r>
            <w:r w:rsidRPr="00025801">
              <w:rPr>
                <w:b/>
                <w:bCs/>
                <w:sz w:val="32"/>
                <w:szCs w:val="32"/>
                <w:lang w:val="es-ES"/>
              </w:rPr>
              <w:br/>
            </w:r>
            <w:r>
              <w:rPr>
                <w:b/>
                <w:bCs/>
                <w:sz w:val="32"/>
                <w:szCs w:val="32"/>
                <w:lang w:val="es-ES"/>
              </w:rPr>
              <w:t>Telecomunicaciones</w:t>
            </w:r>
            <w:r w:rsidR="00294BF6" w:rsidRPr="00025801">
              <w:rPr>
                <w:b/>
                <w:bCs/>
                <w:sz w:val="32"/>
                <w:szCs w:val="32"/>
                <w:lang w:val="es-ES"/>
              </w:rPr>
              <w:t xml:space="preserve"> (</w:t>
            </w:r>
            <w:r>
              <w:rPr>
                <w:b/>
                <w:bCs/>
                <w:sz w:val="32"/>
                <w:szCs w:val="32"/>
                <w:lang w:val="es-ES"/>
              </w:rPr>
              <w:t>GADT</w:t>
            </w:r>
            <w:r w:rsidR="00294BF6" w:rsidRPr="00025801">
              <w:rPr>
                <w:b/>
                <w:bCs/>
                <w:sz w:val="32"/>
                <w:szCs w:val="32"/>
                <w:lang w:val="es-ES"/>
              </w:rPr>
              <w:t>)</w:t>
            </w:r>
          </w:p>
          <w:p w14:paraId="3AD95E02" w14:textId="77777777" w:rsidR="00294BF6" w:rsidRPr="00426222" w:rsidRDefault="006A7603" w:rsidP="00426222">
            <w:pPr>
              <w:tabs>
                <w:tab w:val="clear" w:pos="1134"/>
              </w:tabs>
              <w:spacing w:after="48" w:line="240" w:lineRule="atLeast"/>
              <w:ind w:left="34"/>
              <w:rPr>
                <w:b/>
                <w:bCs/>
                <w:sz w:val="26"/>
                <w:szCs w:val="26"/>
                <w:lang w:val="es-ES"/>
              </w:rPr>
            </w:pPr>
            <w:r w:rsidRPr="006A7603">
              <w:rPr>
                <w:b/>
                <w:bCs/>
                <w:sz w:val="26"/>
                <w:szCs w:val="26"/>
                <w:lang w:val="es-ES"/>
              </w:rPr>
              <w:t>33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.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ª reunión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>, G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inebra</w:t>
            </w:r>
            <w:r w:rsidR="00426222">
              <w:rPr>
                <w:b/>
                <w:bCs/>
                <w:sz w:val="26"/>
                <w:szCs w:val="26"/>
                <w:lang w:val="es-ES"/>
              </w:rPr>
              <w:t xml:space="preserve"> 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(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Suiza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)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 xml:space="preserve">, </w:t>
            </w:r>
            <w:r w:rsidR="00EF4D25" w:rsidRPr="006A7603">
              <w:rPr>
                <w:b/>
                <w:bCs/>
                <w:sz w:val="26"/>
                <w:szCs w:val="26"/>
                <w:lang w:val="es-ES"/>
              </w:rPr>
              <w:t>7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>-</w:t>
            </w:r>
            <w:r w:rsidR="00EF4D25" w:rsidRPr="006A7603">
              <w:rPr>
                <w:b/>
                <w:bCs/>
                <w:sz w:val="26"/>
                <w:szCs w:val="26"/>
                <w:lang w:val="es-ES"/>
              </w:rPr>
              <w:t>10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val="es-ES"/>
              </w:rPr>
              <w:t>de abril de 2026</w:t>
            </w:r>
          </w:p>
        </w:tc>
        <w:tc>
          <w:tcPr>
            <w:tcW w:w="3368" w:type="dxa"/>
          </w:tcPr>
          <w:p w14:paraId="3FF83C88" w14:textId="77777777" w:rsidR="00294BF6" w:rsidRPr="00403C69" w:rsidRDefault="00294BF6" w:rsidP="00294BF6">
            <w:pPr>
              <w:spacing w:line="240" w:lineRule="atLeast"/>
              <w:jc w:val="right"/>
              <w:rPr>
                <w:rFonts w:cstheme="minorHAnsi"/>
              </w:rPr>
            </w:pPr>
            <w:bookmarkStart w:id="0" w:name="ditulogo"/>
            <w:bookmarkEnd w:id="0"/>
            <w:r>
              <w:rPr>
                <w:noProof/>
                <w:lang w:val="fr-FR" w:eastAsia="fr-FR"/>
              </w:rPr>
              <w:drawing>
                <wp:inline distT="0" distB="0" distL="0" distR="0" wp14:anchorId="5EB9F12D" wp14:editId="1E663CF1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403C69" w14:paraId="29051F1D" w14:textId="77777777" w:rsidTr="005C3173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26A2331F" w14:textId="77777777" w:rsidR="00D83BF5" w:rsidRPr="00403C69" w:rsidRDefault="00D83BF5" w:rsidP="00B06557">
            <w:pPr>
              <w:spacing w:before="0"/>
            </w:pPr>
            <w:bookmarkStart w:id="1" w:name="dhead"/>
          </w:p>
        </w:tc>
        <w:tc>
          <w:tcPr>
            <w:tcW w:w="3368" w:type="dxa"/>
            <w:tcBorders>
              <w:top w:val="single" w:sz="12" w:space="0" w:color="auto"/>
            </w:tcBorders>
          </w:tcPr>
          <w:p w14:paraId="378FF70A" w14:textId="77777777" w:rsidR="00D83BF5" w:rsidRPr="00403C69" w:rsidRDefault="00D83BF5" w:rsidP="00B06557">
            <w:pPr>
              <w:spacing w:before="0"/>
            </w:pPr>
          </w:p>
        </w:tc>
      </w:tr>
      <w:tr w:rsidR="00D87035" w:rsidRPr="00403C69" w14:paraId="7B54A6C1" w14:textId="77777777" w:rsidTr="005C3173">
        <w:trPr>
          <w:cantSplit/>
          <w:trHeight w:val="23"/>
        </w:trPr>
        <w:tc>
          <w:tcPr>
            <w:tcW w:w="6663" w:type="dxa"/>
          </w:tcPr>
          <w:p w14:paraId="44876544" w14:textId="77777777" w:rsidR="00D87035" w:rsidRPr="00403C69" w:rsidRDefault="00D87035" w:rsidP="00403C69">
            <w:pPr>
              <w:pStyle w:val="Committee"/>
              <w:framePr w:hSpace="0" w:wrap="auto" w:hAnchor="text" w:yAlign="inline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368" w:type="dxa"/>
          </w:tcPr>
          <w:p w14:paraId="1944B15B" w14:textId="531ED042" w:rsidR="00D87035" w:rsidRPr="00F42215" w:rsidRDefault="00D87035" w:rsidP="00403C6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  <w:lang w:val="es-ES"/>
              </w:rPr>
            </w:pPr>
            <w:r w:rsidRPr="00F42215">
              <w:rPr>
                <w:b/>
                <w:bCs/>
                <w:lang w:val="es-ES"/>
              </w:rPr>
              <w:t>Document</w:t>
            </w:r>
            <w:bookmarkStart w:id="4" w:name="DocRef1"/>
            <w:bookmarkEnd w:id="4"/>
            <w:r w:rsidR="006A7603" w:rsidRPr="00F42215">
              <w:rPr>
                <w:b/>
                <w:bCs/>
                <w:lang w:val="es-ES"/>
              </w:rPr>
              <w:t>o</w:t>
            </w:r>
            <w:r w:rsidR="001A2AB4" w:rsidRPr="00F42215">
              <w:rPr>
                <w:b/>
                <w:bCs/>
                <w:lang w:val="es-ES"/>
              </w:rPr>
              <w:t xml:space="preserve"> </w:t>
            </w:r>
            <w:r w:rsidRPr="00F42215">
              <w:rPr>
                <w:b/>
                <w:bCs/>
                <w:lang w:val="es-ES"/>
              </w:rPr>
              <w:t>TDAG-</w:t>
            </w:r>
            <w:r w:rsidR="00523934" w:rsidRPr="00F42215">
              <w:rPr>
                <w:b/>
                <w:bCs/>
                <w:lang w:val="es-ES"/>
              </w:rPr>
              <w:t>2</w:t>
            </w:r>
            <w:r w:rsidR="00EF4D25" w:rsidRPr="00F42215">
              <w:rPr>
                <w:b/>
                <w:bCs/>
                <w:lang w:val="es-ES"/>
              </w:rPr>
              <w:t>6</w:t>
            </w:r>
            <w:r w:rsidRPr="00F42215">
              <w:rPr>
                <w:b/>
                <w:bCs/>
                <w:lang w:val="es-ES"/>
              </w:rPr>
              <w:t>/</w:t>
            </w:r>
            <w:bookmarkStart w:id="5" w:name="DocNo1"/>
            <w:bookmarkEnd w:id="5"/>
            <w:r w:rsidR="002A63BC">
              <w:rPr>
                <w:b/>
                <w:bCs/>
                <w:lang w:val="es-ES"/>
              </w:rPr>
              <w:t>20</w:t>
            </w:r>
            <w:r w:rsidRPr="00F42215">
              <w:rPr>
                <w:b/>
                <w:bCs/>
                <w:lang w:val="es-ES"/>
              </w:rPr>
              <w:t>-</w:t>
            </w:r>
            <w:r w:rsidR="001A2AB4" w:rsidRPr="00F42215">
              <w:rPr>
                <w:b/>
                <w:bCs/>
                <w:lang w:val="es-ES"/>
              </w:rPr>
              <w:t>S</w:t>
            </w:r>
          </w:p>
        </w:tc>
      </w:tr>
      <w:tr w:rsidR="00D87035" w:rsidRPr="00403C69" w14:paraId="2256CDF1" w14:textId="77777777" w:rsidTr="005C3173">
        <w:trPr>
          <w:cantSplit/>
          <w:trHeight w:val="23"/>
        </w:trPr>
        <w:tc>
          <w:tcPr>
            <w:tcW w:w="6663" w:type="dxa"/>
          </w:tcPr>
          <w:p w14:paraId="798E2AE1" w14:textId="77777777" w:rsidR="00D87035" w:rsidRPr="00403C69" w:rsidRDefault="00D87035" w:rsidP="00B06557">
            <w:pPr>
              <w:spacing w:before="0"/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368" w:type="dxa"/>
          </w:tcPr>
          <w:p w14:paraId="5E0FE1D0" w14:textId="4888C637" w:rsidR="00D87035" w:rsidRPr="00F42215" w:rsidRDefault="002A63BC" w:rsidP="00B06557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  <w:lang w:val="es-ES"/>
              </w:rPr>
            </w:pPr>
            <w:r>
              <w:rPr>
                <w:b/>
                <w:bCs/>
                <w:lang w:val="es-ES"/>
              </w:rPr>
              <w:t>3 de marzo de 2026</w:t>
            </w:r>
          </w:p>
        </w:tc>
      </w:tr>
      <w:bookmarkEnd w:id="6"/>
      <w:bookmarkEnd w:id="7"/>
      <w:tr w:rsidR="00D87035" w:rsidRPr="00403C69" w14:paraId="548CBEE9" w14:textId="77777777" w:rsidTr="005C3173">
        <w:trPr>
          <w:cantSplit/>
          <w:trHeight w:val="23"/>
        </w:trPr>
        <w:tc>
          <w:tcPr>
            <w:tcW w:w="6663" w:type="dxa"/>
          </w:tcPr>
          <w:p w14:paraId="7727672C" w14:textId="77777777" w:rsidR="00D87035" w:rsidRPr="002A63BC" w:rsidRDefault="00D87035" w:rsidP="00B06557">
            <w:pPr>
              <w:spacing w:before="0"/>
              <w:rPr>
                <w:lang w:val="es-ES"/>
              </w:rPr>
            </w:pPr>
          </w:p>
        </w:tc>
        <w:tc>
          <w:tcPr>
            <w:tcW w:w="3368" w:type="dxa"/>
          </w:tcPr>
          <w:p w14:paraId="3DADEDE8" w14:textId="77777777" w:rsidR="00D87035" w:rsidRPr="00F42215" w:rsidRDefault="00D87035" w:rsidP="00B06557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b/>
                <w:szCs w:val="24"/>
                <w:lang w:val="es-ES"/>
              </w:rPr>
            </w:pPr>
            <w:r w:rsidRPr="00F42215">
              <w:rPr>
                <w:b/>
                <w:bCs/>
                <w:lang w:val="es-ES"/>
              </w:rPr>
              <w:t xml:space="preserve">Original: </w:t>
            </w:r>
            <w:r w:rsidR="001A2AB4" w:rsidRPr="00F42215">
              <w:rPr>
                <w:b/>
                <w:bCs/>
                <w:lang w:val="es-ES"/>
              </w:rPr>
              <w:t>inglés</w:t>
            </w:r>
          </w:p>
        </w:tc>
      </w:tr>
      <w:tr w:rsidR="00D83BF5" w:rsidRPr="002A63BC" w14:paraId="233E3BD8" w14:textId="77777777" w:rsidTr="00D87035">
        <w:trPr>
          <w:cantSplit/>
          <w:trHeight w:val="23"/>
        </w:trPr>
        <w:tc>
          <w:tcPr>
            <w:tcW w:w="10031" w:type="dxa"/>
            <w:gridSpan w:val="2"/>
          </w:tcPr>
          <w:p w14:paraId="3684E47C" w14:textId="70A4B4AB" w:rsidR="00D83BF5" w:rsidRPr="00F42215" w:rsidRDefault="002A63BC" w:rsidP="00403C69">
            <w:pPr>
              <w:pStyle w:val="Source"/>
              <w:spacing w:before="240" w:after="240"/>
              <w:rPr>
                <w:lang w:val="es-ES"/>
              </w:rPr>
            </w:pPr>
            <w:bookmarkStart w:id="8" w:name="dbluepink" w:colFirst="0" w:colLast="0"/>
            <w:bookmarkStart w:id="9" w:name="dorlang" w:colFirst="1" w:colLast="1"/>
            <w:r w:rsidRPr="00FE42D5">
              <w:rPr>
                <w:rFonts w:ascii="Calibri" w:hAnsi="Calibri" w:cs="Calibri"/>
                <w:lang w:val="es-ES"/>
              </w:rPr>
              <w:t>Director de la Oficina de Des</w:t>
            </w:r>
            <w:r>
              <w:rPr>
                <w:rFonts w:ascii="Calibri" w:hAnsi="Calibri" w:cs="Calibri"/>
                <w:lang w:val="es-ES"/>
              </w:rPr>
              <w:t>arrollo de las Telecomunicaciones</w:t>
            </w:r>
          </w:p>
        </w:tc>
      </w:tr>
      <w:tr w:rsidR="00D83BF5" w:rsidRPr="002A63BC" w14:paraId="519AC662" w14:textId="77777777" w:rsidTr="00D87035">
        <w:trPr>
          <w:cantSplit/>
          <w:trHeight w:val="23"/>
        </w:trPr>
        <w:tc>
          <w:tcPr>
            <w:tcW w:w="10031" w:type="dxa"/>
            <w:gridSpan w:val="2"/>
            <w:vAlign w:val="center"/>
          </w:tcPr>
          <w:p w14:paraId="258A9C4C" w14:textId="3D270010" w:rsidR="00D83BF5" w:rsidRPr="00F42215" w:rsidRDefault="002A63BC" w:rsidP="00B06557">
            <w:pPr>
              <w:pStyle w:val="Title1"/>
              <w:spacing w:before="120" w:after="120"/>
              <w:rPr>
                <w:lang w:val="es-ES"/>
              </w:rPr>
            </w:pPr>
            <w:r w:rsidRPr="00FE42D5">
              <w:rPr>
                <w:rFonts w:ascii="Calibri" w:hAnsi="Calibri" w:cs="Calibri"/>
                <w:caps w:val="0"/>
                <w:lang w:val="es-ES"/>
              </w:rPr>
              <w:t xml:space="preserve">Novedades sobre </w:t>
            </w:r>
            <w:r>
              <w:rPr>
                <w:rFonts w:ascii="Calibri" w:hAnsi="Calibri" w:cs="Calibri"/>
                <w:caps w:val="0"/>
                <w:lang w:val="es-ES"/>
              </w:rPr>
              <w:t xml:space="preserve">el traslado de la Oficina Zonal de </w:t>
            </w:r>
            <w:r w:rsidRPr="00FE42D5">
              <w:rPr>
                <w:rFonts w:ascii="Calibri" w:hAnsi="Calibri" w:cs="Calibri"/>
                <w:caps w:val="0"/>
                <w:lang w:val="es-ES"/>
              </w:rPr>
              <w:t xml:space="preserve">Tegucigalpa </w:t>
            </w:r>
            <w:r>
              <w:rPr>
                <w:rFonts w:ascii="Calibri" w:hAnsi="Calibri" w:cs="Calibri"/>
                <w:caps w:val="0"/>
                <w:lang w:val="es-ES"/>
              </w:rPr>
              <w:t>a</w:t>
            </w:r>
            <w:r w:rsidRPr="00FE42D5">
              <w:rPr>
                <w:rFonts w:ascii="Calibri" w:hAnsi="Calibri" w:cs="Calibri"/>
                <w:caps w:val="0"/>
                <w:lang w:val="es-ES"/>
              </w:rPr>
              <w:t xml:space="preserve"> </w:t>
            </w:r>
            <w:r>
              <w:rPr>
                <w:rFonts w:ascii="Calibri" w:hAnsi="Calibri" w:cs="Calibri"/>
                <w:caps w:val="0"/>
                <w:lang w:val="es-ES"/>
              </w:rPr>
              <w:t xml:space="preserve">Ciudad de </w:t>
            </w:r>
            <w:r w:rsidRPr="00FE42D5">
              <w:rPr>
                <w:rFonts w:ascii="Calibri" w:hAnsi="Calibri" w:cs="Calibri"/>
                <w:caps w:val="0"/>
                <w:lang w:val="es-ES"/>
              </w:rPr>
              <w:t>Panam</w:t>
            </w:r>
            <w:r>
              <w:rPr>
                <w:rFonts w:ascii="Calibri" w:hAnsi="Calibri" w:cs="Calibri"/>
                <w:caps w:val="0"/>
                <w:lang w:val="es-ES"/>
              </w:rPr>
              <w:t>á</w:t>
            </w:r>
          </w:p>
        </w:tc>
      </w:tr>
      <w:tr w:rsidR="00D83BF5" w:rsidRPr="002A63BC" w14:paraId="19E32A57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14:paraId="39B96EF9" w14:textId="77777777" w:rsidR="00D83BF5" w:rsidRPr="002A63BC" w:rsidRDefault="00D83BF5" w:rsidP="00B06557">
            <w:pPr>
              <w:pStyle w:val="Title1"/>
              <w:spacing w:before="120" w:after="120"/>
              <w:jc w:val="left"/>
              <w:rPr>
                <w:lang w:val="es-ES"/>
              </w:rPr>
            </w:pPr>
          </w:p>
        </w:tc>
      </w:tr>
      <w:tr w:rsidR="001E252D" w:rsidRPr="002A63BC" w14:paraId="2CBDCB56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03F4" w14:textId="77777777" w:rsidR="001E252D" w:rsidRPr="00B41165" w:rsidRDefault="001A2AB4" w:rsidP="00B41165">
            <w:pPr>
              <w:rPr>
                <w:b/>
                <w:bCs/>
                <w:lang w:val="es-ES"/>
              </w:rPr>
            </w:pPr>
            <w:r w:rsidRPr="00B41165">
              <w:rPr>
                <w:b/>
                <w:bCs/>
                <w:lang w:val="es-ES"/>
              </w:rPr>
              <w:t>Resumen</w:t>
            </w:r>
            <w:r w:rsidR="001E252D" w:rsidRPr="00B41165">
              <w:rPr>
                <w:b/>
                <w:bCs/>
                <w:lang w:val="es-ES"/>
              </w:rPr>
              <w:t>:</w:t>
            </w:r>
          </w:p>
          <w:p w14:paraId="259071E6" w14:textId="17DF18B1" w:rsidR="001E252D" w:rsidRPr="00B41165" w:rsidRDefault="002A63BC" w:rsidP="00403C69">
            <w:pPr>
              <w:rPr>
                <w:lang w:val="es-ES"/>
              </w:rPr>
            </w:pPr>
            <w:r w:rsidRPr="00FE42D5">
              <w:rPr>
                <w:rFonts w:ascii="Calibri" w:hAnsi="Calibri" w:cs="Calibri"/>
                <w:lang w:val="es-ES"/>
              </w:rPr>
              <w:t>En este documento se da cuenta de los avances del traslado de la Of</w:t>
            </w:r>
            <w:r>
              <w:rPr>
                <w:rFonts w:ascii="Calibri" w:hAnsi="Calibri" w:cs="Calibri"/>
                <w:lang w:val="es-ES"/>
              </w:rPr>
              <w:t>icina Zonal de</w:t>
            </w:r>
            <w:r w:rsidRPr="00FE42D5">
              <w:rPr>
                <w:rFonts w:ascii="Calibri" w:hAnsi="Calibri" w:cs="Calibri"/>
                <w:lang w:val="es-ES"/>
              </w:rPr>
              <w:t xml:space="preserve"> Tegucigalpa </w:t>
            </w:r>
            <w:r>
              <w:rPr>
                <w:rFonts w:ascii="Calibri" w:hAnsi="Calibri" w:cs="Calibri"/>
                <w:lang w:val="es-ES"/>
              </w:rPr>
              <w:t>a Ciudad de</w:t>
            </w:r>
            <w:r w:rsidRPr="00FE42D5">
              <w:rPr>
                <w:rFonts w:ascii="Calibri" w:hAnsi="Calibri" w:cs="Calibri"/>
                <w:lang w:val="es-ES"/>
              </w:rPr>
              <w:t xml:space="preserve"> Panam</w:t>
            </w:r>
            <w:r>
              <w:rPr>
                <w:rFonts w:ascii="Calibri" w:hAnsi="Calibri" w:cs="Calibri"/>
                <w:lang w:val="es-ES"/>
              </w:rPr>
              <w:t>á</w:t>
            </w:r>
            <w:r w:rsidRPr="00FE42D5">
              <w:rPr>
                <w:rFonts w:ascii="Calibri" w:hAnsi="Calibri" w:cs="Calibri"/>
                <w:lang w:val="es-ES"/>
              </w:rPr>
              <w:t>.</w:t>
            </w:r>
          </w:p>
          <w:p w14:paraId="316E3842" w14:textId="77777777" w:rsidR="001E252D" w:rsidRPr="005C33FB" w:rsidRDefault="00CC5CD7" w:rsidP="00403C69">
            <w:pPr>
              <w:rPr>
                <w:b/>
                <w:bCs/>
                <w:szCs w:val="24"/>
                <w:lang w:val="es-ES"/>
              </w:rPr>
            </w:pPr>
            <w:r w:rsidRPr="005C33FB">
              <w:rPr>
                <w:b/>
                <w:bCs/>
                <w:lang w:val="es-ES"/>
              </w:rPr>
              <w:t>Acción solicitada:</w:t>
            </w:r>
          </w:p>
          <w:p w14:paraId="6C70FC30" w14:textId="5E8EF2E1" w:rsidR="005C33FB" w:rsidRDefault="002A63BC" w:rsidP="00403C69">
            <w:pPr>
              <w:rPr>
                <w:lang w:val="es-ES"/>
              </w:rPr>
            </w:pPr>
            <w:r w:rsidRPr="00FE42D5">
              <w:rPr>
                <w:rFonts w:ascii="Calibri" w:hAnsi="Calibri" w:cs="Calibri"/>
                <w:lang w:val="es-ES"/>
              </w:rPr>
              <w:t xml:space="preserve">Se invita al GADT a tomar nota de </w:t>
            </w:r>
            <w:r>
              <w:rPr>
                <w:rFonts w:ascii="Calibri" w:hAnsi="Calibri" w:cs="Calibri"/>
                <w:lang w:val="es-ES"/>
              </w:rPr>
              <w:t>este documento</w:t>
            </w:r>
            <w:r w:rsidRPr="00FE42D5">
              <w:rPr>
                <w:rFonts w:ascii="Calibri" w:hAnsi="Calibri" w:cs="Calibri"/>
                <w:lang w:val="es-ES"/>
              </w:rPr>
              <w:t>.</w:t>
            </w:r>
          </w:p>
          <w:p w14:paraId="4587B0D4" w14:textId="77777777" w:rsidR="001E252D" w:rsidRPr="00B41165" w:rsidRDefault="001E252D" w:rsidP="00B41165">
            <w:pPr>
              <w:rPr>
                <w:b/>
                <w:bCs/>
                <w:lang w:val="es-ES"/>
              </w:rPr>
            </w:pPr>
            <w:r w:rsidRPr="00B41165">
              <w:rPr>
                <w:b/>
                <w:bCs/>
                <w:lang w:val="es-ES"/>
              </w:rPr>
              <w:t>Referenc</w:t>
            </w:r>
            <w:r w:rsidR="005C33FB" w:rsidRPr="00B41165">
              <w:rPr>
                <w:b/>
                <w:bCs/>
                <w:lang w:val="es-ES"/>
              </w:rPr>
              <w:t>ia</w:t>
            </w:r>
            <w:r w:rsidRPr="00B41165">
              <w:rPr>
                <w:b/>
                <w:bCs/>
                <w:lang w:val="es-ES"/>
              </w:rPr>
              <w:t>s</w:t>
            </w:r>
            <w:r w:rsidR="008A3933" w:rsidRPr="00B41165">
              <w:rPr>
                <w:b/>
                <w:bCs/>
                <w:lang w:val="es-ES"/>
              </w:rPr>
              <w:t>:</w:t>
            </w:r>
          </w:p>
          <w:p w14:paraId="0197845E" w14:textId="5BC0ECCE" w:rsidR="001E252D" w:rsidRPr="005C33FB" w:rsidRDefault="002A63BC" w:rsidP="00403C69">
            <w:pPr>
              <w:spacing w:after="120"/>
              <w:rPr>
                <w:lang w:val="es-ES"/>
              </w:rPr>
            </w:pPr>
            <w:r w:rsidRPr="00FE42D5">
              <w:rPr>
                <w:rFonts w:ascii="Calibri" w:hAnsi="Calibri" w:cs="Calibri"/>
                <w:lang w:val="es-ES"/>
              </w:rPr>
              <w:t>1</w:t>
            </w:r>
            <w:r>
              <w:rPr>
                <w:rFonts w:ascii="Calibri" w:hAnsi="Calibri" w:cs="Calibri"/>
                <w:lang w:val="es-ES"/>
              </w:rPr>
              <w:t>.</w:t>
            </w:r>
            <w:r w:rsidRPr="00FE42D5">
              <w:rPr>
                <w:rFonts w:ascii="Calibri" w:hAnsi="Calibri" w:cs="Calibri"/>
                <w:lang w:val="es-ES"/>
              </w:rPr>
              <w:t>ª Sesión Plenaria de la reunión de 2023 del Cons</w:t>
            </w:r>
            <w:r>
              <w:rPr>
                <w:rFonts w:ascii="Calibri" w:hAnsi="Calibri" w:cs="Calibri"/>
                <w:lang w:val="es-ES"/>
              </w:rPr>
              <w:t>ejo, 12 de julio de</w:t>
            </w:r>
            <w:r w:rsidRPr="00FE42D5">
              <w:rPr>
                <w:rFonts w:ascii="Calibri" w:hAnsi="Calibri" w:cs="Calibri"/>
                <w:lang w:val="es-ES"/>
              </w:rPr>
              <w:t xml:space="preserve"> 2023 (</w:t>
            </w:r>
            <w:hyperlink r:id="rId12">
              <w:r>
                <w:rPr>
                  <w:rStyle w:val="Hyperlink"/>
                  <w:rFonts w:ascii="Calibri" w:hAnsi="Calibri" w:cs="Calibri"/>
                  <w:lang w:val="es-ES"/>
                </w:rPr>
                <w:t>Documento C23/106-S</w:t>
              </w:r>
            </w:hyperlink>
            <w:r w:rsidRPr="00FE42D5">
              <w:rPr>
                <w:rFonts w:ascii="Calibri" w:hAnsi="Calibri" w:cs="Calibri"/>
                <w:lang w:val="es-ES"/>
              </w:rPr>
              <w:t>)</w:t>
            </w:r>
          </w:p>
        </w:tc>
      </w:tr>
      <w:bookmarkEnd w:id="8"/>
      <w:bookmarkEnd w:id="9"/>
    </w:tbl>
    <w:p w14:paraId="082E7D23" w14:textId="77777777" w:rsidR="00075C63" w:rsidRDefault="00075C63" w:rsidP="00B06557">
      <w:pPr>
        <w:rPr>
          <w:lang w:val="es-ES"/>
        </w:rPr>
      </w:pPr>
      <w:r w:rsidRPr="005C33FB">
        <w:rPr>
          <w:lang w:val="es-ES"/>
        </w:rPr>
        <w:br w:type="page"/>
      </w:r>
    </w:p>
    <w:p w14:paraId="7588CA4A" w14:textId="77777777" w:rsidR="002A63BC" w:rsidRPr="00FE42D5" w:rsidRDefault="002A63BC" w:rsidP="006B4672">
      <w:pPr>
        <w:pStyle w:val="Annextitle"/>
        <w:rPr>
          <w:lang w:val="es-ES"/>
        </w:rPr>
      </w:pPr>
      <w:r w:rsidRPr="00FE42D5">
        <w:rPr>
          <w:lang w:val="es-ES"/>
        </w:rPr>
        <w:lastRenderedPageBreak/>
        <w:t xml:space="preserve">Informe sobre el traslado de la Oficina Zonal </w:t>
      </w:r>
      <w:r>
        <w:rPr>
          <w:lang w:val="es-ES"/>
        </w:rPr>
        <w:t>de</w:t>
      </w:r>
      <w:r w:rsidRPr="00FE42D5">
        <w:rPr>
          <w:lang w:val="es-ES"/>
        </w:rPr>
        <w:t xml:space="preserve"> Tegucigalpa </w:t>
      </w:r>
      <w:r>
        <w:rPr>
          <w:lang w:val="es-ES"/>
        </w:rPr>
        <w:t>a Ciudad de</w:t>
      </w:r>
      <w:r w:rsidRPr="00FE42D5">
        <w:rPr>
          <w:lang w:val="es-ES"/>
        </w:rPr>
        <w:t xml:space="preserve"> Panam</w:t>
      </w:r>
      <w:r>
        <w:rPr>
          <w:lang w:val="es-ES"/>
        </w:rPr>
        <w:t>á</w:t>
      </w:r>
    </w:p>
    <w:p w14:paraId="1BC56C0D" w14:textId="77777777" w:rsidR="002A63BC" w:rsidRPr="00464307" w:rsidRDefault="002A63BC" w:rsidP="006B4672">
      <w:pPr>
        <w:pStyle w:val="Headingb"/>
      </w:pPr>
      <w:r w:rsidRPr="00464307">
        <w:t>Antecedentes</w:t>
      </w:r>
    </w:p>
    <w:p w14:paraId="7FCEE93D" w14:textId="77777777" w:rsidR="002A63BC" w:rsidRPr="0079452B" w:rsidRDefault="002A63BC" w:rsidP="006B4672">
      <w:pPr>
        <w:rPr>
          <w:lang w:val="es-ES"/>
        </w:rPr>
      </w:pPr>
      <w:r w:rsidRPr="0079452B">
        <w:rPr>
          <w:lang w:val="es-ES"/>
        </w:rPr>
        <w:t>En su 1</w:t>
      </w:r>
      <w:r>
        <w:rPr>
          <w:lang w:val="es-ES"/>
        </w:rPr>
        <w:t>.</w:t>
      </w:r>
      <w:r w:rsidRPr="0079452B">
        <w:rPr>
          <w:lang w:val="es-ES"/>
        </w:rPr>
        <w:t>ª Sesión Plenaria, celebrada el 12 de julio de 2023, el Consejo de la UIT encargó a la Secretaria General que trasladase la Oficina Zonal de Tegucigalpa a</w:t>
      </w:r>
      <w:r>
        <w:rPr>
          <w:lang w:val="es-ES"/>
        </w:rPr>
        <w:t xml:space="preserve"> Ciudad de Panamá, como se recoge en el Documento</w:t>
      </w:r>
      <w:r w:rsidRPr="0079452B">
        <w:rPr>
          <w:lang w:val="es-ES"/>
        </w:rPr>
        <w:t xml:space="preserve"> </w:t>
      </w:r>
      <w:hyperlink r:id="rId13" w:history="1">
        <w:r>
          <w:rPr>
            <w:rStyle w:val="Hyperlink"/>
            <w:rFonts w:ascii="Calibri" w:hAnsi="Calibri" w:cs="Calibri"/>
            <w:lang w:val="es-ES"/>
          </w:rPr>
          <w:t>C23/106-S</w:t>
        </w:r>
      </w:hyperlink>
      <w:r w:rsidRPr="0079452B">
        <w:rPr>
          <w:lang w:val="es-ES"/>
        </w:rPr>
        <w:t xml:space="preserve">. Esta decisión se argumentó en </w:t>
      </w:r>
      <w:r>
        <w:rPr>
          <w:lang w:val="es-ES"/>
        </w:rPr>
        <w:t>las contribuciones presentadas por</w:t>
      </w:r>
      <w:r w:rsidRPr="0079452B">
        <w:rPr>
          <w:lang w:val="es-ES"/>
        </w:rPr>
        <w:t xml:space="preserve"> Panam</w:t>
      </w:r>
      <w:r>
        <w:rPr>
          <w:lang w:val="es-ES"/>
        </w:rPr>
        <w:t>á</w:t>
      </w:r>
      <w:r w:rsidRPr="0079452B">
        <w:rPr>
          <w:lang w:val="es-ES"/>
        </w:rPr>
        <w:t xml:space="preserve"> (</w:t>
      </w:r>
      <w:hyperlink r:id="rId14" w:history="1">
        <w:r>
          <w:rPr>
            <w:rStyle w:val="Hyperlink"/>
            <w:rFonts w:ascii="Calibri" w:hAnsi="Calibri" w:cs="Calibri"/>
            <w:lang w:val="es-ES"/>
          </w:rPr>
          <w:t>C23/64-S</w:t>
        </w:r>
      </w:hyperlink>
      <w:r w:rsidRPr="0079452B">
        <w:rPr>
          <w:lang w:val="es-ES"/>
        </w:rPr>
        <w:t xml:space="preserve">) </w:t>
      </w:r>
      <w:r>
        <w:rPr>
          <w:lang w:val="es-ES"/>
        </w:rPr>
        <w:t>y</w:t>
      </w:r>
      <w:r w:rsidRPr="0079452B">
        <w:rPr>
          <w:lang w:val="es-ES"/>
        </w:rPr>
        <w:t xml:space="preserve"> Honduras (</w:t>
      </w:r>
      <w:hyperlink r:id="rId15" w:history="1">
        <w:r>
          <w:rPr>
            <w:rStyle w:val="Hyperlink"/>
            <w:rFonts w:ascii="Calibri" w:hAnsi="Calibri" w:cs="Calibri"/>
            <w:lang w:val="es-ES"/>
          </w:rPr>
          <w:t>C23/65-S</w:t>
        </w:r>
      </w:hyperlink>
      <w:r w:rsidRPr="0079452B">
        <w:rPr>
          <w:lang w:val="es-ES"/>
        </w:rPr>
        <w:t>).</w:t>
      </w:r>
    </w:p>
    <w:p w14:paraId="3FD6C40B" w14:textId="77777777" w:rsidR="002A63BC" w:rsidRPr="00464307" w:rsidRDefault="002A63BC" w:rsidP="006B4672">
      <w:pPr>
        <w:pStyle w:val="Headingb"/>
      </w:pPr>
      <w:r>
        <w:t>Avances</w:t>
      </w:r>
    </w:p>
    <w:p w14:paraId="2D2BAFA4" w14:textId="295A5DE4" w:rsidR="002A63BC" w:rsidRPr="0079452B" w:rsidRDefault="002A63BC" w:rsidP="006B4672">
      <w:pPr>
        <w:rPr>
          <w:lang w:val="es-ES"/>
        </w:rPr>
      </w:pPr>
      <w:r w:rsidRPr="0079452B">
        <w:rPr>
          <w:lang w:val="es-ES"/>
        </w:rPr>
        <w:t>Se ha avanzado en el traslado de la Oficina Zonal de Tegucigalpa a</w:t>
      </w:r>
      <w:r>
        <w:rPr>
          <w:lang w:val="es-ES"/>
        </w:rPr>
        <w:t xml:space="preserve"> Ciudad de</w:t>
      </w:r>
      <w:r w:rsidRPr="0079452B">
        <w:rPr>
          <w:lang w:val="es-ES"/>
        </w:rPr>
        <w:t xml:space="preserve"> </w:t>
      </w:r>
      <w:r w:rsidR="006B4672" w:rsidRPr="0079452B">
        <w:rPr>
          <w:lang w:val="es-ES"/>
        </w:rPr>
        <w:t>Panam</w:t>
      </w:r>
      <w:r w:rsidR="006B4672">
        <w:rPr>
          <w:lang w:val="es-ES"/>
        </w:rPr>
        <w:t>a</w:t>
      </w:r>
      <w:r w:rsidRPr="0079452B">
        <w:rPr>
          <w:lang w:val="es-ES"/>
        </w:rPr>
        <w:t xml:space="preserve"> City </w:t>
      </w:r>
      <w:r>
        <w:rPr>
          <w:lang w:val="es-ES"/>
        </w:rPr>
        <w:t>de la siguiente manera</w:t>
      </w:r>
      <w:r w:rsidRPr="0079452B">
        <w:rPr>
          <w:lang w:val="es-ES"/>
        </w:rPr>
        <w:t>:</w:t>
      </w:r>
    </w:p>
    <w:p w14:paraId="7FFDF1A7" w14:textId="5D2405BC" w:rsidR="002A63BC" w:rsidRPr="0079452B" w:rsidRDefault="002A63BC" w:rsidP="006B4672">
      <w:pPr>
        <w:rPr>
          <w:szCs w:val="24"/>
          <w:lang w:val="es-ES"/>
        </w:rPr>
      </w:pPr>
      <w:r w:rsidRPr="0079452B">
        <w:rPr>
          <w:b/>
          <w:bCs/>
          <w:szCs w:val="24"/>
          <w:lang w:val="es-ES"/>
        </w:rPr>
        <w:t>Se completó con éxito la negociación del Acuerdo de País Anfitrión (HCA), coh</w:t>
      </w:r>
      <w:r>
        <w:rPr>
          <w:b/>
          <w:bCs/>
          <w:szCs w:val="24"/>
          <w:lang w:val="es-ES"/>
        </w:rPr>
        <w:t>erente con la contribución de Panamá al Consejo</w:t>
      </w:r>
      <w:r w:rsidRPr="0079452B">
        <w:rPr>
          <w:b/>
          <w:bCs/>
          <w:szCs w:val="24"/>
          <w:lang w:val="es-ES"/>
        </w:rPr>
        <w:t xml:space="preserve"> (</w:t>
      </w:r>
      <w:hyperlink r:id="rId16">
        <w:r>
          <w:rPr>
            <w:rStyle w:val="Hyperlink"/>
            <w:rFonts w:ascii="Calibri" w:hAnsi="Calibri" w:cs="Calibri"/>
            <w:b/>
            <w:bCs/>
            <w:szCs w:val="24"/>
            <w:lang w:val="es-ES"/>
          </w:rPr>
          <w:t>C23/64-S</w:t>
        </w:r>
      </w:hyperlink>
      <w:r w:rsidRPr="0079452B">
        <w:rPr>
          <w:b/>
          <w:bCs/>
          <w:szCs w:val="24"/>
          <w:lang w:val="es-ES"/>
        </w:rPr>
        <w:t xml:space="preserve">), </w:t>
      </w:r>
      <w:r>
        <w:rPr>
          <w:b/>
          <w:bCs/>
          <w:szCs w:val="24"/>
          <w:lang w:val="es-ES"/>
        </w:rPr>
        <w:t>que se firmó en diciembre de</w:t>
      </w:r>
      <w:r w:rsidRPr="0079452B">
        <w:rPr>
          <w:b/>
          <w:bCs/>
          <w:szCs w:val="24"/>
          <w:lang w:val="es-ES"/>
        </w:rPr>
        <w:t xml:space="preserve"> 2025</w:t>
      </w:r>
      <w:r w:rsidRPr="0079452B">
        <w:rPr>
          <w:szCs w:val="24"/>
          <w:lang w:val="es-ES"/>
        </w:rPr>
        <w:t xml:space="preserve">. Las negociaciones se iniciaron formalmente en septiembre de 2023 con el </w:t>
      </w:r>
      <w:r>
        <w:rPr>
          <w:szCs w:val="24"/>
          <w:lang w:val="es-ES"/>
        </w:rPr>
        <w:t xml:space="preserve">anterior Gobierno de Panamá. </w:t>
      </w:r>
      <w:r w:rsidRPr="00464307">
        <w:rPr>
          <w:szCs w:val="24"/>
          <w:lang w:val="es-ES"/>
        </w:rPr>
        <w:t xml:space="preserve">El Gobierno del Excmo. </w:t>
      </w:r>
      <w:r w:rsidRPr="0079452B">
        <w:rPr>
          <w:szCs w:val="24"/>
          <w:lang w:val="es-ES"/>
        </w:rPr>
        <w:t xml:space="preserve">Sr. José Raúl Mulino, que entró en funciones el 1 de julio de 2024, reafirmó el compromiso de Panamá para acoger la Oficina Zonal de la UIT, facilitando así la continuación </w:t>
      </w:r>
      <w:r>
        <w:rPr>
          <w:szCs w:val="24"/>
          <w:lang w:val="es-ES"/>
        </w:rPr>
        <w:t>y satisfactoria conclusión de las negociaciones</w:t>
      </w:r>
      <w:r w:rsidRPr="0079452B">
        <w:rPr>
          <w:szCs w:val="24"/>
          <w:lang w:val="es-ES"/>
        </w:rPr>
        <w:t>.</w:t>
      </w:r>
    </w:p>
    <w:p w14:paraId="4C2C9405" w14:textId="0CA75C3E" w:rsidR="002A63BC" w:rsidRPr="00F17D3C" w:rsidRDefault="002A63BC" w:rsidP="006B4672">
      <w:pPr>
        <w:rPr>
          <w:szCs w:val="24"/>
          <w:lang w:val="es-ES"/>
        </w:rPr>
      </w:pPr>
      <w:r w:rsidRPr="0079452B">
        <w:rPr>
          <w:szCs w:val="24"/>
          <w:lang w:val="es-ES"/>
        </w:rPr>
        <w:t>De conformidad con el HCA, el Gobierno de Panamá designó como sede de la Oficina Zonal de</w:t>
      </w:r>
      <w:r>
        <w:rPr>
          <w:szCs w:val="24"/>
          <w:lang w:val="es-ES"/>
        </w:rPr>
        <w:t xml:space="preserve"> la UIT el Complejo Institucional</w:t>
      </w:r>
      <w:r w:rsidRPr="0079452B">
        <w:rPr>
          <w:szCs w:val="24"/>
          <w:lang w:val="es-ES"/>
        </w:rPr>
        <w:t xml:space="preserve"> </w:t>
      </w:r>
      <w:r w:rsidR="006B4672">
        <w:rPr>
          <w:szCs w:val="24"/>
          <w:lang w:val="es-ES"/>
        </w:rPr>
        <w:t>"</w:t>
      </w:r>
      <w:r w:rsidRPr="0079452B">
        <w:rPr>
          <w:szCs w:val="24"/>
          <w:lang w:val="es-ES"/>
        </w:rPr>
        <w:t>Ciudad del Saber</w:t>
      </w:r>
      <w:r w:rsidR="006B4672">
        <w:rPr>
          <w:szCs w:val="24"/>
          <w:lang w:val="es-ES"/>
        </w:rPr>
        <w:t>"</w:t>
      </w:r>
      <w:r w:rsidRPr="0079452B">
        <w:rPr>
          <w:szCs w:val="24"/>
          <w:lang w:val="es-ES"/>
        </w:rPr>
        <w:t xml:space="preserve">. La Autoridad Nacional de los Servicios Públicos (ASEP) desempeñó un papel </w:t>
      </w:r>
      <w:r>
        <w:rPr>
          <w:szCs w:val="24"/>
          <w:lang w:val="es-ES"/>
        </w:rPr>
        <w:t xml:space="preserve">clave a la hora de reservar el emplazamiento, que se comparte con diversos organismos, Fondos y Programas de las Naciones Unidas. </w:t>
      </w:r>
      <w:r w:rsidRPr="00F17D3C">
        <w:rPr>
          <w:szCs w:val="24"/>
          <w:lang w:val="es-ES"/>
        </w:rPr>
        <w:t>Cabe en particular dar las gracias al Ministerio de Relaciones Exteriores y la</w:t>
      </w:r>
      <w:r>
        <w:rPr>
          <w:szCs w:val="24"/>
          <w:lang w:val="es-ES"/>
        </w:rPr>
        <w:t xml:space="preserve"> Autoridad Nacional de los Servicios Públicos (ASEP), que han liderado el proceso.</w:t>
      </w:r>
    </w:p>
    <w:p w14:paraId="6537637F" w14:textId="753DC10D" w:rsidR="002A63BC" w:rsidRPr="00F17D3C" w:rsidRDefault="002A63BC" w:rsidP="006B4672">
      <w:pPr>
        <w:rPr>
          <w:szCs w:val="24"/>
          <w:lang w:val="es-ES"/>
        </w:rPr>
      </w:pPr>
      <w:r w:rsidRPr="00F17D3C">
        <w:rPr>
          <w:szCs w:val="24"/>
          <w:lang w:val="es-ES"/>
        </w:rPr>
        <w:t xml:space="preserve">Han participado activamente en el proceso de negociación y coordinación la Unidad de Asuntos Jurídicos, la </w:t>
      </w:r>
      <w:r>
        <w:rPr>
          <w:szCs w:val="24"/>
          <w:lang w:val="es-ES"/>
        </w:rPr>
        <w:t xml:space="preserve">División de la Seguridad, la Protección y la Resiliencia, los Departamentos de Riesgos Operacionales y Servicios Informáticos de la UIT, el Director Regional para las Américas y el personal de la UIT </w:t>
      </w:r>
      <w:r>
        <w:rPr>
          <w:i/>
          <w:iCs/>
          <w:szCs w:val="24"/>
          <w:lang w:val="es-ES"/>
        </w:rPr>
        <w:t>in situ</w:t>
      </w:r>
      <w:r w:rsidRPr="00F17D3C">
        <w:rPr>
          <w:szCs w:val="24"/>
          <w:lang w:val="es-ES"/>
        </w:rPr>
        <w:t>.</w:t>
      </w:r>
    </w:p>
    <w:p w14:paraId="18F0FD9E" w14:textId="0B8A7AB6" w:rsidR="002A63BC" w:rsidRPr="00F17D3C" w:rsidRDefault="002A63BC" w:rsidP="006B4672">
      <w:pPr>
        <w:rPr>
          <w:lang w:val="es-ES"/>
        </w:rPr>
      </w:pPr>
      <w:r w:rsidRPr="00F17D3C">
        <w:rPr>
          <w:lang w:val="es-ES"/>
        </w:rPr>
        <w:t>Por último, de acuerdo con los procesos y procedimientos de la UIT y el Gobierno de Panamá, se han cumplido las siguientes etapas</w:t>
      </w:r>
      <w:r>
        <w:rPr>
          <w:lang w:val="es-ES"/>
        </w:rPr>
        <w:t xml:space="preserve"> a fin de trasladar efectivamente la Oficina Zonal</w:t>
      </w:r>
      <w:r w:rsidRPr="00F17D3C">
        <w:rPr>
          <w:lang w:val="es-ES"/>
        </w:rPr>
        <w:t>:</w:t>
      </w:r>
    </w:p>
    <w:p w14:paraId="703E6140" w14:textId="3995CF72" w:rsidR="002A63BC" w:rsidRPr="00F17D3C" w:rsidRDefault="002A63BC" w:rsidP="006B4672">
      <w:pPr>
        <w:pStyle w:val="enumlev1"/>
        <w:rPr>
          <w:lang w:val="es-ES"/>
        </w:rPr>
      </w:pPr>
      <w:r w:rsidRPr="002A63BC">
        <w:rPr>
          <w:lang w:val="es-ES"/>
        </w:rPr>
        <w:t>–</w:t>
      </w:r>
      <w:r>
        <w:rPr>
          <w:lang w:val="es-ES"/>
        </w:rPr>
        <w:tab/>
      </w:r>
      <w:r w:rsidRPr="00F17D3C">
        <w:rPr>
          <w:lang w:val="es-ES"/>
        </w:rPr>
        <w:t>Ratificación del Acuerdo de País Anfitrión por la Asamblea Nacion</w:t>
      </w:r>
      <w:r>
        <w:rPr>
          <w:lang w:val="es-ES"/>
        </w:rPr>
        <w:t>al de Panamá</w:t>
      </w:r>
      <w:r w:rsidRPr="00F17D3C">
        <w:rPr>
          <w:lang w:val="es-ES"/>
        </w:rPr>
        <w:t>.</w:t>
      </w:r>
    </w:p>
    <w:p w14:paraId="2425BFB3" w14:textId="2757EDB7" w:rsidR="002A63BC" w:rsidRPr="00F17D3C" w:rsidRDefault="002A63BC" w:rsidP="006B4672">
      <w:pPr>
        <w:pStyle w:val="enumlev1"/>
        <w:rPr>
          <w:lang w:val="es-ES"/>
        </w:rPr>
      </w:pPr>
      <w:r w:rsidRPr="002A63BC">
        <w:rPr>
          <w:lang w:val="es-ES"/>
        </w:rPr>
        <w:t>–</w:t>
      </w:r>
      <w:r>
        <w:rPr>
          <w:lang w:val="es-ES"/>
        </w:rPr>
        <w:tab/>
      </w:r>
      <w:r w:rsidRPr="00F17D3C">
        <w:rPr>
          <w:lang w:val="es-ES"/>
        </w:rPr>
        <w:t xml:space="preserve">Finalización de la instalación de los locales de la UIT conforme a los </w:t>
      </w:r>
      <w:r>
        <w:rPr>
          <w:lang w:val="es-ES"/>
        </w:rPr>
        <w:t>términos del Acuerdo de País Anfitrión</w:t>
      </w:r>
      <w:r w:rsidRPr="00F17D3C">
        <w:rPr>
          <w:lang w:val="es-ES"/>
        </w:rPr>
        <w:t>.</w:t>
      </w:r>
    </w:p>
    <w:p w14:paraId="5737FBC9" w14:textId="3B1A047E" w:rsidR="002A63BC" w:rsidRPr="00F17D3C" w:rsidRDefault="002A63BC" w:rsidP="006B4672">
      <w:pPr>
        <w:pStyle w:val="enumlev1"/>
        <w:rPr>
          <w:lang w:val="es-ES"/>
        </w:rPr>
      </w:pPr>
      <w:r w:rsidRPr="002A63BC">
        <w:rPr>
          <w:lang w:val="es-ES"/>
        </w:rPr>
        <w:t>–</w:t>
      </w:r>
      <w:r>
        <w:rPr>
          <w:lang w:val="es-ES"/>
        </w:rPr>
        <w:tab/>
      </w:r>
      <w:r w:rsidRPr="00F17D3C">
        <w:rPr>
          <w:lang w:val="es-ES"/>
        </w:rPr>
        <w:t xml:space="preserve">Implementación de los necesarios procedimientos de recursos humanos en la BDT y </w:t>
      </w:r>
      <w:r>
        <w:rPr>
          <w:lang w:val="es-ES"/>
        </w:rPr>
        <w:t>la</w:t>
      </w:r>
      <w:r w:rsidR="006B4672">
        <w:rPr>
          <w:lang w:val="es-ES"/>
        </w:rPr>
        <w:t> </w:t>
      </w:r>
      <w:r>
        <w:rPr>
          <w:lang w:val="es-ES"/>
        </w:rPr>
        <w:t>UIT a fin de garantizar la dotación de personal de la nueva Oficina Zonal</w:t>
      </w:r>
      <w:r w:rsidRPr="00F17D3C">
        <w:rPr>
          <w:lang w:val="es-ES"/>
        </w:rPr>
        <w:t>.</w:t>
      </w:r>
    </w:p>
    <w:p w14:paraId="19C32BFB" w14:textId="0EB15D0F" w:rsidR="002A63BC" w:rsidRPr="00F17D3C" w:rsidRDefault="002A63BC" w:rsidP="006B4672">
      <w:pPr>
        <w:pStyle w:val="enumlev1"/>
        <w:rPr>
          <w:lang w:val="es-ES"/>
        </w:rPr>
      </w:pPr>
      <w:r w:rsidRPr="002A63BC">
        <w:rPr>
          <w:lang w:val="es-ES"/>
        </w:rPr>
        <w:t>–</w:t>
      </w:r>
      <w:r>
        <w:rPr>
          <w:lang w:val="es-ES"/>
        </w:rPr>
        <w:tab/>
      </w:r>
      <w:r w:rsidRPr="00F17D3C">
        <w:rPr>
          <w:lang w:val="es-ES"/>
        </w:rPr>
        <w:t xml:space="preserve">Finalización de los procedimientos administrativos para la </w:t>
      </w:r>
      <w:r>
        <w:rPr>
          <w:lang w:val="es-ES"/>
        </w:rPr>
        <w:t>clausura de la Oficina Zonal de la UIT en</w:t>
      </w:r>
      <w:r w:rsidRPr="00F17D3C">
        <w:rPr>
          <w:lang w:val="es-ES"/>
        </w:rPr>
        <w:t xml:space="preserve"> Honduras.</w:t>
      </w:r>
    </w:p>
    <w:p w14:paraId="6F7B0D7A" w14:textId="454BBB53" w:rsidR="002A63BC" w:rsidRPr="00F17D3C" w:rsidRDefault="002A63BC" w:rsidP="006B4672">
      <w:pPr>
        <w:pStyle w:val="enumlev1"/>
        <w:rPr>
          <w:lang w:val="es-ES"/>
        </w:rPr>
      </w:pPr>
      <w:r w:rsidRPr="002A63BC">
        <w:rPr>
          <w:lang w:val="es-ES"/>
        </w:rPr>
        <w:t>–</w:t>
      </w:r>
      <w:r>
        <w:rPr>
          <w:lang w:val="es-ES"/>
        </w:rPr>
        <w:tab/>
      </w:r>
      <w:r w:rsidRPr="00F17D3C">
        <w:rPr>
          <w:lang w:val="es-ES"/>
        </w:rPr>
        <w:t xml:space="preserve">Notificación Oficinal al Gobierno de Honduras en relación con </w:t>
      </w:r>
      <w:r>
        <w:rPr>
          <w:lang w:val="es-ES"/>
        </w:rPr>
        <w:t>la partida de la UIT</w:t>
      </w:r>
      <w:r w:rsidRPr="00F17D3C">
        <w:rPr>
          <w:lang w:val="es-ES"/>
        </w:rPr>
        <w:t>.</w:t>
      </w:r>
    </w:p>
    <w:p w14:paraId="7A834CFD" w14:textId="055E45CF" w:rsidR="00B06557" w:rsidRPr="002A63BC" w:rsidRDefault="002A63BC" w:rsidP="006B4672">
      <w:pPr>
        <w:pStyle w:val="enumlev1"/>
        <w:rPr>
          <w:lang w:val="es-ES"/>
        </w:rPr>
      </w:pPr>
      <w:r w:rsidRPr="002A63BC">
        <w:rPr>
          <w:lang w:val="es-ES"/>
        </w:rPr>
        <w:t>–</w:t>
      </w:r>
      <w:r>
        <w:rPr>
          <w:lang w:val="es-ES"/>
        </w:rPr>
        <w:tab/>
      </w:r>
      <w:r w:rsidRPr="00F17D3C">
        <w:rPr>
          <w:lang w:val="es-ES"/>
        </w:rPr>
        <w:t>Inauguración oficial de la Oficina Zonal de la UI</w:t>
      </w:r>
      <w:r>
        <w:rPr>
          <w:lang w:val="es-ES"/>
        </w:rPr>
        <w:t>T en Ciudad de Panamá</w:t>
      </w:r>
      <w:r w:rsidRPr="00F17D3C">
        <w:rPr>
          <w:lang w:val="es-ES"/>
        </w:rPr>
        <w:t>.</w:t>
      </w:r>
    </w:p>
    <w:p w14:paraId="1A2D80FC" w14:textId="77777777" w:rsidR="00B06557" w:rsidRDefault="00B06557">
      <w:pPr>
        <w:jc w:val="center"/>
      </w:pPr>
      <w:r>
        <w:t>______________</w:t>
      </w:r>
    </w:p>
    <w:sectPr w:rsidR="00B06557" w:rsidSect="0081159E">
      <w:headerReference w:type="default" r:id="rId17"/>
      <w:footerReference w:type="first" r:id="rId18"/>
      <w:pgSz w:w="11907" w:h="16840" w:code="9"/>
      <w:pgMar w:top="1418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B8005" w14:textId="77777777" w:rsidR="002A63BC" w:rsidRDefault="002A63BC">
      <w:r>
        <w:separator/>
      </w:r>
    </w:p>
    <w:p w14:paraId="3F8B29D7" w14:textId="77777777" w:rsidR="002A63BC" w:rsidRDefault="002A63BC"/>
  </w:endnote>
  <w:endnote w:type="continuationSeparator" w:id="0">
    <w:p w14:paraId="63BE1229" w14:textId="77777777" w:rsidR="002A63BC" w:rsidRDefault="002A63BC">
      <w:r>
        <w:continuationSeparator/>
      </w:r>
    </w:p>
    <w:p w14:paraId="0DCBA7AF" w14:textId="77777777" w:rsidR="002A63BC" w:rsidRDefault="002A63BC"/>
  </w:endnote>
  <w:endnote w:type="continuationNotice" w:id="1">
    <w:p w14:paraId="06728955" w14:textId="77777777" w:rsidR="002A63BC" w:rsidRDefault="002A63BC">
      <w:pPr>
        <w:spacing w:before="0"/>
      </w:pPr>
    </w:p>
    <w:p w14:paraId="730B2B03" w14:textId="77777777" w:rsidR="002A63BC" w:rsidRDefault="002A63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524"/>
      <w:gridCol w:w="5873"/>
    </w:tblGrid>
    <w:tr w:rsidR="00602CFD" w:rsidRPr="002A63BC" w14:paraId="095F6B90" w14:textId="77777777" w:rsidTr="00357049">
      <w:tc>
        <w:tcPr>
          <w:tcW w:w="1526" w:type="dxa"/>
          <w:tcBorders>
            <w:top w:val="single" w:sz="4" w:space="0" w:color="000000"/>
          </w:tcBorders>
        </w:tcPr>
        <w:p w14:paraId="5D1E6211" w14:textId="77777777" w:rsidR="00602CFD" w:rsidRPr="00F42215" w:rsidRDefault="00602CFD" w:rsidP="00B06557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Contact</w:t>
          </w:r>
          <w:r w:rsidR="00357049" w:rsidRPr="00F42215">
            <w:rPr>
              <w:sz w:val="18"/>
              <w:szCs w:val="18"/>
              <w:lang w:val="es-ES"/>
            </w:rPr>
            <w:t>o</w:t>
          </w:r>
          <w:r w:rsidRPr="00F42215">
            <w:rPr>
              <w:sz w:val="18"/>
              <w:szCs w:val="18"/>
              <w:lang w:val="es-ES"/>
            </w:rPr>
            <w:t>:</w:t>
          </w:r>
        </w:p>
      </w:tc>
      <w:tc>
        <w:tcPr>
          <w:tcW w:w="2524" w:type="dxa"/>
          <w:tcBorders>
            <w:top w:val="single" w:sz="4" w:space="0" w:color="000000"/>
          </w:tcBorders>
        </w:tcPr>
        <w:p w14:paraId="71A51D29" w14:textId="77777777" w:rsidR="00602CFD" w:rsidRPr="00F42215" w:rsidRDefault="00357049" w:rsidP="00602CFD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Nombre/Organización/Entidad:</w:t>
          </w:r>
        </w:p>
      </w:tc>
      <w:tc>
        <w:tcPr>
          <w:tcW w:w="5873" w:type="dxa"/>
          <w:tcBorders>
            <w:top w:val="single" w:sz="4" w:space="0" w:color="000000"/>
          </w:tcBorders>
        </w:tcPr>
        <w:p w14:paraId="665C98D1" w14:textId="1F995535" w:rsidR="00602CFD" w:rsidRPr="00F42215" w:rsidRDefault="002A63BC" w:rsidP="00602CFD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r w:rsidRPr="00F17D3C">
            <w:rPr>
              <w:rFonts w:ascii="Calibri" w:hAnsi="Calibri" w:cs="Calibri"/>
              <w:sz w:val="18"/>
              <w:szCs w:val="22"/>
              <w:lang w:val="es-ES"/>
            </w:rPr>
            <w:t xml:space="preserve">Sra. Archana Gulati, Directora Adjunta, Oficina de Desarrollo de </w:t>
          </w:r>
          <w:r>
            <w:rPr>
              <w:rFonts w:ascii="Calibri" w:hAnsi="Calibri" w:cs="Calibri"/>
              <w:sz w:val="18"/>
              <w:szCs w:val="22"/>
              <w:lang w:val="es-ES"/>
            </w:rPr>
            <w:t>las Telecomunicaciones</w:t>
          </w:r>
        </w:p>
      </w:tc>
      <w:bookmarkStart w:id="10" w:name="OrgName"/>
      <w:bookmarkEnd w:id="10"/>
    </w:tr>
    <w:tr w:rsidR="00602CFD" w:rsidRPr="004D495C" w14:paraId="14301C18" w14:textId="77777777" w:rsidTr="00357049">
      <w:tc>
        <w:tcPr>
          <w:tcW w:w="1526" w:type="dxa"/>
        </w:tcPr>
        <w:p w14:paraId="2CAE1A6D" w14:textId="77777777" w:rsidR="00602CFD" w:rsidRPr="00F42215" w:rsidRDefault="00602CFD" w:rsidP="00602CFD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  <w:lang w:val="es-ES"/>
            </w:rPr>
          </w:pPr>
        </w:p>
      </w:tc>
      <w:tc>
        <w:tcPr>
          <w:tcW w:w="2524" w:type="dxa"/>
        </w:tcPr>
        <w:p w14:paraId="2E389A65" w14:textId="77777777" w:rsidR="00602CFD" w:rsidRPr="00F42215" w:rsidRDefault="00357049" w:rsidP="00B06557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Teléfono:</w:t>
          </w:r>
        </w:p>
      </w:tc>
      <w:tc>
        <w:tcPr>
          <w:tcW w:w="5873" w:type="dxa"/>
        </w:tcPr>
        <w:p w14:paraId="4C87E384" w14:textId="215DF5A2" w:rsidR="00602CFD" w:rsidRPr="00F42215" w:rsidRDefault="002A63BC" w:rsidP="00602CFD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r w:rsidRPr="00FE0E11">
            <w:rPr>
              <w:rFonts w:ascii="Calibri" w:hAnsi="Calibri" w:cs="Calibri"/>
              <w:sz w:val="18"/>
              <w:szCs w:val="22"/>
            </w:rPr>
            <w:t>+41 22 730 6475</w:t>
          </w:r>
        </w:p>
      </w:tc>
      <w:bookmarkStart w:id="11" w:name="PhoneNo"/>
      <w:bookmarkEnd w:id="11"/>
    </w:tr>
    <w:tr w:rsidR="00602CFD" w:rsidRPr="004D495C" w14:paraId="20173DAB" w14:textId="77777777" w:rsidTr="00357049">
      <w:tc>
        <w:tcPr>
          <w:tcW w:w="1526" w:type="dxa"/>
        </w:tcPr>
        <w:p w14:paraId="14B26FBB" w14:textId="77777777" w:rsidR="00602CFD" w:rsidRPr="00F42215" w:rsidRDefault="00602CFD" w:rsidP="00602CFD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  <w:lang w:val="es-ES"/>
            </w:rPr>
          </w:pPr>
        </w:p>
      </w:tc>
      <w:tc>
        <w:tcPr>
          <w:tcW w:w="2524" w:type="dxa"/>
        </w:tcPr>
        <w:p w14:paraId="1C751674" w14:textId="77777777" w:rsidR="00602CFD" w:rsidRPr="00F42215" w:rsidRDefault="00357049" w:rsidP="00864A15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Correo-e:</w:t>
          </w:r>
        </w:p>
      </w:tc>
      <w:tc>
        <w:tcPr>
          <w:tcW w:w="5873" w:type="dxa"/>
        </w:tcPr>
        <w:p w14:paraId="52EB187C" w14:textId="792C99C6" w:rsidR="00602CFD" w:rsidRPr="00F42215" w:rsidRDefault="002A63BC" w:rsidP="00602CFD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hyperlink r:id="rId1" w:history="1">
            <w:r w:rsidRPr="00FC384B">
              <w:rPr>
                <w:rStyle w:val="Hyperlink"/>
                <w:rFonts w:ascii="Calibri" w:hAnsi="Calibri" w:cs="Calibri"/>
                <w:sz w:val="18"/>
                <w:szCs w:val="22"/>
              </w:rPr>
              <w:t>archana.gulati@itu.int</w:t>
            </w:r>
          </w:hyperlink>
        </w:p>
      </w:tc>
      <w:bookmarkStart w:id="12" w:name="Email"/>
      <w:bookmarkEnd w:id="12"/>
    </w:tr>
  </w:tbl>
  <w:p w14:paraId="36A57CD3" w14:textId="77777777" w:rsidR="00602CFD" w:rsidRPr="00602CFD" w:rsidRDefault="00602CFD" w:rsidP="00602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CAB1D" w14:textId="77777777" w:rsidR="002A63BC" w:rsidRPr="0054377E" w:rsidRDefault="002A63BC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3748C5D1" w14:textId="77777777" w:rsidR="002A63BC" w:rsidRDefault="002A63BC" w:rsidP="0054377E">
      <w:pPr>
        <w:spacing w:before="0"/>
      </w:pPr>
      <w:r>
        <w:continuationSeparator/>
      </w:r>
    </w:p>
    <w:p w14:paraId="7DD9AADA" w14:textId="77777777" w:rsidR="002A63BC" w:rsidRDefault="002A63BC"/>
  </w:footnote>
  <w:footnote w:type="continuationNotice" w:id="1">
    <w:p w14:paraId="1CA59AF9" w14:textId="77777777" w:rsidR="002A63BC" w:rsidRDefault="002A63BC">
      <w:pPr>
        <w:spacing w:before="0"/>
      </w:pPr>
    </w:p>
    <w:p w14:paraId="18370AD7" w14:textId="77777777" w:rsidR="002A63BC" w:rsidRDefault="002A63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58B6A" w14:textId="7C8F6BEB" w:rsidR="00636181" w:rsidRPr="00B41165" w:rsidRDefault="00636181" w:rsidP="00B41165">
    <w:pPr>
      <w:tabs>
        <w:tab w:val="clear" w:pos="1134"/>
        <w:tab w:val="clear" w:pos="1871"/>
        <w:tab w:val="clear" w:pos="2268"/>
        <w:tab w:val="center" w:pos="4820"/>
        <w:tab w:val="right" w:pos="14003"/>
      </w:tabs>
      <w:ind w:right="1"/>
      <w:rPr>
        <w:smallCaps/>
        <w:spacing w:val="24"/>
        <w:sz w:val="22"/>
        <w:szCs w:val="22"/>
        <w:lang w:val="es-ES_tradnl"/>
      </w:rPr>
    </w:pPr>
    <w:r w:rsidRPr="004D495C">
      <w:rPr>
        <w:sz w:val="22"/>
        <w:szCs w:val="22"/>
      </w:rPr>
      <w:tab/>
    </w:r>
    <w:r>
      <w:rPr>
        <w:sz w:val="22"/>
        <w:szCs w:val="22"/>
        <w:lang w:val="es-ES_tradnl"/>
      </w:rPr>
      <w:t>TDAG-2</w:t>
    </w:r>
    <w:r w:rsidR="00EF4D25">
      <w:rPr>
        <w:sz w:val="22"/>
        <w:szCs w:val="22"/>
        <w:lang w:val="es-ES_tradnl"/>
      </w:rPr>
      <w:t>6</w:t>
    </w:r>
    <w:r w:rsidRPr="00FF089C">
      <w:rPr>
        <w:sz w:val="22"/>
        <w:szCs w:val="22"/>
        <w:lang w:val="es-ES_tradnl"/>
      </w:rPr>
      <w:t>/</w:t>
    </w:r>
    <w:r w:rsidR="002A63BC">
      <w:rPr>
        <w:sz w:val="22"/>
        <w:szCs w:val="22"/>
        <w:lang w:val="es-ES_tradnl"/>
      </w:rPr>
      <w:t>20</w:t>
    </w:r>
    <w:r w:rsidRPr="00FF089C">
      <w:rPr>
        <w:sz w:val="22"/>
        <w:szCs w:val="22"/>
        <w:lang w:val="es-ES_tradnl"/>
      </w:rPr>
      <w:t>-</w:t>
    </w:r>
    <w:r w:rsidR="00357049">
      <w:rPr>
        <w:sz w:val="22"/>
        <w:szCs w:val="22"/>
        <w:lang w:val="es-ES_tradnl"/>
      </w:rPr>
      <w:t>S</w:t>
    </w:r>
    <w:r w:rsidRPr="00FF089C">
      <w:rPr>
        <w:sz w:val="22"/>
        <w:szCs w:val="22"/>
        <w:lang w:val="es-ES_tradnl"/>
      </w:rPr>
      <w:tab/>
      <w:t>P</w:t>
    </w:r>
    <w:r w:rsidR="00357049">
      <w:rPr>
        <w:sz w:val="22"/>
        <w:szCs w:val="22"/>
        <w:lang w:val="es-ES_tradnl"/>
      </w:rPr>
      <w:t>ágina</w:t>
    </w:r>
    <w:r w:rsidRPr="00FF089C">
      <w:rPr>
        <w:sz w:val="22"/>
        <w:szCs w:val="22"/>
        <w:lang w:val="es-ES_tradnl"/>
      </w:rPr>
      <w:t xml:space="preserve"> </w:t>
    </w:r>
    <w:r w:rsidRPr="004D495C">
      <w:rPr>
        <w:sz w:val="22"/>
        <w:szCs w:val="22"/>
      </w:rPr>
      <w:fldChar w:fldCharType="begin"/>
    </w:r>
    <w:r w:rsidRPr="00FF089C">
      <w:rPr>
        <w:sz w:val="22"/>
        <w:szCs w:val="22"/>
        <w:lang w:val="es-ES_tradnl"/>
      </w:rPr>
      <w:instrText xml:space="preserve"> PAGE </w:instrText>
    </w:r>
    <w:r w:rsidRPr="004D495C">
      <w:rPr>
        <w:sz w:val="22"/>
        <w:szCs w:val="22"/>
      </w:rPr>
      <w:fldChar w:fldCharType="separate"/>
    </w:r>
    <w:r w:rsidR="00893B2C">
      <w:rPr>
        <w:noProof/>
        <w:sz w:val="22"/>
        <w:szCs w:val="22"/>
        <w:lang w:val="es-ES_tradnl"/>
      </w:rPr>
      <w:t>19</w:t>
    </w:r>
    <w:r w:rsidRPr="004D495C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3A6808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3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60AC5"/>
    <w:multiLevelType w:val="hybridMultilevel"/>
    <w:tmpl w:val="9BBC199C"/>
    <w:lvl w:ilvl="0" w:tplc="93E6492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7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8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3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2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2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40"/>
  </w:num>
  <w:num w:numId="4" w16cid:durableId="1830174465">
    <w:abstractNumId w:val="4"/>
  </w:num>
  <w:num w:numId="5" w16cid:durableId="1479105461">
    <w:abstractNumId w:val="32"/>
  </w:num>
  <w:num w:numId="6" w16cid:durableId="869954702">
    <w:abstractNumId w:val="38"/>
  </w:num>
  <w:num w:numId="7" w16cid:durableId="444734477">
    <w:abstractNumId w:val="5"/>
  </w:num>
  <w:num w:numId="8" w16cid:durableId="362947223">
    <w:abstractNumId w:val="15"/>
  </w:num>
  <w:num w:numId="9" w16cid:durableId="458111764">
    <w:abstractNumId w:val="7"/>
  </w:num>
  <w:num w:numId="10" w16cid:durableId="1195534353">
    <w:abstractNumId w:val="13"/>
  </w:num>
  <w:num w:numId="11" w16cid:durableId="1826580952">
    <w:abstractNumId w:val="30"/>
  </w:num>
  <w:num w:numId="12" w16cid:durableId="1514690498">
    <w:abstractNumId w:val="37"/>
  </w:num>
  <w:num w:numId="13" w16cid:durableId="1235118698">
    <w:abstractNumId w:val="3"/>
  </w:num>
  <w:num w:numId="14" w16cid:durableId="509291828">
    <w:abstractNumId w:val="6"/>
  </w:num>
  <w:num w:numId="15" w16cid:durableId="383218916">
    <w:abstractNumId w:val="12"/>
  </w:num>
  <w:num w:numId="16" w16cid:durableId="1227569663">
    <w:abstractNumId w:val="9"/>
  </w:num>
  <w:num w:numId="17" w16cid:durableId="810974550">
    <w:abstractNumId w:val="43"/>
  </w:num>
  <w:num w:numId="18" w16cid:durableId="1354573477">
    <w:abstractNumId w:val="35"/>
  </w:num>
  <w:num w:numId="19" w16cid:durableId="435754545">
    <w:abstractNumId w:val="19"/>
  </w:num>
  <w:num w:numId="20" w16cid:durableId="1066875134">
    <w:abstractNumId w:val="29"/>
  </w:num>
  <w:num w:numId="21" w16cid:durableId="1689939216">
    <w:abstractNumId w:val="28"/>
  </w:num>
  <w:num w:numId="22" w16cid:durableId="1257783837">
    <w:abstractNumId w:val="44"/>
  </w:num>
  <w:num w:numId="23" w16cid:durableId="970285242">
    <w:abstractNumId w:val="24"/>
  </w:num>
  <w:num w:numId="24" w16cid:durableId="1876889861">
    <w:abstractNumId w:val="18"/>
  </w:num>
  <w:num w:numId="25" w16cid:durableId="138228398">
    <w:abstractNumId w:val="21"/>
  </w:num>
  <w:num w:numId="26" w16cid:durableId="1871145006">
    <w:abstractNumId w:val="22"/>
  </w:num>
  <w:num w:numId="27" w16cid:durableId="1946108508">
    <w:abstractNumId w:val="25"/>
  </w:num>
  <w:num w:numId="28" w16cid:durableId="1629045729">
    <w:abstractNumId w:val="11"/>
  </w:num>
  <w:num w:numId="29" w16cid:durableId="2010906637">
    <w:abstractNumId w:val="26"/>
  </w:num>
  <w:num w:numId="30" w16cid:durableId="290525213">
    <w:abstractNumId w:val="42"/>
  </w:num>
  <w:num w:numId="31" w16cid:durableId="191966975">
    <w:abstractNumId w:val="27"/>
  </w:num>
  <w:num w:numId="32" w16cid:durableId="2014406757">
    <w:abstractNumId w:val="33"/>
  </w:num>
  <w:num w:numId="33" w16cid:durableId="648558829">
    <w:abstractNumId w:val="20"/>
  </w:num>
  <w:num w:numId="34" w16cid:durableId="2071807613">
    <w:abstractNumId w:val="10"/>
  </w:num>
  <w:num w:numId="35" w16cid:durableId="271744889">
    <w:abstractNumId w:val="36"/>
  </w:num>
  <w:num w:numId="36" w16cid:durableId="1457527817">
    <w:abstractNumId w:val="23"/>
  </w:num>
  <w:num w:numId="37" w16cid:durableId="106610108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4"/>
  </w:num>
  <w:num w:numId="39" w16cid:durableId="359361948">
    <w:abstractNumId w:val="39"/>
  </w:num>
  <w:num w:numId="40" w16cid:durableId="1037706265">
    <w:abstractNumId w:val="8"/>
  </w:num>
  <w:num w:numId="41" w16cid:durableId="447436251">
    <w:abstractNumId w:val="45"/>
  </w:num>
  <w:num w:numId="42" w16cid:durableId="655766109">
    <w:abstractNumId w:val="17"/>
  </w:num>
  <w:num w:numId="43" w16cid:durableId="577523632">
    <w:abstractNumId w:val="16"/>
  </w:num>
  <w:num w:numId="44" w16cid:durableId="1138063662">
    <w:abstractNumId w:val="41"/>
  </w:num>
  <w:num w:numId="45" w16cid:durableId="253511246">
    <w:abstractNumId w:val="1"/>
  </w:num>
  <w:num w:numId="46" w16cid:durableId="16066447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50B0"/>
    <w:rsid w:val="00015E52"/>
    <w:rsid w:val="00022A29"/>
    <w:rsid w:val="00025801"/>
    <w:rsid w:val="00025926"/>
    <w:rsid w:val="00025965"/>
    <w:rsid w:val="00030D2A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592"/>
    <w:rsid w:val="000C42BA"/>
    <w:rsid w:val="000C4FD1"/>
    <w:rsid w:val="000D1759"/>
    <w:rsid w:val="000D38EB"/>
    <w:rsid w:val="000D4875"/>
    <w:rsid w:val="000D6891"/>
    <w:rsid w:val="000D6E8D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500F"/>
    <w:rsid w:val="00176991"/>
    <w:rsid w:val="00180444"/>
    <w:rsid w:val="001832B9"/>
    <w:rsid w:val="00183CE2"/>
    <w:rsid w:val="00185737"/>
    <w:rsid w:val="00187BD9"/>
    <w:rsid w:val="0019060A"/>
    <w:rsid w:val="00190B55"/>
    <w:rsid w:val="00191F5C"/>
    <w:rsid w:val="00192FA9"/>
    <w:rsid w:val="00194CFB"/>
    <w:rsid w:val="001A1FFD"/>
    <w:rsid w:val="001A2AB4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A0A7A"/>
    <w:rsid w:val="002A0D8C"/>
    <w:rsid w:val="002A27F8"/>
    <w:rsid w:val="002A51DF"/>
    <w:rsid w:val="002A63BC"/>
    <w:rsid w:val="002A684E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57049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4EDD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6136"/>
    <w:rsid w:val="003D0F8B"/>
    <w:rsid w:val="003D39F2"/>
    <w:rsid w:val="003D5A63"/>
    <w:rsid w:val="003D6425"/>
    <w:rsid w:val="003D66A7"/>
    <w:rsid w:val="003D7EE8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1605"/>
    <w:rsid w:val="00426222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FF4"/>
    <w:rsid w:val="004A7674"/>
    <w:rsid w:val="004A783D"/>
    <w:rsid w:val="004B13CB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3FB"/>
    <w:rsid w:val="005C3F17"/>
    <w:rsid w:val="005C4740"/>
    <w:rsid w:val="005D0BEA"/>
    <w:rsid w:val="005D4916"/>
    <w:rsid w:val="005E0641"/>
    <w:rsid w:val="005E0D2B"/>
    <w:rsid w:val="005E10C9"/>
    <w:rsid w:val="005E61DD"/>
    <w:rsid w:val="005E6321"/>
    <w:rsid w:val="005F5413"/>
    <w:rsid w:val="00600B9C"/>
    <w:rsid w:val="006023DF"/>
    <w:rsid w:val="00602CFD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A7603"/>
    <w:rsid w:val="006B1038"/>
    <w:rsid w:val="006B4672"/>
    <w:rsid w:val="006B502E"/>
    <w:rsid w:val="006B73C2"/>
    <w:rsid w:val="006B7C2A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096"/>
    <w:rsid w:val="00863578"/>
    <w:rsid w:val="00863FC4"/>
    <w:rsid w:val="00864A15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51816"/>
    <w:rsid w:val="00952A66"/>
    <w:rsid w:val="00953C32"/>
    <w:rsid w:val="00964C68"/>
    <w:rsid w:val="009737F9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8A6"/>
    <w:rsid w:val="00A54C25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C007A"/>
    <w:rsid w:val="00AC034F"/>
    <w:rsid w:val="00AC1A8E"/>
    <w:rsid w:val="00AC4C17"/>
    <w:rsid w:val="00AC4DB5"/>
    <w:rsid w:val="00AD0AEB"/>
    <w:rsid w:val="00AD4C7B"/>
    <w:rsid w:val="00AF17A2"/>
    <w:rsid w:val="00AF2081"/>
    <w:rsid w:val="00AF2664"/>
    <w:rsid w:val="00AF57EF"/>
    <w:rsid w:val="00B004E5"/>
    <w:rsid w:val="00B053F3"/>
    <w:rsid w:val="00B06557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165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C247A"/>
    <w:rsid w:val="00CC41F6"/>
    <w:rsid w:val="00CC5CD7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6C72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D60"/>
    <w:rsid w:val="00DF6F8E"/>
    <w:rsid w:val="00E02014"/>
    <w:rsid w:val="00E03C94"/>
    <w:rsid w:val="00E03CF8"/>
    <w:rsid w:val="00E06603"/>
    <w:rsid w:val="00E06AEA"/>
    <w:rsid w:val="00E07105"/>
    <w:rsid w:val="00E11115"/>
    <w:rsid w:val="00E12074"/>
    <w:rsid w:val="00E1307C"/>
    <w:rsid w:val="00E17BAD"/>
    <w:rsid w:val="00E21B22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EF4D25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77F9"/>
    <w:rsid w:val="00F339E3"/>
    <w:rsid w:val="00F340C8"/>
    <w:rsid w:val="00F349CB"/>
    <w:rsid w:val="00F354F7"/>
    <w:rsid w:val="00F357E0"/>
    <w:rsid w:val="00F42215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4FEF"/>
    <w:rsid w:val="00F971FB"/>
    <w:rsid w:val="00FA4CD4"/>
    <w:rsid w:val="00FA579C"/>
    <w:rsid w:val="00FA668B"/>
    <w:rsid w:val="00FB20E0"/>
    <w:rsid w:val="00FB34B9"/>
    <w:rsid w:val="00FC0BEF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131CB8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13E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CB3537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CB3537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CB3537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745AEE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nnexNo">
    <w:name w:val="Annex_No"/>
    <w:basedOn w:val="Normal"/>
    <w:next w:val="Normal"/>
    <w:rsid w:val="00D96B4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D96B4B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D96B4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rsid w:val="00745AEE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745AE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Ref,de nota al pie,Style 12,(NECG) Footnote Reference,Style 124,o,fr,Style 13,FR,Style 17,Appel note de bas de p + 11 pt,Italic,Footnote,Appel note de bas de p1,Style 3"/>
    <w:basedOn w:val="DefaultParagraphFont"/>
    <w:qFormat/>
    <w:rsid w:val="002154A6"/>
    <w:rPr>
      <w:rFonts w:asciiTheme="minorHAnsi" w:hAnsiTheme="minorHAns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745AEE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745AEE"/>
    <w:rPr>
      <w:rFonts w:ascii="Times New Roman" w:hAnsi="Times New Roman"/>
      <w:sz w:val="24"/>
      <w:lang w:val="en-GB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190B55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4969AD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D96B4B"/>
    <w:pPr>
      <w:keepNext/>
      <w:keepLines/>
      <w:spacing w:before="240"/>
      <w:jc w:val="center"/>
    </w:pPr>
    <w:rPr>
      <w:b/>
      <w:sz w:val="28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1D058F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  <w:rPr>
      <w:sz w:val="22"/>
    </w:rPr>
  </w:style>
  <w:style w:type="paragraph" w:customStyle="1" w:styleId="RecNo">
    <w:name w:val="Rec_No"/>
    <w:basedOn w:val="Normal"/>
    <w:next w:val="Normal"/>
    <w:rsid w:val="00DE2AC3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6E3D45"/>
  </w:style>
  <w:style w:type="paragraph" w:customStyle="1" w:styleId="AppArttitle">
    <w:name w:val="App_Art_title"/>
    <w:basedOn w:val="Arttitle"/>
    <w:qFormat/>
    <w:rsid w:val="00A066F1"/>
  </w:style>
  <w:style w:type="paragraph" w:styleId="ListParagraph">
    <w:name w:val="List Paragraph"/>
    <w:aliases w:val="List Paragraph1,Recommendation,List Paragraph11,O5,Para_sk,Resume Title,- Bullets,Equipment,Numbered Indented Text,Figure_name"/>
    <w:basedOn w:val="Normal"/>
    <w:link w:val="ListParagraphChar"/>
    <w:uiPriority w:val="34"/>
    <w:qFormat/>
    <w:rsid w:val="00D925C2"/>
    <w:pPr>
      <w:ind w:left="720"/>
      <w:contextualSpacing/>
    </w:pPr>
  </w:style>
  <w:style w:type="paragraph" w:customStyle="1" w:styleId="Opiniontitle">
    <w:name w:val="Opinion_title"/>
    <w:basedOn w:val="Rectitle"/>
    <w:next w:val="Normalaftertitle"/>
    <w:qFormat/>
    <w:rsid w:val="00152957"/>
  </w:style>
  <w:style w:type="paragraph" w:customStyle="1" w:styleId="OpinionNo">
    <w:name w:val="Opinion_No"/>
    <w:basedOn w:val="RecNo"/>
    <w:next w:val="Opiniontitle"/>
    <w:qFormat/>
    <w:rsid w:val="00152957"/>
  </w:style>
  <w:style w:type="paragraph" w:customStyle="1" w:styleId="Volumetitle">
    <w:name w:val="Volume_title"/>
    <w:basedOn w:val="Normal"/>
    <w:qFormat/>
    <w:rsid w:val="007D45E3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"/>
    <w:link w:val="ListParagraph"/>
    <w:uiPriority w:val="34"/>
    <w:qFormat/>
    <w:rsid w:val="003F1363"/>
    <w:rPr>
      <w:rFonts w:asciiTheme="minorHAnsi" w:hAnsiTheme="minorHAnsi"/>
      <w:sz w:val="24"/>
      <w:lang w:val="en-GB" w:eastAsia="en-US"/>
    </w:r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36181"/>
    <w:pPr>
      <w:tabs>
        <w:tab w:val="clear" w:pos="1134"/>
        <w:tab w:val="clear" w:pos="1871"/>
        <w:tab w:val="clear" w:pos="226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/>
      <w:textAlignment w:val="auto"/>
    </w:pPr>
    <w:rPr>
      <w:rFonts w:ascii="GulimChe" w:eastAsia="GulimChe" w:hAnsi="GulimChe"/>
      <w:szCs w:val="24"/>
      <w:lang w:val="zh-CN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36181"/>
    <w:rPr>
      <w:rFonts w:ascii="GulimChe" w:eastAsia="GulimChe" w:hAnsi="GulimChe"/>
      <w:sz w:val="24"/>
      <w:szCs w:val="24"/>
      <w:lang w:val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2A63BC"/>
    <w:pPr>
      <w:numPr>
        <w:numId w:val="45"/>
      </w:numPr>
      <w:tabs>
        <w:tab w:val="clear" w:pos="360"/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200" w:line="276" w:lineRule="auto"/>
      <w:ind w:left="0" w:firstLine="0"/>
      <w:contextualSpacing/>
      <w:textAlignment w:val="auto"/>
    </w:pPr>
    <w:rPr>
      <w:rFonts w:eastAsiaTheme="minorEastAsia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S23-CL-C-0106/e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tu.int/md/S23-CL-C-0106/e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S25-CL-C-0064/e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itu.int/md/S23-CL-C-0065/es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S23-CL-C-0064/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chana.gulati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  <ds:schemaRef ds:uri="d4ea696a-cca3-460b-a983-57ac2621983a"/>
    <ds:schemaRef ds:uri="29399490-13b9-4c73-b71e-403b715b75a7"/>
  </ds:schemaRefs>
</ds:datastoreItem>
</file>

<file path=customXml/itemProps3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E38F01-714C-463B-9700-C16DFC2B9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/>
  <LinksUpToDate>false</LinksUpToDate>
  <CharactersWithSpaces>3625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Spanish</dc:creator>
  <cp:lastModifiedBy>Spanish</cp:lastModifiedBy>
  <cp:revision>2</cp:revision>
  <cp:lastPrinted>2019-01-16T07:57:00Z</cp:lastPrinted>
  <dcterms:created xsi:type="dcterms:W3CDTF">2026-03-13T15:06:00Z</dcterms:created>
  <dcterms:modified xsi:type="dcterms:W3CDTF">2026-03-13T15:14:00Z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