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097C7D" w14:paraId="3F0E9EC4" w14:textId="77777777" w:rsidTr="00F7434A">
        <w:trPr>
          <w:cantSplit/>
          <w:trHeight w:val="1134"/>
        </w:trPr>
        <w:tc>
          <w:tcPr>
            <w:tcW w:w="6379" w:type="dxa"/>
          </w:tcPr>
          <w:p w14:paraId="3C20C75B" w14:textId="77777777" w:rsidR="00F7434A" w:rsidRPr="00097C7D" w:rsidRDefault="00F7434A" w:rsidP="004037AF">
            <w:pPr>
              <w:tabs>
                <w:tab w:val="clear" w:pos="1191"/>
                <w:tab w:val="clear" w:pos="1588"/>
                <w:tab w:val="clear" w:pos="1985"/>
              </w:tabs>
              <w:spacing w:before="240" w:after="240"/>
              <w:ind w:left="34"/>
              <w:rPr>
                <w:b/>
                <w:bCs/>
                <w:sz w:val="32"/>
                <w:szCs w:val="32"/>
                <w:lang w:val="fr-FR"/>
              </w:rPr>
            </w:pPr>
            <w:r w:rsidRPr="00097C7D">
              <w:rPr>
                <w:b/>
                <w:bCs/>
                <w:sz w:val="32"/>
                <w:szCs w:val="32"/>
                <w:lang w:val="fr-FR"/>
              </w:rPr>
              <w:t xml:space="preserve">Groupe consultatif pour le développement </w:t>
            </w:r>
            <w:r w:rsidRPr="00097C7D">
              <w:rPr>
                <w:b/>
                <w:bCs/>
                <w:sz w:val="32"/>
                <w:szCs w:val="32"/>
                <w:lang w:val="fr-FR"/>
              </w:rPr>
              <w:br/>
              <w:t>des télécommunications (GCDT)</w:t>
            </w:r>
          </w:p>
          <w:p w14:paraId="5F5F590A" w14:textId="39E36666" w:rsidR="00F7434A" w:rsidRPr="00097C7D" w:rsidRDefault="00F7434A" w:rsidP="001011EB">
            <w:pPr>
              <w:tabs>
                <w:tab w:val="clear" w:pos="1191"/>
                <w:tab w:val="clear" w:pos="1588"/>
                <w:tab w:val="clear" w:pos="1985"/>
              </w:tabs>
              <w:spacing w:after="120"/>
              <w:ind w:left="34"/>
              <w:rPr>
                <w:rFonts w:ascii="Verdana" w:hAnsi="Verdana"/>
                <w:sz w:val="28"/>
                <w:szCs w:val="28"/>
                <w:lang w:val="fr-FR"/>
              </w:rPr>
            </w:pPr>
            <w:r w:rsidRPr="00097C7D">
              <w:rPr>
                <w:b/>
                <w:bCs/>
                <w:sz w:val="26"/>
                <w:szCs w:val="26"/>
                <w:lang w:val="fr-FR"/>
              </w:rPr>
              <w:t>33ème réunion, Genève, Suisse, 7-10 avril 2026</w:t>
            </w:r>
          </w:p>
        </w:tc>
        <w:tc>
          <w:tcPr>
            <w:tcW w:w="3509" w:type="dxa"/>
          </w:tcPr>
          <w:p w14:paraId="67E7B4C4" w14:textId="0F52E4CC" w:rsidR="00F7434A" w:rsidRPr="00097C7D" w:rsidRDefault="00F7434A" w:rsidP="00946023">
            <w:pPr>
              <w:spacing w:before="240" w:after="120"/>
              <w:ind w:right="142"/>
              <w:jc w:val="right"/>
              <w:rPr>
                <w:lang w:val="fr-FR"/>
              </w:rPr>
            </w:pPr>
            <w:r w:rsidRPr="00097C7D">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097C7D" w14:paraId="3C13197B" w14:textId="77777777" w:rsidTr="0009076F">
        <w:trPr>
          <w:cantSplit/>
        </w:trPr>
        <w:tc>
          <w:tcPr>
            <w:tcW w:w="6379" w:type="dxa"/>
            <w:tcBorders>
              <w:top w:val="single" w:sz="12" w:space="0" w:color="auto"/>
            </w:tcBorders>
          </w:tcPr>
          <w:p w14:paraId="2EED9DB2" w14:textId="77777777" w:rsidR="00683C32" w:rsidRPr="00097C7D"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097C7D" w:rsidRDefault="00683C32" w:rsidP="00107E85">
            <w:pPr>
              <w:spacing w:before="0"/>
              <w:rPr>
                <w:b/>
                <w:bCs/>
                <w:sz w:val="20"/>
                <w:lang w:val="fr-FR"/>
              </w:rPr>
            </w:pPr>
          </w:p>
        </w:tc>
      </w:tr>
      <w:tr w:rsidR="00683C32" w:rsidRPr="00097C7D" w14:paraId="0BB3FBC4" w14:textId="77777777" w:rsidTr="0009076F">
        <w:trPr>
          <w:cantSplit/>
        </w:trPr>
        <w:tc>
          <w:tcPr>
            <w:tcW w:w="6379" w:type="dxa"/>
          </w:tcPr>
          <w:p w14:paraId="43C54B3D" w14:textId="77777777" w:rsidR="00683C32" w:rsidRPr="00097C7D" w:rsidRDefault="00683C32" w:rsidP="00400CCF">
            <w:pPr>
              <w:pStyle w:val="Committee"/>
              <w:spacing w:before="0"/>
              <w:rPr>
                <w:b w:val="0"/>
                <w:szCs w:val="24"/>
                <w:lang w:val="fr-FR"/>
              </w:rPr>
            </w:pPr>
          </w:p>
        </w:tc>
        <w:tc>
          <w:tcPr>
            <w:tcW w:w="3509" w:type="dxa"/>
          </w:tcPr>
          <w:p w14:paraId="02E44EE9" w14:textId="582EB302" w:rsidR="00683C32" w:rsidRPr="00097C7D" w:rsidRDefault="0096201B" w:rsidP="00E25345">
            <w:pPr>
              <w:spacing w:before="0"/>
              <w:jc w:val="both"/>
              <w:rPr>
                <w:bCs/>
                <w:szCs w:val="24"/>
                <w:lang w:val="fr-FR"/>
              </w:rPr>
            </w:pPr>
            <w:r w:rsidRPr="00097C7D">
              <w:rPr>
                <w:b/>
                <w:bCs/>
                <w:lang w:val="fr-FR"/>
              </w:rPr>
              <w:t xml:space="preserve">Document </w:t>
            </w:r>
            <w:bookmarkStart w:id="0" w:name="DocRef1"/>
            <w:bookmarkEnd w:id="0"/>
            <w:r w:rsidRPr="00097C7D">
              <w:rPr>
                <w:b/>
                <w:bCs/>
                <w:lang w:val="fr-FR"/>
              </w:rPr>
              <w:t>TDAG</w:t>
            </w:r>
            <w:r w:rsidR="003242AB" w:rsidRPr="00097C7D">
              <w:rPr>
                <w:b/>
                <w:bCs/>
                <w:lang w:val="fr-FR"/>
              </w:rPr>
              <w:t>-</w:t>
            </w:r>
            <w:r w:rsidR="00B648C7" w:rsidRPr="00097C7D">
              <w:rPr>
                <w:b/>
                <w:bCs/>
                <w:lang w:val="fr-FR"/>
              </w:rPr>
              <w:t>2</w:t>
            </w:r>
            <w:bookmarkStart w:id="1" w:name="DocNo1"/>
            <w:bookmarkEnd w:id="1"/>
            <w:r w:rsidR="00F7434A" w:rsidRPr="00097C7D">
              <w:rPr>
                <w:b/>
                <w:bCs/>
                <w:lang w:val="fr-FR"/>
              </w:rPr>
              <w:t>6</w:t>
            </w:r>
            <w:r w:rsidR="0009076F" w:rsidRPr="00097C7D">
              <w:rPr>
                <w:b/>
                <w:bCs/>
                <w:lang w:val="fr-FR"/>
              </w:rPr>
              <w:t>/</w:t>
            </w:r>
            <w:r w:rsidR="00E81A8C" w:rsidRPr="00097C7D">
              <w:rPr>
                <w:b/>
                <w:bCs/>
                <w:lang w:val="fr-FR"/>
              </w:rPr>
              <w:t>20</w:t>
            </w:r>
            <w:r w:rsidRPr="00097C7D">
              <w:rPr>
                <w:b/>
                <w:bCs/>
                <w:lang w:val="fr-FR"/>
              </w:rPr>
              <w:t>-</w:t>
            </w:r>
            <w:r w:rsidR="00E25345" w:rsidRPr="00097C7D">
              <w:rPr>
                <w:b/>
                <w:bCs/>
                <w:lang w:val="fr-FR"/>
              </w:rPr>
              <w:t>F</w:t>
            </w:r>
          </w:p>
        </w:tc>
      </w:tr>
      <w:tr w:rsidR="00683C32" w:rsidRPr="00097C7D" w14:paraId="24D04936" w14:textId="77777777" w:rsidTr="0009076F">
        <w:trPr>
          <w:cantSplit/>
        </w:trPr>
        <w:tc>
          <w:tcPr>
            <w:tcW w:w="6379" w:type="dxa"/>
          </w:tcPr>
          <w:p w14:paraId="12CE4DBF" w14:textId="77777777" w:rsidR="00683C32" w:rsidRPr="00097C7D" w:rsidRDefault="00683C32" w:rsidP="00400CCF">
            <w:pPr>
              <w:spacing w:before="0"/>
              <w:rPr>
                <w:b/>
                <w:bCs/>
                <w:smallCaps/>
                <w:szCs w:val="24"/>
                <w:lang w:val="fr-FR"/>
              </w:rPr>
            </w:pPr>
          </w:p>
        </w:tc>
        <w:tc>
          <w:tcPr>
            <w:tcW w:w="3509" w:type="dxa"/>
          </w:tcPr>
          <w:p w14:paraId="0F89640F" w14:textId="7FA4BBC6" w:rsidR="00683C32" w:rsidRPr="00097C7D" w:rsidRDefault="000328E2" w:rsidP="00B648C7">
            <w:pPr>
              <w:spacing w:before="0"/>
              <w:rPr>
                <w:b/>
                <w:szCs w:val="24"/>
                <w:lang w:val="fr-FR"/>
              </w:rPr>
            </w:pPr>
            <w:bookmarkStart w:id="2" w:name="CreationDate"/>
            <w:bookmarkEnd w:id="2"/>
            <w:r w:rsidRPr="00097C7D">
              <w:rPr>
                <w:b/>
                <w:bCs/>
                <w:szCs w:val="28"/>
                <w:lang w:val="fr-FR"/>
              </w:rPr>
              <w:t>3 mars 2026</w:t>
            </w:r>
          </w:p>
        </w:tc>
      </w:tr>
      <w:tr w:rsidR="00683C32" w:rsidRPr="00097C7D" w14:paraId="7B96545F" w14:textId="77777777" w:rsidTr="0009076F">
        <w:trPr>
          <w:cantSplit/>
        </w:trPr>
        <w:tc>
          <w:tcPr>
            <w:tcW w:w="6379" w:type="dxa"/>
          </w:tcPr>
          <w:p w14:paraId="65956FD3" w14:textId="77777777" w:rsidR="00683C32" w:rsidRPr="00097C7D" w:rsidRDefault="00683C32" w:rsidP="00400CCF">
            <w:pPr>
              <w:spacing w:before="0"/>
              <w:rPr>
                <w:b/>
                <w:bCs/>
                <w:smallCaps/>
                <w:szCs w:val="24"/>
                <w:lang w:val="fr-FR"/>
              </w:rPr>
            </w:pPr>
          </w:p>
        </w:tc>
        <w:tc>
          <w:tcPr>
            <w:tcW w:w="3509" w:type="dxa"/>
          </w:tcPr>
          <w:p w14:paraId="30EFD39F" w14:textId="33ACFB79" w:rsidR="00514D2F" w:rsidRPr="00097C7D" w:rsidRDefault="0096201B" w:rsidP="001011EB">
            <w:pPr>
              <w:spacing w:before="0"/>
              <w:rPr>
                <w:szCs w:val="24"/>
                <w:lang w:val="fr-FR"/>
              </w:rPr>
            </w:pPr>
            <w:r w:rsidRPr="00097C7D">
              <w:rPr>
                <w:b/>
                <w:lang w:val="fr-FR"/>
              </w:rPr>
              <w:t>Original:</w:t>
            </w:r>
            <w:bookmarkStart w:id="3" w:name="Original"/>
            <w:bookmarkEnd w:id="3"/>
            <w:r w:rsidR="00CE0422" w:rsidRPr="00097C7D">
              <w:rPr>
                <w:b/>
                <w:lang w:val="fr-FR"/>
              </w:rPr>
              <w:t xml:space="preserve"> </w:t>
            </w:r>
            <w:r w:rsidR="001011EB" w:rsidRPr="00097C7D">
              <w:rPr>
                <w:b/>
                <w:lang w:val="fr-FR"/>
              </w:rPr>
              <w:t>anglais</w:t>
            </w:r>
          </w:p>
        </w:tc>
      </w:tr>
      <w:tr w:rsidR="00A13162" w:rsidRPr="00097C7D" w14:paraId="31656E31" w14:textId="77777777" w:rsidTr="00107E85">
        <w:trPr>
          <w:cantSplit/>
          <w:trHeight w:val="852"/>
        </w:trPr>
        <w:tc>
          <w:tcPr>
            <w:tcW w:w="9888" w:type="dxa"/>
            <w:gridSpan w:val="2"/>
          </w:tcPr>
          <w:p w14:paraId="512FCA01" w14:textId="06579814" w:rsidR="00A13162" w:rsidRPr="00097C7D" w:rsidRDefault="000328E2" w:rsidP="0030353C">
            <w:pPr>
              <w:pStyle w:val="Source"/>
              <w:rPr>
                <w:lang w:val="fr-FR"/>
              </w:rPr>
            </w:pPr>
            <w:bookmarkStart w:id="4" w:name="Source"/>
            <w:bookmarkEnd w:id="4"/>
            <w:r w:rsidRPr="00097C7D">
              <w:rPr>
                <w:lang w:val="fr-FR"/>
              </w:rPr>
              <w:t>Directeur du Bureau de développement des télécommunications</w:t>
            </w:r>
          </w:p>
        </w:tc>
      </w:tr>
      <w:tr w:rsidR="00AC6F14" w:rsidRPr="00097C7D" w14:paraId="2CBD3A36" w14:textId="77777777" w:rsidTr="00107E85">
        <w:trPr>
          <w:cantSplit/>
        </w:trPr>
        <w:tc>
          <w:tcPr>
            <w:tcW w:w="9888" w:type="dxa"/>
            <w:gridSpan w:val="2"/>
          </w:tcPr>
          <w:p w14:paraId="1B4121DF" w14:textId="4ACA71AB" w:rsidR="00AC6F14" w:rsidRPr="00097C7D" w:rsidRDefault="00E81A8C" w:rsidP="001011EB">
            <w:pPr>
              <w:pStyle w:val="Title1"/>
              <w:rPr>
                <w:lang w:val="fr-FR"/>
              </w:rPr>
            </w:pPr>
            <w:bookmarkStart w:id="5" w:name="Title"/>
            <w:bookmarkEnd w:id="5"/>
            <w:r w:rsidRPr="00097C7D">
              <w:rPr>
                <w:lang w:val="fr-FR"/>
              </w:rPr>
              <w:t>État des lieux sur le transfert du Bureau de zone de Tegucigalpa à Panama</w:t>
            </w:r>
          </w:p>
        </w:tc>
      </w:tr>
      <w:tr w:rsidR="00A721F4" w:rsidRPr="00097C7D" w14:paraId="23A30231" w14:textId="77777777" w:rsidTr="00A721F4">
        <w:trPr>
          <w:cantSplit/>
        </w:trPr>
        <w:tc>
          <w:tcPr>
            <w:tcW w:w="9888" w:type="dxa"/>
            <w:gridSpan w:val="2"/>
            <w:tcBorders>
              <w:bottom w:val="single" w:sz="4" w:space="0" w:color="auto"/>
            </w:tcBorders>
          </w:tcPr>
          <w:p w14:paraId="726EE70E" w14:textId="77777777" w:rsidR="00A721F4" w:rsidRPr="00097C7D" w:rsidRDefault="00A721F4" w:rsidP="0030353C">
            <w:pPr>
              <w:rPr>
                <w:lang w:val="fr-FR"/>
              </w:rPr>
            </w:pPr>
          </w:p>
        </w:tc>
      </w:tr>
      <w:tr w:rsidR="00A721F4" w:rsidRPr="00097C7D"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097C7D" w:rsidRDefault="001011EB" w:rsidP="00EA0C51">
            <w:pPr>
              <w:spacing w:after="120"/>
              <w:rPr>
                <w:b/>
                <w:bCs/>
                <w:szCs w:val="24"/>
                <w:lang w:val="fr-FR"/>
              </w:rPr>
            </w:pPr>
            <w:r w:rsidRPr="00097C7D">
              <w:rPr>
                <w:b/>
                <w:bCs/>
                <w:szCs w:val="24"/>
                <w:lang w:val="fr-FR"/>
              </w:rPr>
              <w:t>Résumé</w:t>
            </w:r>
            <w:r w:rsidR="00A721F4" w:rsidRPr="00097C7D">
              <w:rPr>
                <w:b/>
                <w:bCs/>
                <w:szCs w:val="24"/>
                <w:lang w:val="fr-FR"/>
              </w:rPr>
              <w:t>:</w:t>
            </w:r>
          </w:p>
          <w:p w14:paraId="39562314" w14:textId="59BE7704" w:rsidR="000328E2" w:rsidRPr="00097C7D" w:rsidRDefault="00E81A8C" w:rsidP="000328E2">
            <w:pPr>
              <w:rPr>
                <w:lang w:val="fr-FR"/>
              </w:rPr>
            </w:pPr>
            <w:r w:rsidRPr="00097C7D">
              <w:rPr>
                <w:lang w:val="fr-FR"/>
              </w:rPr>
              <w:t>Le présent document vise à faire le point sur le transfert du Bureau de zone de Tegucigalpa à Panama</w:t>
            </w:r>
            <w:r w:rsidR="000328E2" w:rsidRPr="00097C7D">
              <w:rPr>
                <w:lang w:val="fr-FR"/>
              </w:rPr>
              <w:t>.</w:t>
            </w:r>
          </w:p>
          <w:p w14:paraId="76A1C541" w14:textId="23209CDB" w:rsidR="00A721F4" w:rsidRPr="00097C7D" w:rsidRDefault="001011EB" w:rsidP="00EA0C51">
            <w:pPr>
              <w:spacing w:after="120"/>
              <w:rPr>
                <w:b/>
                <w:bCs/>
                <w:szCs w:val="24"/>
                <w:lang w:val="fr-FR"/>
              </w:rPr>
            </w:pPr>
            <w:r w:rsidRPr="00097C7D">
              <w:rPr>
                <w:b/>
                <w:bCs/>
                <w:lang w:val="fr-FR"/>
              </w:rPr>
              <w:t>Suite à donner</w:t>
            </w:r>
            <w:r w:rsidR="00A721F4" w:rsidRPr="00097C7D">
              <w:rPr>
                <w:b/>
                <w:bCs/>
                <w:lang w:val="fr-FR"/>
              </w:rPr>
              <w:t>:</w:t>
            </w:r>
          </w:p>
          <w:p w14:paraId="371956FC" w14:textId="251E7245" w:rsidR="00A721F4" w:rsidRPr="00097C7D" w:rsidRDefault="000328E2" w:rsidP="00EA0C51">
            <w:pPr>
              <w:spacing w:after="120"/>
              <w:rPr>
                <w:szCs w:val="24"/>
                <w:lang w:val="fr-FR"/>
              </w:rPr>
            </w:pPr>
            <w:r w:rsidRPr="00097C7D">
              <w:rPr>
                <w:lang w:val="fr-FR"/>
              </w:rPr>
              <w:t>Le GCDT est invité à prendre note du présent document.</w:t>
            </w:r>
          </w:p>
          <w:p w14:paraId="622ACB80" w14:textId="39EE560D" w:rsidR="00A721F4" w:rsidRPr="00097C7D" w:rsidRDefault="00A721F4" w:rsidP="00EA0C51">
            <w:pPr>
              <w:spacing w:after="120"/>
              <w:rPr>
                <w:b/>
                <w:bCs/>
                <w:szCs w:val="24"/>
                <w:lang w:val="fr-FR"/>
              </w:rPr>
            </w:pPr>
            <w:r w:rsidRPr="00097C7D">
              <w:rPr>
                <w:b/>
                <w:bCs/>
                <w:szCs w:val="24"/>
                <w:lang w:val="fr-FR"/>
              </w:rPr>
              <w:t>R</w:t>
            </w:r>
            <w:r w:rsidR="001011EB" w:rsidRPr="00097C7D">
              <w:rPr>
                <w:b/>
                <w:bCs/>
                <w:szCs w:val="24"/>
                <w:lang w:val="fr-FR"/>
              </w:rPr>
              <w:t>é</w:t>
            </w:r>
            <w:r w:rsidRPr="00097C7D">
              <w:rPr>
                <w:b/>
                <w:bCs/>
                <w:szCs w:val="24"/>
                <w:lang w:val="fr-FR"/>
              </w:rPr>
              <w:t>f</w:t>
            </w:r>
            <w:r w:rsidR="001011EB" w:rsidRPr="00097C7D">
              <w:rPr>
                <w:b/>
                <w:bCs/>
                <w:szCs w:val="24"/>
                <w:lang w:val="fr-FR"/>
              </w:rPr>
              <w:t>é</w:t>
            </w:r>
            <w:r w:rsidRPr="00097C7D">
              <w:rPr>
                <w:b/>
                <w:bCs/>
                <w:szCs w:val="24"/>
                <w:lang w:val="fr-FR"/>
              </w:rPr>
              <w:t>rences:</w:t>
            </w:r>
          </w:p>
          <w:p w14:paraId="1ECDD20E" w14:textId="4986370C" w:rsidR="00A721F4" w:rsidRPr="00097C7D" w:rsidRDefault="00E81A8C" w:rsidP="00E81A8C">
            <w:pPr>
              <w:spacing w:after="120"/>
              <w:rPr>
                <w:lang w:val="fr-FR"/>
              </w:rPr>
            </w:pPr>
            <w:r w:rsidRPr="00097C7D">
              <w:rPr>
                <w:lang w:val="fr-FR"/>
              </w:rPr>
              <w:t>Première séance plénière de la session de 2023 du Conseil, tenue le 12 juillet 2023 (Document </w:t>
            </w:r>
            <w:hyperlink r:id="rId12" w:history="1">
              <w:r w:rsidRPr="00097C7D">
                <w:rPr>
                  <w:rStyle w:val="Hyperlink"/>
                  <w:lang w:val="fr-FR"/>
                </w:rPr>
                <w:t>C23/106</w:t>
              </w:r>
            </w:hyperlink>
            <w:r w:rsidRPr="00097C7D">
              <w:rPr>
                <w:lang w:val="fr-FR"/>
              </w:rPr>
              <w:t>)</w:t>
            </w:r>
          </w:p>
        </w:tc>
      </w:tr>
    </w:tbl>
    <w:p w14:paraId="5B29B2A3" w14:textId="77777777" w:rsidR="00923CF1" w:rsidRPr="00097C7D" w:rsidRDefault="00923CF1">
      <w:pPr>
        <w:tabs>
          <w:tab w:val="clear" w:pos="794"/>
          <w:tab w:val="clear" w:pos="1191"/>
          <w:tab w:val="clear" w:pos="1588"/>
          <w:tab w:val="clear" w:pos="1985"/>
        </w:tabs>
        <w:overflowPunct/>
        <w:autoSpaceDE/>
        <w:autoSpaceDN/>
        <w:adjustRightInd/>
        <w:spacing w:before="0"/>
        <w:textAlignment w:val="auto"/>
        <w:rPr>
          <w:lang w:val="fr-FR"/>
        </w:rPr>
      </w:pPr>
      <w:r w:rsidRPr="00097C7D">
        <w:rPr>
          <w:lang w:val="fr-FR"/>
        </w:rPr>
        <w:br w:type="page"/>
      </w:r>
    </w:p>
    <w:p w14:paraId="4318A45A" w14:textId="1EB041D2" w:rsidR="000328E2" w:rsidRPr="00097C7D" w:rsidRDefault="00E81A8C" w:rsidP="0078642F">
      <w:pPr>
        <w:pStyle w:val="Headingb"/>
        <w:spacing w:after="240"/>
        <w:jc w:val="center"/>
        <w:rPr>
          <w:szCs w:val="24"/>
          <w:lang w:val="fr-FR"/>
        </w:rPr>
      </w:pPr>
      <w:r w:rsidRPr="00097C7D">
        <w:rPr>
          <w:lang w:val="fr-FR"/>
        </w:rPr>
        <w:lastRenderedPageBreak/>
        <w:t>État des lieux sur le transfert du Bureau de zone de Tegucigalpa à Panama</w:t>
      </w:r>
    </w:p>
    <w:p w14:paraId="7D03A703" w14:textId="77777777" w:rsidR="00E81A8C" w:rsidRPr="00097C7D" w:rsidRDefault="00E81A8C" w:rsidP="003D1D0C">
      <w:pPr>
        <w:pStyle w:val="Headingb"/>
        <w:rPr>
          <w:rFonts w:ascii="Calibri" w:hAnsi="Calibri" w:cs="Calibri"/>
          <w:b w:val="0"/>
          <w:lang w:val="fr-FR"/>
        </w:rPr>
      </w:pPr>
      <w:bookmarkStart w:id="6" w:name="_Toc268858428"/>
      <w:bookmarkStart w:id="7" w:name="_Toc496806874"/>
      <w:bookmarkStart w:id="8" w:name="_Toc500344028"/>
      <w:r w:rsidRPr="00097C7D">
        <w:rPr>
          <w:lang w:val="fr-FR"/>
        </w:rPr>
        <w:t>Considérations générales</w:t>
      </w:r>
    </w:p>
    <w:p w14:paraId="102B08F1" w14:textId="275492A3" w:rsidR="00E81A8C" w:rsidRPr="00097C7D" w:rsidRDefault="00E81A8C" w:rsidP="00E81A8C">
      <w:pPr>
        <w:spacing w:after="120"/>
        <w:rPr>
          <w:rFonts w:ascii="Calibri" w:hAnsi="Calibri" w:cs="Calibri"/>
          <w:lang w:val="fr-FR"/>
        </w:rPr>
      </w:pPr>
      <w:r w:rsidRPr="00097C7D">
        <w:rPr>
          <w:lang w:val="fr-FR"/>
        </w:rPr>
        <w:t>À sa première séance plénière tenue le 12 juillet 2023, le Conseil de l'UIT a chargé le Secrétariat</w:t>
      </w:r>
      <w:r w:rsidR="0078642F" w:rsidRPr="00097C7D">
        <w:rPr>
          <w:lang w:val="fr-FR"/>
        </w:rPr>
        <w:t> </w:t>
      </w:r>
      <w:r w:rsidRPr="00097C7D">
        <w:rPr>
          <w:lang w:val="fr-FR"/>
        </w:rPr>
        <w:t>général de transférer le Bureau de zone de Tegucigalpa à Panama (Document</w:t>
      </w:r>
      <w:r w:rsidR="0078642F" w:rsidRPr="00097C7D">
        <w:rPr>
          <w:lang w:val="fr-FR"/>
        </w:rPr>
        <w:t> </w:t>
      </w:r>
      <w:hyperlink r:id="rId13" w:history="1">
        <w:r w:rsidRPr="00097C7D">
          <w:rPr>
            <w:rStyle w:val="Hyperlink"/>
            <w:u w:val="none"/>
            <w:lang w:val="fr-FR"/>
          </w:rPr>
          <w:t>C23</w:t>
        </w:r>
        <w:r w:rsidRPr="00097C7D">
          <w:rPr>
            <w:rStyle w:val="Hyperlink"/>
            <w:u w:val="none"/>
            <w:lang w:val="fr-FR"/>
          </w:rPr>
          <w:t>/</w:t>
        </w:r>
        <w:r w:rsidRPr="00097C7D">
          <w:rPr>
            <w:rStyle w:val="Hyperlink"/>
            <w:u w:val="none"/>
            <w:lang w:val="fr-FR"/>
          </w:rPr>
          <w:t>106</w:t>
        </w:r>
      </w:hyperlink>
      <w:r w:rsidRPr="00097C7D">
        <w:rPr>
          <w:lang w:val="fr-FR"/>
        </w:rPr>
        <w:t>). Cette décision a été prise sur la base des contributions soumises par le Panama (</w:t>
      </w:r>
      <w:hyperlink r:id="rId14" w:history="1">
        <w:r w:rsidRPr="00097C7D">
          <w:rPr>
            <w:rStyle w:val="Hyperlink"/>
            <w:u w:val="none"/>
            <w:lang w:val="fr-FR"/>
          </w:rPr>
          <w:t>C23/6</w:t>
        </w:r>
        <w:r w:rsidRPr="00097C7D">
          <w:rPr>
            <w:rStyle w:val="Hyperlink"/>
            <w:u w:val="none"/>
            <w:lang w:val="fr-FR"/>
          </w:rPr>
          <w:t>4</w:t>
        </w:r>
      </w:hyperlink>
      <w:r w:rsidRPr="00097C7D">
        <w:rPr>
          <w:lang w:val="fr-FR"/>
        </w:rPr>
        <w:t>) et le Honduras (</w:t>
      </w:r>
      <w:hyperlink r:id="rId15" w:history="1">
        <w:r w:rsidRPr="00097C7D">
          <w:rPr>
            <w:rStyle w:val="Hyperlink"/>
            <w:u w:val="none"/>
            <w:lang w:val="fr-FR"/>
          </w:rPr>
          <w:t>C23/6</w:t>
        </w:r>
        <w:r w:rsidRPr="00097C7D">
          <w:rPr>
            <w:rStyle w:val="Hyperlink"/>
            <w:u w:val="none"/>
            <w:lang w:val="fr-FR"/>
          </w:rPr>
          <w:t>5</w:t>
        </w:r>
      </w:hyperlink>
      <w:r w:rsidRPr="00097C7D">
        <w:rPr>
          <w:lang w:val="fr-FR"/>
        </w:rPr>
        <w:t>).</w:t>
      </w:r>
      <w:hyperlink r:id="rId16" w:history="1"/>
      <w:hyperlink r:id="rId17" w:history="1"/>
      <w:hyperlink r:id="rId18" w:history="1"/>
    </w:p>
    <w:p w14:paraId="5E02B9ED" w14:textId="77777777" w:rsidR="00E81A8C" w:rsidRPr="00097C7D" w:rsidRDefault="00E81A8C" w:rsidP="003D1D0C">
      <w:pPr>
        <w:pStyle w:val="Headingb"/>
        <w:rPr>
          <w:rFonts w:ascii="Calibri" w:hAnsi="Calibri" w:cs="Calibri"/>
          <w:lang w:val="fr-FR"/>
        </w:rPr>
      </w:pPr>
      <w:r w:rsidRPr="00097C7D">
        <w:rPr>
          <w:lang w:val="fr-FR"/>
        </w:rPr>
        <w:t>État d'avancement</w:t>
      </w:r>
    </w:p>
    <w:p w14:paraId="29A391AA" w14:textId="77777777" w:rsidR="00E81A8C" w:rsidRPr="00097C7D" w:rsidRDefault="00E81A8C" w:rsidP="00E81A8C">
      <w:pPr>
        <w:spacing w:after="120"/>
        <w:rPr>
          <w:rFonts w:ascii="Calibri" w:hAnsi="Calibri" w:cs="Calibri"/>
          <w:lang w:val="fr-FR"/>
        </w:rPr>
      </w:pPr>
      <w:r w:rsidRPr="00097C7D">
        <w:rPr>
          <w:lang w:val="fr-FR"/>
        </w:rPr>
        <w:t>On trouvera l'état d'avancement concernant le transfert du Bureau de zone de Tegucigalpa à Panama ci-après.</w:t>
      </w:r>
    </w:p>
    <w:p w14:paraId="0317F510" w14:textId="5E939222" w:rsidR="00E81A8C" w:rsidRPr="00097C7D" w:rsidRDefault="00E81A8C" w:rsidP="003D1D0C">
      <w:pPr>
        <w:spacing w:after="120"/>
        <w:rPr>
          <w:rFonts w:ascii="Calibri" w:hAnsi="Calibri" w:cs="Calibri"/>
          <w:szCs w:val="24"/>
          <w:lang w:val="fr-FR"/>
        </w:rPr>
      </w:pPr>
      <w:r w:rsidRPr="00097C7D">
        <w:rPr>
          <w:b/>
          <w:bCs/>
          <w:lang w:val="fr-FR"/>
        </w:rPr>
        <w:t>Les négociations concernant l'accord de pays hôte ont été menées à bien, comme le préconise la contribution du Panama soumise au Conseil (</w:t>
      </w:r>
      <w:hyperlink r:id="rId19" w:history="1">
        <w:r w:rsidRPr="00097C7D">
          <w:rPr>
            <w:rStyle w:val="Hyperlink"/>
            <w:b/>
            <w:bCs/>
            <w:u w:val="none"/>
            <w:lang w:val="fr-FR"/>
          </w:rPr>
          <w:t>C2</w:t>
        </w:r>
        <w:r w:rsidRPr="00097C7D">
          <w:rPr>
            <w:rStyle w:val="Hyperlink"/>
            <w:b/>
            <w:bCs/>
            <w:u w:val="none"/>
            <w:lang w:val="fr-FR"/>
          </w:rPr>
          <w:t>3</w:t>
        </w:r>
        <w:r w:rsidRPr="00097C7D">
          <w:rPr>
            <w:rStyle w:val="Hyperlink"/>
            <w:b/>
            <w:bCs/>
            <w:u w:val="none"/>
            <w:lang w:val="fr-FR"/>
          </w:rPr>
          <w:t>/64</w:t>
        </w:r>
      </w:hyperlink>
      <w:r w:rsidRPr="00097C7D">
        <w:rPr>
          <w:b/>
          <w:bCs/>
          <w:lang w:val="fr-FR"/>
        </w:rPr>
        <w:t>), et ont abouti à sa signature en décembre</w:t>
      </w:r>
      <w:r w:rsidR="004D01FE" w:rsidRPr="00097C7D">
        <w:rPr>
          <w:b/>
          <w:bCs/>
          <w:lang w:val="fr-FR"/>
        </w:rPr>
        <w:t> </w:t>
      </w:r>
      <w:r w:rsidRPr="00097C7D">
        <w:rPr>
          <w:b/>
          <w:bCs/>
          <w:lang w:val="fr-FR"/>
        </w:rPr>
        <w:t>2025.</w:t>
      </w:r>
      <w:r w:rsidRPr="00097C7D">
        <w:rPr>
          <w:lang w:val="fr-FR"/>
        </w:rPr>
        <w:t xml:space="preserve"> Les négociations ont officiellement commencé en septembre 2023 avec le précédent Gouvernement du Panama. Le Gouvernement de S. E. M. José Raúl Mulino, instauré le 1er juillet 2024, a réaffirmé l'engagement du Panama à accueillir le Bureau de zone de l'UIT, afin de faciliter la poursuite des négociations et de les mener à bonne fin.</w:t>
      </w:r>
      <w:hyperlink r:id="rId20"/>
    </w:p>
    <w:p w14:paraId="4921132B" w14:textId="3BBA1ED3" w:rsidR="00E81A8C" w:rsidRPr="00097C7D" w:rsidRDefault="00E81A8C" w:rsidP="003D1D0C">
      <w:pPr>
        <w:spacing w:after="120"/>
        <w:rPr>
          <w:rFonts w:ascii="Calibri" w:hAnsi="Calibri" w:cs="Calibri"/>
          <w:szCs w:val="24"/>
          <w:lang w:val="fr-FR"/>
        </w:rPr>
      </w:pPr>
      <w:r w:rsidRPr="00097C7D">
        <w:rPr>
          <w:lang w:val="fr-FR"/>
        </w:rPr>
        <w:t>Le complexe institutionnel "Ciudad del Saber" (</w:t>
      </w:r>
      <w:r w:rsidR="00FC7924" w:rsidRPr="00097C7D">
        <w:rPr>
          <w:lang w:val="fr-FR"/>
        </w:rPr>
        <w:t>V</w:t>
      </w:r>
      <w:r w:rsidRPr="00097C7D">
        <w:rPr>
          <w:lang w:val="fr-FR"/>
        </w:rPr>
        <w:t>ille du savoir) a été choisi par le Gouvernement du Panama comme lieu d'implantation du nouveau Bureau de zone de l'UIT, conformément à l'accord de pays hôte. L'Autorité nationale chargée des Services publics (ASEP) a joué un rôle essentiel dans la mise à disposition de ces locaux, qui sont partagés avec plusieurs organisations, fonds et programmes des Nations Unies. Des remerciements sont adressés tout particulièrement au Ministère des affaires étrangères et à l'ASEP pour avoir dirigé ce processus.</w:t>
      </w:r>
    </w:p>
    <w:p w14:paraId="14E946D9" w14:textId="6E3D4889" w:rsidR="00E81A8C" w:rsidRPr="00097C7D" w:rsidRDefault="00E81A8C" w:rsidP="003D1D0C">
      <w:pPr>
        <w:spacing w:after="120"/>
        <w:rPr>
          <w:rFonts w:ascii="Calibri" w:hAnsi="Calibri" w:cs="Calibri"/>
          <w:szCs w:val="24"/>
          <w:lang w:val="fr-FR"/>
        </w:rPr>
      </w:pPr>
      <w:r w:rsidRPr="00097C7D">
        <w:rPr>
          <w:lang w:val="fr-FR"/>
        </w:rPr>
        <w:t>L'Unité des affaires juridiques de l'UIT, la Division de la sûreté, de la sécurité et de la résilience, les départements chargés des services informatiques et des risques opérationnels, le Directeur régional pour les Amériques et le personnel hors siège de l'UIT ont participé activement au processus de négociation et de coordination.</w:t>
      </w:r>
    </w:p>
    <w:p w14:paraId="544F9E5D" w14:textId="40149F57" w:rsidR="00E81A8C" w:rsidRPr="00097C7D" w:rsidRDefault="00E81A8C" w:rsidP="00E81A8C">
      <w:pPr>
        <w:spacing w:after="120"/>
        <w:rPr>
          <w:rFonts w:ascii="Calibri" w:hAnsi="Calibri" w:cs="Calibri"/>
          <w:lang w:val="fr-FR"/>
        </w:rPr>
      </w:pPr>
      <w:r w:rsidRPr="00097C7D">
        <w:rPr>
          <w:lang w:val="fr-FR"/>
        </w:rPr>
        <w:t>Enfin, conformément aux processus et procédures de l'UIT et du Gouvernement du Panama, les mesures ci-après ont été prises pour assurer le transfert effectif du bureau de zone:</w:t>
      </w:r>
    </w:p>
    <w:p w14:paraId="0D7B4415" w14:textId="07323DDF" w:rsidR="00E81A8C" w:rsidRPr="00097C7D" w:rsidRDefault="003D1D0C" w:rsidP="003D1D0C">
      <w:pPr>
        <w:pStyle w:val="enumlev1"/>
        <w:rPr>
          <w:rFonts w:ascii="Calibri" w:hAnsi="Calibri" w:cs="Calibri"/>
          <w:szCs w:val="24"/>
          <w:lang w:val="fr-FR"/>
        </w:rPr>
      </w:pPr>
      <w:r w:rsidRPr="00097C7D">
        <w:rPr>
          <w:lang w:val="fr-FR"/>
        </w:rPr>
        <w:t>–</w:t>
      </w:r>
      <w:r w:rsidRPr="00097C7D">
        <w:rPr>
          <w:lang w:val="fr-FR"/>
        </w:rPr>
        <w:tab/>
      </w:r>
      <w:r w:rsidR="0078642F" w:rsidRPr="00097C7D">
        <w:rPr>
          <w:lang w:val="fr-FR"/>
        </w:rPr>
        <w:t>P</w:t>
      </w:r>
      <w:r w:rsidR="00E81A8C" w:rsidRPr="00097C7D">
        <w:rPr>
          <w:lang w:val="fr-FR"/>
        </w:rPr>
        <w:t>rocessus de ratification de l'accord de pays hôte par l'Assemblée nationale du Panama</w:t>
      </w:r>
      <w:r w:rsidR="0078642F" w:rsidRPr="00097C7D">
        <w:rPr>
          <w:lang w:val="fr-FR"/>
        </w:rPr>
        <w:t>.</w:t>
      </w:r>
    </w:p>
    <w:p w14:paraId="4CEF9B7E" w14:textId="118D9214" w:rsidR="00E81A8C" w:rsidRPr="00097C7D" w:rsidRDefault="003D1D0C" w:rsidP="003D1D0C">
      <w:pPr>
        <w:pStyle w:val="enumlev1"/>
        <w:rPr>
          <w:rFonts w:ascii="Calibri" w:hAnsi="Calibri" w:cs="Calibri"/>
          <w:szCs w:val="24"/>
          <w:lang w:val="fr-FR"/>
        </w:rPr>
      </w:pPr>
      <w:r w:rsidRPr="00097C7D">
        <w:rPr>
          <w:lang w:val="fr-FR"/>
        </w:rPr>
        <w:t>–</w:t>
      </w:r>
      <w:r w:rsidRPr="00097C7D">
        <w:rPr>
          <w:lang w:val="fr-FR"/>
        </w:rPr>
        <w:tab/>
      </w:r>
      <w:r w:rsidR="0078642F" w:rsidRPr="00097C7D">
        <w:rPr>
          <w:lang w:val="fr-FR"/>
        </w:rPr>
        <w:t>A</w:t>
      </w:r>
      <w:r w:rsidR="00E81A8C" w:rsidRPr="00097C7D">
        <w:rPr>
          <w:lang w:val="fr-FR"/>
        </w:rPr>
        <w:t>chèvement de l'aménagement des locaux de l'UIT conformément à l'accord de pays hôte</w:t>
      </w:r>
      <w:r w:rsidR="0078642F" w:rsidRPr="00097C7D">
        <w:rPr>
          <w:lang w:val="fr-FR"/>
        </w:rPr>
        <w:t>.</w:t>
      </w:r>
    </w:p>
    <w:p w14:paraId="1F2CFDA7" w14:textId="0290504A" w:rsidR="00E81A8C" w:rsidRPr="00097C7D" w:rsidRDefault="003D1D0C" w:rsidP="003D1D0C">
      <w:pPr>
        <w:pStyle w:val="enumlev1"/>
        <w:rPr>
          <w:rFonts w:ascii="Calibri" w:hAnsi="Calibri" w:cs="Calibri"/>
          <w:szCs w:val="24"/>
          <w:lang w:val="fr-FR"/>
        </w:rPr>
      </w:pPr>
      <w:r w:rsidRPr="00097C7D">
        <w:rPr>
          <w:lang w:val="fr-FR"/>
        </w:rPr>
        <w:t>–</w:t>
      </w:r>
      <w:r w:rsidRPr="00097C7D">
        <w:rPr>
          <w:lang w:val="fr-FR"/>
        </w:rPr>
        <w:tab/>
      </w:r>
      <w:r w:rsidR="0078642F" w:rsidRPr="00097C7D">
        <w:rPr>
          <w:lang w:val="fr-FR"/>
        </w:rPr>
        <w:t>M</w:t>
      </w:r>
      <w:r w:rsidR="00E81A8C" w:rsidRPr="00097C7D">
        <w:rPr>
          <w:lang w:val="fr-FR"/>
        </w:rPr>
        <w:t>ise en œuvre des procédures requises en matière de ressources humaines au sein du BDT et de l'UIT pour assurer la dotation en personnel du nouveau bureau de zone</w:t>
      </w:r>
      <w:r w:rsidR="0078642F" w:rsidRPr="00097C7D">
        <w:rPr>
          <w:lang w:val="fr-FR"/>
        </w:rPr>
        <w:t>.</w:t>
      </w:r>
    </w:p>
    <w:p w14:paraId="1C0BB115" w14:textId="39984768" w:rsidR="00E81A8C" w:rsidRPr="00097C7D" w:rsidRDefault="003D1D0C" w:rsidP="003D1D0C">
      <w:pPr>
        <w:pStyle w:val="enumlev1"/>
        <w:rPr>
          <w:rFonts w:ascii="Calibri" w:hAnsi="Calibri" w:cs="Calibri"/>
          <w:szCs w:val="24"/>
          <w:lang w:val="fr-FR"/>
        </w:rPr>
      </w:pPr>
      <w:r w:rsidRPr="00097C7D">
        <w:rPr>
          <w:lang w:val="fr-FR"/>
        </w:rPr>
        <w:t>–</w:t>
      </w:r>
      <w:r w:rsidRPr="00097C7D">
        <w:rPr>
          <w:lang w:val="fr-FR"/>
        </w:rPr>
        <w:tab/>
      </w:r>
      <w:r w:rsidR="0078642F" w:rsidRPr="00097C7D">
        <w:rPr>
          <w:lang w:val="fr-FR"/>
        </w:rPr>
        <w:t>C</w:t>
      </w:r>
      <w:r w:rsidR="00E81A8C" w:rsidRPr="00097C7D">
        <w:rPr>
          <w:lang w:val="fr-FR"/>
        </w:rPr>
        <w:t>onclusion des procédures administratives concernant la fermeture du Bureau de zone de l'UIT au Honduras</w:t>
      </w:r>
      <w:r w:rsidR="0078642F" w:rsidRPr="00097C7D">
        <w:rPr>
          <w:lang w:val="fr-FR"/>
        </w:rPr>
        <w:t>.</w:t>
      </w:r>
    </w:p>
    <w:p w14:paraId="07953C10" w14:textId="4A24807C" w:rsidR="00E81A8C" w:rsidRPr="00097C7D" w:rsidRDefault="003D1D0C" w:rsidP="003D1D0C">
      <w:pPr>
        <w:pStyle w:val="enumlev1"/>
        <w:rPr>
          <w:rFonts w:ascii="Calibri" w:hAnsi="Calibri" w:cs="Calibri"/>
          <w:szCs w:val="24"/>
          <w:lang w:val="fr-FR"/>
        </w:rPr>
      </w:pPr>
      <w:r w:rsidRPr="00097C7D">
        <w:rPr>
          <w:lang w:val="fr-FR"/>
        </w:rPr>
        <w:t>–</w:t>
      </w:r>
      <w:r w:rsidRPr="00097C7D">
        <w:rPr>
          <w:lang w:val="fr-FR"/>
        </w:rPr>
        <w:tab/>
      </w:r>
      <w:r w:rsidR="0078642F" w:rsidRPr="00097C7D">
        <w:rPr>
          <w:lang w:val="fr-FR"/>
        </w:rPr>
        <w:t>E</w:t>
      </w:r>
      <w:r w:rsidR="00E81A8C" w:rsidRPr="00097C7D">
        <w:rPr>
          <w:lang w:val="fr-FR"/>
        </w:rPr>
        <w:t>nvoi d'une notification officielle au Gouvernement du Honduras concernant le transfert effectif</w:t>
      </w:r>
      <w:r w:rsidR="0078642F" w:rsidRPr="00097C7D">
        <w:rPr>
          <w:lang w:val="fr-FR"/>
        </w:rPr>
        <w:t>.</w:t>
      </w:r>
    </w:p>
    <w:p w14:paraId="3506FDD4" w14:textId="780782F0" w:rsidR="000328E2" w:rsidRPr="00097C7D" w:rsidRDefault="00FC7924" w:rsidP="00FC7924">
      <w:pPr>
        <w:pStyle w:val="enumlev1"/>
        <w:rPr>
          <w:rFonts w:eastAsia="SimSun"/>
          <w:lang w:val="fr-FR"/>
        </w:rPr>
      </w:pPr>
      <w:r w:rsidRPr="00097C7D">
        <w:rPr>
          <w:lang w:val="fr-FR"/>
        </w:rPr>
        <w:t>–</w:t>
      </w:r>
      <w:r w:rsidRPr="00097C7D">
        <w:rPr>
          <w:lang w:val="fr-FR"/>
        </w:rPr>
        <w:tab/>
      </w:r>
      <w:r w:rsidR="0078642F" w:rsidRPr="00097C7D">
        <w:rPr>
          <w:lang w:val="fr-FR"/>
        </w:rPr>
        <w:t>I</w:t>
      </w:r>
      <w:r w:rsidR="00E81A8C" w:rsidRPr="00097C7D">
        <w:rPr>
          <w:lang w:val="fr-FR"/>
        </w:rPr>
        <w:t>nauguration officielle du Bureau de zone de l'UIT à Panama</w:t>
      </w:r>
      <w:r w:rsidR="000328E2" w:rsidRPr="00097C7D">
        <w:rPr>
          <w:lang w:val="fr-FR"/>
        </w:rPr>
        <w:t>.</w:t>
      </w:r>
    </w:p>
    <w:bookmarkEnd w:id="6"/>
    <w:bookmarkEnd w:id="7"/>
    <w:bookmarkEnd w:id="8"/>
    <w:p w14:paraId="11C8A90B" w14:textId="77777777" w:rsidR="0078642F" w:rsidRPr="00097C7D" w:rsidRDefault="0078642F">
      <w:pPr>
        <w:jc w:val="center"/>
        <w:rPr>
          <w:lang w:val="fr-FR"/>
        </w:rPr>
      </w:pPr>
      <w:r w:rsidRPr="00097C7D">
        <w:rPr>
          <w:lang w:val="fr-FR"/>
        </w:rPr>
        <w:t>______________</w:t>
      </w:r>
    </w:p>
    <w:sectPr w:rsidR="0078642F" w:rsidRPr="00097C7D" w:rsidSect="00473791">
      <w:headerReference w:type="default" r:id="rId21"/>
      <w:footerReference w:type="first" r:id="rId22"/>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78642F" w14:paraId="5C2B0E2D" w14:textId="77777777" w:rsidTr="005539C3">
      <w:tc>
        <w:tcPr>
          <w:tcW w:w="1526" w:type="dxa"/>
          <w:tcBorders>
            <w:top w:val="single" w:sz="4" w:space="0" w:color="000000" w:themeColor="text1"/>
          </w:tcBorders>
        </w:tcPr>
        <w:p w14:paraId="176205BE" w14:textId="77777777" w:rsidR="001B030A" w:rsidRPr="002911FC" w:rsidRDefault="001B030A" w:rsidP="001B030A">
          <w:pPr>
            <w:pStyle w:val="FirstFooter"/>
            <w:tabs>
              <w:tab w:val="left" w:pos="1559"/>
              <w:tab w:val="left" w:pos="3828"/>
            </w:tabs>
            <w:rPr>
              <w:sz w:val="18"/>
              <w:szCs w:val="18"/>
            </w:rPr>
          </w:pPr>
          <w:bookmarkStart w:id="9" w:name="Email"/>
          <w:bookmarkEnd w:id="9"/>
          <w:r w:rsidRPr="002911FC">
            <w:rPr>
              <w:sz w:val="18"/>
              <w:szCs w:val="18"/>
            </w:rPr>
            <w:t>Contact:</w:t>
          </w:r>
        </w:p>
      </w:tc>
      <w:tc>
        <w:tcPr>
          <w:tcW w:w="2410" w:type="dxa"/>
          <w:tcBorders>
            <w:top w:val="single" w:sz="4" w:space="0" w:color="000000" w:themeColor="text1"/>
          </w:tcBorders>
        </w:tcPr>
        <w:p w14:paraId="26830CB6" w14:textId="77777777" w:rsidR="001B030A" w:rsidRPr="002911FC" w:rsidRDefault="001B030A" w:rsidP="001B030A">
          <w:pPr>
            <w:pStyle w:val="FirstFooter"/>
            <w:tabs>
              <w:tab w:val="left" w:pos="2302"/>
            </w:tabs>
            <w:ind w:left="2302" w:hanging="2302"/>
            <w:rPr>
              <w:sz w:val="18"/>
              <w:szCs w:val="18"/>
              <w:lang w:val="en-US"/>
            </w:rPr>
          </w:pPr>
          <w:r w:rsidRPr="002911FC">
            <w:rPr>
              <w:sz w:val="18"/>
              <w:szCs w:val="18"/>
              <w:lang w:val="fr-CH"/>
            </w:rPr>
            <w:t>Nom/Organisation/Entité:</w:t>
          </w:r>
        </w:p>
      </w:tc>
      <w:tc>
        <w:tcPr>
          <w:tcW w:w="5919" w:type="dxa"/>
          <w:tcBorders>
            <w:top w:val="single" w:sz="4" w:space="0" w:color="000000" w:themeColor="text1"/>
          </w:tcBorders>
        </w:tcPr>
        <w:p w14:paraId="0C8B6EEC" w14:textId="71797D63" w:rsidR="001B030A" w:rsidRPr="002911FC" w:rsidRDefault="000328E2" w:rsidP="001B030A">
          <w:pPr>
            <w:pStyle w:val="FirstFooter"/>
            <w:rPr>
              <w:sz w:val="18"/>
              <w:szCs w:val="18"/>
              <w:highlight w:val="yellow"/>
            </w:rPr>
          </w:pPr>
          <w:r w:rsidRPr="002911FC">
            <w:rPr>
              <w:sz w:val="18"/>
              <w:szCs w:val="18"/>
            </w:rPr>
            <w:t>Mme Archana Gulati, Adjointe au Directeur du Bureau de développement des télécommunications</w:t>
          </w:r>
        </w:p>
      </w:tc>
    </w:tr>
    <w:tr w:rsidR="001B030A" w:rsidRPr="002911FC" w14:paraId="298FE8EB" w14:textId="77777777" w:rsidTr="005539C3">
      <w:tc>
        <w:tcPr>
          <w:tcW w:w="1526" w:type="dxa"/>
        </w:tcPr>
        <w:p w14:paraId="7ACBC842" w14:textId="77777777" w:rsidR="001B030A" w:rsidRPr="002911FC" w:rsidRDefault="001B030A" w:rsidP="001B030A">
          <w:pPr>
            <w:pStyle w:val="FirstFooter"/>
            <w:tabs>
              <w:tab w:val="left" w:pos="1559"/>
              <w:tab w:val="left" w:pos="3828"/>
            </w:tabs>
            <w:rPr>
              <w:sz w:val="18"/>
              <w:szCs w:val="18"/>
            </w:rPr>
          </w:pPr>
        </w:p>
      </w:tc>
      <w:tc>
        <w:tcPr>
          <w:tcW w:w="2410" w:type="dxa"/>
        </w:tcPr>
        <w:p w14:paraId="76CE8C1A" w14:textId="77777777" w:rsidR="001B030A" w:rsidRPr="002911FC" w:rsidRDefault="001B030A" w:rsidP="001B030A">
          <w:pPr>
            <w:pStyle w:val="FirstFooter"/>
            <w:tabs>
              <w:tab w:val="left" w:pos="2302"/>
            </w:tabs>
            <w:rPr>
              <w:sz w:val="18"/>
              <w:szCs w:val="18"/>
              <w:lang w:val="en-US"/>
            </w:rPr>
          </w:pPr>
          <w:r w:rsidRPr="002911FC">
            <w:rPr>
              <w:sz w:val="18"/>
              <w:szCs w:val="18"/>
              <w:lang w:val="fr-CH"/>
            </w:rPr>
            <w:t>Numéro de téléphone:</w:t>
          </w:r>
        </w:p>
      </w:tc>
      <w:tc>
        <w:tcPr>
          <w:tcW w:w="5919" w:type="dxa"/>
        </w:tcPr>
        <w:p w14:paraId="6CE1B2A9" w14:textId="126C17E0" w:rsidR="001B030A" w:rsidRPr="002911FC" w:rsidRDefault="000328E2" w:rsidP="001B030A">
          <w:pPr>
            <w:pStyle w:val="FirstFooter"/>
            <w:tabs>
              <w:tab w:val="left" w:pos="2302"/>
            </w:tabs>
            <w:rPr>
              <w:sz w:val="18"/>
              <w:szCs w:val="18"/>
              <w:highlight w:val="yellow"/>
              <w:lang w:val="en-US"/>
            </w:rPr>
          </w:pPr>
          <w:r w:rsidRPr="002911FC">
            <w:rPr>
              <w:sz w:val="18"/>
              <w:szCs w:val="18"/>
              <w:lang w:val="en-US"/>
            </w:rPr>
            <w:t>+41 22 730 6475</w:t>
          </w:r>
        </w:p>
      </w:tc>
    </w:tr>
    <w:tr w:rsidR="001B030A" w:rsidRPr="002911FC" w14:paraId="336F05F8" w14:textId="77777777" w:rsidTr="005539C3">
      <w:tc>
        <w:tcPr>
          <w:tcW w:w="1526" w:type="dxa"/>
        </w:tcPr>
        <w:p w14:paraId="10E74C07" w14:textId="77777777" w:rsidR="001B030A" w:rsidRPr="002911FC" w:rsidRDefault="001B030A" w:rsidP="001B030A">
          <w:pPr>
            <w:pStyle w:val="FirstFooter"/>
            <w:tabs>
              <w:tab w:val="left" w:pos="1559"/>
              <w:tab w:val="left" w:pos="3828"/>
            </w:tabs>
            <w:rPr>
              <w:sz w:val="18"/>
              <w:szCs w:val="18"/>
              <w:lang w:val="en-US"/>
            </w:rPr>
          </w:pPr>
        </w:p>
      </w:tc>
      <w:tc>
        <w:tcPr>
          <w:tcW w:w="2410" w:type="dxa"/>
        </w:tcPr>
        <w:p w14:paraId="145C550E" w14:textId="77777777" w:rsidR="001B030A" w:rsidRPr="002911FC" w:rsidRDefault="001B030A" w:rsidP="001B030A">
          <w:pPr>
            <w:pStyle w:val="FirstFooter"/>
            <w:tabs>
              <w:tab w:val="left" w:pos="2302"/>
            </w:tabs>
            <w:rPr>
              <w:sz w:val="18"/>
              <w:szCs w:val="18"/>
              <w:lang w:val="en-US"/>
            </w:rPr>
          </w:pPr>
          <w:r w:rsidRPr="002911FC">
            <w:rPr>
              <w:sz w:val="18"/>
              <w:szCs w:val="18"/>
              <w:lang w:val="fr-CH"/>
            </w:rPr>
            <w:t>Courriel</w:t>
          </w:r>
          <w:r w:rsidRPr="002911FC">
            <w:rPr>
              <w:sz w:val="18"/>
              <w:szCs w:val="18"/>
              <w:lang w:val="en-US"/>
            </w:rPr>
            <w:t>:</w:t>
          </w:r>
        </w:p>
      </w:tc>
      <w:tc>
        <w:tcPr>
          <w:tcW w:w="5919" w:type="dxa"/>
        </w:tcPr>
        <w:p w14:paraId="3537A984" w14:textId="22486E18" w:rsidR="000328E2" w:rsidRPr="002911FC" w:rsidRDefault="000328E2" w:rsidP="000328E2">
          <w:pPr>
            <w:pStyle w:val="FirstFooter"/>
            <w:tabs>
              <w:tab w:val="left" w:pos="2302"/>
            </w:tabs>
            <w:rPr>
              <w:sz w:val="18"/>
              <w:szCs w:val="18"/>
              <w:lang w:val="en-US"/>
            </w:rPr>
          </w:pPr>
          <w:hyperlink r:id="rId1" w:history="1">
            <w:r w:rsidRPr="002911FC">
              <w:rPr>
                <w:rStyle w:val="Hyperlink"/>
                <w:sz w:val="18"/>
                <w:szCs w:val="18"/>
                <w:lang w:val="en-US"/>
              </w:rPr>
              <w:t>archana.gulati@itu.int</w:t>
            </w:r>
          </w:hyperlink>
        </w:p>
      </w:tc>
    </w:tr>
  </w:tbl>
  <w:p w14:paraId="4830D301" w14:textId="77777777" w:rsidR="00C80022" w:rsidRPr="002911FC" w:rsidRDefault="00C80022" w:rsidP="001B03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02C107C7"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4D01FE">
      <w:rPr>
        <w:sz w:val="22"/>
        <w:szCs w:val="22"/>
        <w:lang w:val="de-CH"/>
      </w:rPr>
      <w:t>20</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A68084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C560AC5"/>
    <w:multiLevelType w:val="hybridMultilevel"/>
    <w:tmpl w:val="9BBC199C"/>
    <w:lvl w:ilvl="0" w:tplc="93E6492E">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48302C3E"/>
    <w:multiLevelType w:val="multilevel"/>
    <w:tmpl w:val="9F62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D46EB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522629287">
    <w:abstractNumId w:val="4"/>
  </w:num>
  <w:num w:numId="2" w16cid:durableId="1636175516">
    <w:abstractNumId w:val="3"/>
  </w:num>
  <w:num w:numId="3" w16cid:durableId="295379018">
    <w:abstractNumId w:val="2"/>
  </w:num>
  <w:num w:numId="4" w16cid:durableId="1388186340">
    <w:abstractNumId w:val="0"/>
  </w:num>
  <w:num w:numId="5" w16cid:durableId="3763950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28E2"/>
    <w:rsid w:val="00037A9E"/>
    <w:rsid w:val="00037F91"/>
    <w:rsid w:val="000539F1"/>
    <w:rsid w:val="00054747"/>
    <w:rsid w:val="00055A2A"/>
    <w:rsid w:val="000615C1"/>
    <w:rsid w:val="00061675"/>
    <w:rsid w:val="000743AA"/>
    <w:rsid w:val="0007632A"/>
    <w:rsid w:val="0008364E"/>
    <w:rsid w:val="0009076F"/>
    <w:rsid w:val="0009225C"/>
    <w:rsid w:val="00097C7D"/>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1CA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911F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1D0C"/>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A57A4"/>
    <w:rsid w:val="004B1A3C"/>
    <w:rsid w:val="004D01FE"/>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3D0F"/>
    <w:rsid w:val="006A6549"/>
    <w:rsid w:val="006A7710"/>
    <w:rsid w:val="006A7A61"/>
    <w:rsid w:val="006B1E59"/>
    <w:rsid w:val="006B2FFB"/>
    <w:rsid w:val="006B5AA9"/>
    <w:rsid w:val="006C10A2"/>
    <w:rsid w:val="006C1F18"/>
    <w:rsid w:val="006C3CC5"/>
    <w:rsid w:val="006D40D5"/>
    <w:rsid w:val="006F009A"/>
    <w:rsid w:val="006F3D93"/>
    <w:rsid w:val="00700F2B"/>
    <w:rsid w:val="007019B1"/>
    <w:rsid w:val="00721657"/>
    <w:rsid w:val="007279A8"/>
    <w:rsid w:val="00727B1A"/>
    <w:rsid w:val="00741337"/>
    <w:rsid w:val="00752258"/>
    <w:rsid w:val="007529E1"/>
    <w:rsid w:val="00762880"/>
    <w:rsid w:val="00762AD6"/>
    <w:rsid w:val="00762E02"/>
    <w:rsid w:val="00772290"/>
    <w:rsid w:val="00777265"/>
    <w:rsid w:val="007805E7"/>
    <w:rsid w:val="0078222A"/>
    <w:rsid w:val="0078642F"/>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5C7B"/>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B6C2B"/>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1D3B"/>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1E11"/>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3006"/>
    <w:rsid w:val="00D72301"/>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1A8C"/>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5415B"/>
    <w:rsid w:val="00F626F7"/>
    <w:rsid w:val="00F736F9"/>
    <w:rsid w:val="00F73833"/>
    <w:rsid w:val="00F7434A"/>
    <w:rsid w:val="00F9211C"/>
    <w:rsid w:val="00FA095D"/>
    <w:rsid w:val="00FA6C8B"/>
    <w:rsid w:val="00FA6CDA"/>
    <w:rsid w:val="00FA7C89"/>
    <w:rsid w:val="00FB4139"/>
    <w:rsid w:val="00FB476E"/>
    <w:rsid w:val="00FC0D90"/>
    <w:rsid w:val="00FC7924"/>
    <w:rsid w:val="00FC7D8C"/>
    <w:rsid w:val="00FD1E54"/>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qFormat/>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0328E2"/>
    <w:rPr>
      <w:color w:val="605E5C"/>
      <w:shd w:val="clear" w:color="auto" w:fill="E1DFDD"/>
    </w:rPr>
  </w:style>
  <w:style w:type="paragraph" w:styleId="NormalWeb">
    <w:name w:val="Normal (Web)"/>
    <w:basedOn w:val="Normal"/>
    <w:uiPriority w:val="99"/>
    <w:unhideWhenUsed/>
    <w:rsid w:val="000328E2"/>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szCs w:val="24"/>
      <w:lang w:eastAsia="en-GB"/>
    </w:rPr>
  </w:style>
  <w:style w:type="paragraph" w:customStyle="1" w:styleId="scriptor-listitemlistlist-f69bd402-4176-4909-979b-570f783ffd6e1">
    <w:name w:val="scriptor-listitemlist!list-f69bd402-4176-4909-979b-570f783ffd6e1"/>
    <w:basedOn w:val="Normal"/>
    <w:rsid w:val="000328E2"/>
    <w:pPr>
      <w:tabs>
        <w:tab w:val="clear" w:pos="794"/>
        <w:tab w:val="clear" w:pos="1191"/>
        <w:tab w:val="clear" w:pos="1588"/>
        <w:tab w:val="clear" w:pos="1985"/>
      </w:tabs>
      <w:overflowPunct/>
      <w:autoSpaceDE/>
      <w:autoSpaceDN/>
      <w:adjustRightInd/>
      <w:spacing w:before="0" w:after="160"/>
      <w:textAlignment w:val="auto"/>
    </w:pPr>
    <w:rPr>
      <w:rFonts w:ascii="Times New Roman" w:hAnsi="Times New Roman"/>
      <w:szCs w:val="24"/>
      <w:lang w:eastAsia="en-GB"/>
    </w:rPr>
  </w:style>
  <w:style w:type="paragraph" w:styleId="ListBullet">
    <w:name w:val="List Bullet"/>
    <w:basedOn w:val="Normal"/>
    <w:uiPriority w:val="99"/>
    <w:unhideWhenUsed/>
    <w:rsid w:val="00E81A8C"/>
    <w:pPr>
      <w:numPr>
        <w:numId w:val="4"/>
      </w:numPr>
      <w:tabs>
        <w:tab w:val="clear" w:pos="360"/>
        <w:tab w:val="clear" w:pos="794"/>
        <w:tab w:val="clear" w:pos="1191"/>
        <w:tab w:val="clear" w:pos="1588"/>
        <w:tab w:val="clear" w:pos="1985"/>
      </w:tabs>
      <w:overflowPunct/>
      <w:autoSpaceDE/>
      <w:autoSpaceDN/>
      <w:adjustRightInd/>
      <w:spacing w:before="0" w:after="200" w:line="276" w:lineRule="auto"/>
      <w:ind w:left="0" w:firstLine="0"/>
      <w:contextualSpacing/>
      <w:textAlignment w:val="auto"/>
    </w:pPr>
    <w:rPr>
      <w:rFonts w:eastAsiaTheme="minorEastAsia"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3-CL-C-0106/fr" TargetMode="External"/><Relationship Id="rId18" Type="http://schemas.openxmlformats.org/officeDocument/2006/relationships/hyperlink" Target="https://www.itu.int/md/S23-CL-C-0065/e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tu.int/md/S23-CL-C-0106/fr" TargetMode="External"/><Relationship Id="rId17" Type="http://schemas.openxmlformats.org/officeDocument/2006/relationships/hyperlink" Target="https://www.itu.int/md/S23-CL-C-0064/en" TargetMode="External"/><Relationship Id="rId2" Type="http://schemas.openxmlformats.org/officeDocument/2006/relationships/customXml" Target="../customXml/item2.xml"/><Relationship Id="rId16" Type="http://schemas.openxmlformats.org/officeDocument/2006/relationships/hyperlink" Target="https://www.itu.int/md/S23-CL-C-0106/en" TargetMode="External"/><Relationship Id="rId20" Type="http://schemas.openxmlformats.org/officeDocument/2006/relationships/hyperlink" Target="https://www.itu.int/md/S25-CL-C-006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tu.int/md/S23-CL-C-0065/fr"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tu.int/md/S25-CL-C-0064/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3-CL-C-0064/fr"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2.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4.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521</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8</cp:revision>
  <cp:lastPrinted>2014-11-04T09:22:00Z</cp:lastPrinted>
  <dcterms:created xsi:type="dcterms:W3CDTF">2026-03-24T06:56:00Z</dcterms:created>
  <dcterms:modified xsi:type="dcterms:W3CDTF">2026-03-24T08:49:00Z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