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674A42DA" w14:textId="77777777" w:rsidTr="005C3173">
        <w:trPr>
          <w:cantSplit/>
          <w:trHeight w:val="1134"/>
        </w:trPr>
        <w:tc>
          <w:tcPr>
            <w:tcW w:w="6663" w:type="dxa"/>
          </w:tcPr>
          <w:p w14:paraId="731C542B" w14:textId="77777777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20D5D8D4" w14:textId="7777777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46EC0360" w14:textId="77777777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19CA588E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26F3A241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6BA45128" w14:textId="77777777" w:rsidR="00D83BF5" w:rsidRPr="00403C69" w:rsidRDefault="00D83BF5" w:rsidP="00B06557">
            <w:pPr>
              <w:spacing w:before="0"/>
            </w:pPr>
          </w:p>
        </w:tc>
      </w:tr>
      <w:tr w:rsidR="00454176" w:rsidRPr="00403C69" w14:paraId="39366C42" w14:textId="77777777" w:rsidTr="005C3173">
        <w:trPr>
          <w:cantSplit/>
          <w:trHeight w:val="23"/>
        </w:trPr>
        <w:tc>
          <w:tcPr>
            <w:tcW w:w="6663" w:type="dxa"/>
          </w:tcPr>
          <w:p w14:paraId="02B3FE28" w14:textId="77777777" w:rsidR="00454176" w:rsidRPr="00403C69" w:rsidRDefault="00454176" w:rsidP="00454176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4E29EB58" w14:textId="38D77E5A" w:rsidR="00454176" w:rsidRPr="00F42215" w:rsidRDefault="00454176" w:rsidP="00454176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D15BCA">
              <w:rPr>
                <w:rFonts w:cstheme="minorHAnsi"/>
                <w:b/>
                <w:bCs/>
              </w:rPr>
              <w:t>Document</w:t>
            </w:r>
            <w:r>
              <w:rPr>
                <w:rFonts w:cstheme="minorHAnsi"/>
                <w:b/>
                <w:bCs/>
              </w:rPr>
              <w:t>o</w:t>
            </w:r>
            <w:r w:rsidRPr="00D15BCA">
              <w:rPr>
                <w:rFonts w:cstheme="minorHAnsi"/>
                <w:b/>
                <w:bCs/>
              </w:rPr>
              <w:t xml:space="preserve"> </w:t>
            </w:r>
            <w:bookmarkStart w:id="4" w:name="DocRef1"/>
            <w:bookmarkEnd w:id="4"/>
            <w:r w:rsidRPr="00D15BCA">
              <w:rPr>
                <w:rFonts w:cstheme="minorHAnsi"/>
                <w:b/>
                <w:bCs/>
              </w:rPr>
              <w:t>TDAG-26/</w:t>
            </w:r>
            <w:bookmarkStart w:id="5" w:name="DocNo1"/>
            <w:bookmarkEnd w:id="5"/>
            <w:r w:rsidRPr="00D15BCA">
              <w:rPr>
                <w:rFonts w:cstheme="minorHAnsi"/>
                <w:b/>
                <w:bCs/>
              </w:rPr>
              <w:t>19-</w:t>
            </w:r>
            <w:r>
              <w:rPr>
                <w:rFonts w:cstheme="minorHAnsi"/>
                <w:b/>
                <w:bCs/>
              </w:rPr>
              <w:t>S</w:t>
            </w:r>
          </w:p>
        </w:tc>
      </w:tr>
      <w:tr w:rsidR="00454176" w:rsidRPr="00403C69" w14:paraId="62E3658D" w14:textId="77777777" w:rsidTr="005C3173">
        <w:trPr>
          <w:cantSplit/>
          <w:trHeight w:val="23"/>
        </w:trPr>
        <w:tc>
          <w:tcPr>
            <w:tcW w:w="6663" w:type="dxa"/>
          </w:tcPr>
          <w:p w14:paraId="77E3EFEC" w14:textId="77777777" w:rsidR="00454176" w:rsidRPr="00403C69" w:rsidRDefault="00454176" w:rsidP="00454176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7E7829AA" w14:textId="16E839D5" w:rsidR="00454176" w:rsidRPr="00F42215" w:rsidRDefault="00454176" w:rsidP="00454176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6757FD1F">
              <w:rPr>
                <w:rFonts w:cstheme="minorBidi"/>
                <w:b/>
                <w:bCs/>
              </w:rPr>
              <w:t xml:space="preserve">3 </w:t>
            </w:r>
            <w:r>
              <w:rPr>
                <w:rFonts w:cstheme="minorBidi"/>
                <w:b/>
                <w:bCs/>
              </w:rPr>
              <w:t>de marzo de</w:t>
            </w:r>
            <w:r w:rsidRPr="6757FD1F">
              <w:rPr>
                <w:rFonts w:cstheme="minorBidi"/>
                <w:b/>
                <w:bCs/>
              </w:rPr>
              <w:t xml:space="preserve"> 2026</w:t>
            </w:r>
          </w:p>
        </w:tc>
      </w:tr>
      <w:bookmarkEnd w:id="6"/>
      <w:bookmarkEnd w:id="7"/>
      <w:tr w:rsidR="00454176" w:rsidRPr="00403C69" w14:paraId="44124224" w14:textId="77777777" w:rsidTr="005C3173">
        <w:trPr>
          <w:cantSplit/>
          <w:trHeight w:val="23"/>
        </w:trPr>
        <w:tc>
          <w:tcPr>
            <w:tcW w:w="6663" w:type="dxa"/>
          </w:tcPr>
          <w:p w14:paraId="48BBC9BC" w14:textId="77777777" w:rsidR="00454176" w:rsidRPr="00403C69" w:rsidRDefault="00454176" w:rsidP="00454176">
            <w:pPr>
              <w:spacing w:before="0"/>
            </w:pPr>
          </w:p>
        </w:tc>
        <w:tc>
          <w:tcPr>
            <w:tcW w:w="3368" w:type="dxa"/>
          </w:tcPr>
          <w:p w14:paraId="67370045" w14:textId="105A7D8F" w:rsidR="00454176" w:rsidRPr="00F42215" w:rsidRDefault="00454176" w:rsidP="00454176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D15BCA">
              <w:rPr>
                <w:rFonts w:cstheme="minorHAnsi"/>
                <w:b/>
                <w:bCs/>
                <w:szCs w:val="24"/>
              </w:rPr>
              <w:t xml:space="preserve">Original: </w:t>
            </w:r>
            <w:r>
              <w:rPr>
                <w:rFonts w:cstheme="minorHAnsi"/>
                <w:b/>
                <w:bCs/>
                <w:szCs w:val="24"/>
              </w:rPr>
              <w:t>inglés</w:t>
            </w:r>
          </w:p>
        </w:tc>
      </w:tr>
      <w:tr w:rsidR="00D83BF5" w:rsidRPr="002B7E07" w14:paraId="4E935DE2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0B802836" w14:textId="6A60220B" w:rsidR="00D83BF5" w:rsidRPr="00F42215" w:rsidRDefault="00454176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B75B70">
              <w:rPr>
                <w:rFonts w:cstheme="minorHAnsi"/>
                <w:lang w:val="es-ES"/>
              </w:rPr>
              <w:t>Director de la Oficina de Des</w:t>
            </w:r>
            <w:r>
              <w:rPr>
                <w:rFonts w:cstheme="minorHAnsi"/>
                <w:lang w:val="es-ES"/>
              </w:rPr>
              <w:t>arrollo de las Telecomunicaciones</w:t>
            </w:r>
          </w:p>
        </w:tc>
      </w:tr>
      <w:tr w:rsidR="00D83BF5" w:rsidRPr="002B7E07" w14:paraId="4A5D12F9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06857EC6" w14:textId="2EBEEBD6" w:rsidR="00D83BF5" w:rsidRPr="00F42215" w:rsidRDefault="00454176" w:rsidP="00B06557">
            <w:pPr>
              <w:pStyle w:val="Title1"/>
              <w:spacing w:before="120" w:after="120"/>
              <w:rPr>
                <w:lang w:val="es-ES"/>
              </w:rPr>
            </w:pPr>
            <w:r w:rsidRPr="00B75B70">
              <w:rPr>
                <w:rFonts w:cstheme="minorHAnsi"/>
                <w:caps w:val="0"/>
                <w:szCs w:val="28"/>
                <w:lang w:val="es-ES"/>
              </w:rPr>
              <w:t xml:space="preserve">Repercusiones financieras de las Iniciativas </w:t>
            </w:r>
            <w:r>
              <w:rPr>
                <w:rFonts w:cstheme="minorHAnsi"/>
                <w:caps w:val="0"/>
                <w:szCs w:val="28"/>
                <w:lang w:val="es-ES"/>
              </w:rPr>
              <w:t>R</w:t>
            </w:r>
            <w:r w:rsidRPr="00B75B70">
              <w:rPr>
                <w:rFonts w:cstheme="minorHAnsi"/>
                <w:caps w:val="0"/>
                <w:szCs w:val="28"/>
                <w:lang w:val="es-ES"/>
              </w:rPr>
              <w:t xml:space="preserve">egionales adoptadas por la </w:t>
            </w:r>
            <w:r>
              <w:rPr>
                <w:rFonts w:cstheme="minorHAnsi"/>
                <w:caps w:val="0"/>
                <w:szCs w:val="28"/>
                <w:lang w:val="es-ES"/>
              </w:rPr>
              <w:t>CMDT</w:t>
            </w:r>
            <w:r w:rsidRPr="00B75B70">
              <w:rPr>
                <w:rFonts w:cstheme="minorHAnsi"/>
                <w:caps w:val="0"/>
                <w:szCs w:val="28"/>
                <w:lang w:val="es-ES"/>
              </w:rPr>
              <w:t>-25</w:t>
            </w:r>
          </w:p>
        </w:tc>
      </w:tr>
      <w:tr w:rsidR="00D83BF5" w:rsidRPr="002B7E07" w14:paraId="7682F26D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6FADB844" w14:textId="77777777" w:rsidR="00D83BF5" w:rsidRPr="00454176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2B7E07" w14:paraId="6B8BDEA4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4D4" w14:textId="77777777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43E3BF25" w14:textId="5C162C1C" w:rsidR="00454176" w:rsidRPr="00B75B70" w:rsidRDefault="00454176" w:rsidP="00454176">
            <w:pPr>
              <w:spacing w:after="120"/>
              <w:rPr>
                <w:rFonts w:cstheme="minorHAnsi"/>
                <w:lang w:val="es-ES"/>
              </w:rPr>
            </w:pPr>
            <w:r w:rsidRPr="00B75B70">
              <w:rPr>
                <w:rFonts w:cstheme="minorHAnsi"/>
                <w:szCs w:val="24"/>
                <w:lang w:val="es-ES"/>
              </w:rPr>
              <w:t xml:space="preserve">La Conferencia Mundial de Desarrollo de las Telecomunicaciones (CMDT-25), celebrada en Bakú (Azerbaiyán), del 17 al 28 de noviembre de 2025, adoptó la Declaración de Bakú y el Plan de Acción de Bakú (PAB), que contiene 30 Iniciativas Regionales (5 Iniciativas Regionales por región del UIT-D). </w:t>
            </w:r>
            <w:r>
              <w:rPr>
                <w:rFonts w:cstheme="minorHAnsi"/>
                <w:szCs w:val="24"/>
                <w:lang w:val="es-ES"/>
              </w:rPr>
              <w:t>L</w:t>
            </w:r>
            <w:r w:rsidRPr="00B75B70">
              <w:rPr>
                <w:rFonts w:cstheme="minorHAnsi"/>
                <w:szCs w:val="24"/>
                <w:lang w:val="es-ES"/>
              </w:rPr>
              <w:t>a implementación de esas Iniciativas Regionales (IR) exigirá una importante coordinación entre los Estados Miembros de la UIT a nivel regional, así como la moviliza</w:t>
            </w:r>
            <w:r>
              <w:rPr>
                <w:rFonts w:cstheme="minorHAnsi"/>
                <w:szCs w:val="24"/>
                <w:lang w:val="es-ES"/>
              </w:rPr>
              <w:t>ción de los recursos necesarios para la firma de nuevos proyectos del UIT-D en pro de esas IR</w:t>
            </w:r>
          </w:p>
          <w:p w14:paraId="1328CE81" w14:textId="409517EB" w:rsidR="00454176" w:rsidRPr="00807BED" w:rsidRDefault="00454176" w:rsidP="00454176">
            <w:pPr>
              <w:spacing w:after="120"/>
              <w:rPr>
                <w:rFonts w:cstheme="minorBidi"/>
                <w:lang w:val="es-ES"/>
              </w:rPr>
            </w:pPr>
            <w:r w:rsidRPr="00B75B70">
              <w:rPr>
                <w:rFonts w:cstheme="minorBidi"/>
                <w:lang w:val="es-ES"/>
              </w:rPr>
              <w:t>Tras la CMDT-17, el Consejo de la UIT atribuyó en 2028 5</w:t>
            </w:r>
            <w:r w:rsidR="002B7E07">
              <w:rPr>
                <w:rFonts w:cstheme="minorBidi"/>
                <w:lang w:val="es-ES"/>
              </w:rPr>
              <w:t> </w:t>
            </w:r>
            <w:r w:rsidRPr="00B75B70">
              <w:rPr>
                <w:rFonts w:cstheme="minorBidi"/>
                <w:lang w:val="es-ES"/>
              </w:rPr>
              <w:t>millones</w:t>
            </w:r>
            <w:r w:rsidR="0058222C">
              <w:rPr>
                <w:rFonts w:cstheme="minorBidi"/>
                <w:lang w:val="es-ES"/>
              </w:rPr>
              <w:t> </w:t>
            </w:r>
            <w:r w:rsidRPr="00B75B70">
              <w:rPr>
                <w:rFonts w:cstheme="minorBidi"/>
                <w:lang w:val="es-ES"/>
              </w:rPr>
              <w:t xml:space="preserve">CHF de financiación inicial para aumentar los esfuerzos de movilización de recursos de la UIT para </w:t>
            </w:r>
            <w:r>
              <w:rPr>
                <w:rFonts w:cstheme="minorBidi"/>
                <w:lang w:val="es-ES"/>
              </w:rPr>
              <w:t>las IR, mientras que tras la CMDT</w:t>
            </w:r>
            <w:r w:rsidR="002B7E07">
              <w:rPr>
                <w:rFonts w:cstheme="minorBidi"/>
                <w:lang w:val="es-ES"/>
              </w:rPr>
              <w:noBreakHyphen/>
            </w:r>
            <w:r>
              <w:rPr>
                <w:rFonts w:cstheme="minorBidi"/>
                <w:lang w:val="es-ES"/>
              </w:rPr>
              <w:t>22, y habida cuenta del éxito con que se saldó el periodo anterior, el Consejo de la UIT atribuyó en 2023 3</w:t>
            </w:r>
            <w:r w:rsidR="002B7E07">
              <w:rPr>
                <w:rFonts w:cstheme="minorBidi"/>
                <w:lang w:val="es-ES"/>
              </w:rPr>
              <w:t> </w:t>
            </w:r>
            <w:r>
              <w:rPr>
                <w:rFonts w:cstheme="minorBidi"/>
                <w:lang w:val="es-ES"/>
              </w:rPr>
              <w:t>millones</w:t>
            </w:r>
            <w:r w:rsidR="0058222C">
              <w:rPr>
                <w:rFonts w:cstheme="minorBidi"/>
                <w:lang w:val="es-ES"/>
              </w:rPr>
              <w:t> </w:t>
            </w:r>
            <w:r>
              <w:rPr>
                <w:rFonts w:cstheme="minorBidi"/>
                <w:lang w:val="es-ES"/>
              </w:rPr>
              <w:t xml:space="preserve">CHF. </w:t>
            </w:r>
            <w:r w:rsidRPr="00B75B70">
              <w:rPr>
                <w:rFonts w:cstheme="minorBidi"/>
                <w:lang w:val="es-ES"/>
              </w:rPr>
              <w:t xml:space="preserve">La disponibilidad de estos fondos ha sido fundamental para garantizar que la BDT dispone de los mecanismos adecuados para concluir asociaciones y </w:t>
            </w:r>
            <w:r>
              <w:rPr>
                <w:rFonts w:cstheme="minorBidi"/>
                <w:lang w:val="es-ES"/>
              </w:rPr>
              <w:t>colaborar con las partes interesadas pertinentes</w:t>
            </w:r>
            <w:r w:rsidRPr="00807BED">
              <w:rPr>
                <w:rFonts w:cstheme="minorBidi"/>
                <w:lang w:val="es-ES"/>
              </w:rPr>
              <w:t xml:space="preserve">. </w:t>
            </w:r>
          </w:p>
          <w:p w14:paraId="12E09BC8" w14:textId="1F86D919" w:rsidR="001E252D" w:rsidRPr="00B41165" w:rsidRDefault="00454176" w:rsidP="00454176">
            <w:pPr>
              <w:rPr>
                <w:lang w:val="es-ES"/>
              </w:rPr>
            </w:pPr>
            <w:r w:rsidRPr="00807BED">
              <w:rPr>
                <w:rFonts w:cstheme="minorBidi"/>
                <w:lang w:val="es-ES"/>
              </w:rPr>
              <w:t xml:space="preserve">En este documento se da cuenta de la experiencia obtenida durante los dos últimos ciclos de la CMDT en la creación de proyectos en pro de las IR y se presentan a la consideración del Consejo de la UIT opciones para evaluar la posibilidad de </w:t>
            </w:r>
            <w:r>
              <w:rPr>
                <w:rFonts w:cstheme="minorBidi"/>
                <w:lang w:val="es-ES"/>
              </w:rPr>
              <w:t>atribuir fondos adicionales que permitan la firma de nuevos proyectos del UIT-D vinculados a las IR adoptadas por la CMDT</w:t>
            </w:r>
            <w:r w:rsidRPr="00807BED">
              <w:rPr>
                <w:rFonts w:cstheme="minorBidi"/>
                <w:lang w:val="es-ES"/>
              </w:rPr>
              <w:t>-25.</w:t>
            </w:r>
          </w:p>
          <w:p w14:paraId="4DC4F510" w14:textId="77777777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17FA4380" w14:textId="77777777" w:rsidR="005C33FB" w:rsidRDefault="005C33FB" w:rsidP="00403C69">
            <w:pPr>
              <w:rPr>
                <w:lang w:val="es-ES"/>
              </w:rPr>
            </w:pPr>
            <w:r w:rsidRPr="005C33FB">
              <w:rPr>
                <w:lang w:val="es-ES"/>
              </w:rPr>
              <w:t>Se invita al</w:t>
            </w:r>
            <w:r w:rsidR="00B06557">
              <w:rPr>
                <w:lang w:val="es-ES"/>
              </w:rPr>
              <w:t> </w:t>
            </w:r>
            <w:r w:rsidRPr="005C33FB">
              <w:rPr>
                <w:lang w:val="es-ES"/>
              </w:rPr>
              <w:t>GADT a tomar nota de este documento y formular las orientaciones que estime convenientes.</w:t>
            </w:r>
          </w:p>
          <w:p w14:paraId="76FC536C" w14:textId="77777777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491952D7" w14:textId="54995AC7" w:rsidR="001E252D" w:rsidRPr="005C33FB" w:rsidRDefault="00454176" w:rsidP="00403C69">
            <w:pPr>
              <w:spacing w:after="120"/>
              <w:rPr>
                <w:lang w:val="es-ES"/>
              </w:rPr>
            </w:pPr>
            <w:r w:rsidRPr="00807BED">
              <w:rPr>
                <w:rFonts w:cstheme="minorHAnsi"/>
                <w:lang w:val="es-ES" w:eastAsia="zh-CN"/>
              </w:rPr>
              <w:t>Resoluciones 17 (Rev. Bakú, 2025) y 52 (Rev. Dubái, 2014) de la Conferencia Mundial de Desarrollo de las Telecomunicaciones (</w:t>
            </w:r>
            <w:r w:rsidR="002B7E07">
              <w:rPr>
                <w:rFonts w:cstheme="minorHAnsi"/>
                <w:lang w:val="es-ES" w:eastAsia="zh-CN"/>
              </w:rPr>
              <w:t>CMDT</w:t>
            </w:r>
            <w:r w:rsidRPr="00807BED">
              <w:rPr>
                <w:rFonts w:cstheme="minorHAnsi"/>
                <w:lang w:val="es-ES" w:eastAsia="zh-CN"/>
              </w:rPr>
              <w:t xml:space="preserve">-25) </w:t>
            </w:r>
            <w:r>
              <w:rPr>
                <w:rFonts w:cstheme="minorHAnsi"/>
                <w:lang w:val="es-ES" w:eastAsia="zh-CN"/>
              </w:rPr>
              <w:t>y Resolución</w:t>
            </w:r>
            <w:r w:rsidRPr="00807BED">
              <w:rPr>
                <w:rFonts w:cstheme="minorHAnsi"/>
                <w:lang w:val="es-ES" w:eastAsia="zh-CN"/>
              </w:rPr>
              <w:t xml:space="preserve"> 157 (Rev. Bucarest, 2022) </w:t>
            </w:r>
            <w:r>
              <w:rPr>
                <w:rFonts w:cstheme="minorHAnsi"/>
                <w:lang w:val="es-ES" w:eastAsia="zh-CN"/>
              </w:rPr>
              <w:t>de la Conferencia de Plenipotenciarios</w:t>
            </w:r>
            <w:r w:rsidRPr="00807BED">
              <w:rPr>
                <w:rFonts w:cstheme="minorHAnsi"/>
                <w:lang w:val="es-ES" w:eastAsia="zh-CN"/>
              </w:rPr>
              <w:t xml:space="preserve"> (PP-22)</w:t>
            </w:r>
          </w:p>
        </w:tc>
      </w:tr>
      <w:bookmarkEnd w:id="8"/>
      <w:bookmarkEnd w:id="9"/>
    </w:tbl>
    <w:p w14:paraId="6FE91FED" w14:textId="77777777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203029BB" w14:textId="23033BB5" w:rsidR="00454176" w:rsidRPr="002B7E07" w:rsidRDefault="002B7E07" w:rsidP="002B7E07">
      <w:pPr>
        <w:pStyle w:val="Heading1"/>
        <w:rPr>
          <w:lang w:val="es-ES"/>
        </w:rPr>
      </w:pPr>
      <w:r>
        <w:rPr>
          <w:lang w:val="es-ES"/>
        </w:rPr>
        <w:lastRenderedPageBreak/>
        <w:t>1</w:t>
      </w:r>
      <w:r>
        <w:rPr>
          <w:lang w:val="es-ES"/>
        </w:rPr>
        <w:tab/>
      </w:r>
      <w:r w:rsidR="00454176" w:rsidRPr="002B7E07">
        <w:rPr>
          <w:lang w:val="es-ES"/>
        </w:rPr>
        <w:t>Introducción</w:t>
      </w:r>
    </w:p>
    <w:p w14:paraId="72BDAD78" w14:textId="28AC1DEB" w:rsidR="00454176" w:rsidRPr="00807BED" w:rsidRDefault="00454176" w:rsidP="00454176">
      <w:pPr>
        <w:spacing w:after="120"/>
        <w:rPr>
          <w:rFonts w:cstheme="minorHAnsi"/>
          <w:szCs w:val="24"/>
          <w:lang w:val="es-ES"/>
        </w:rPr>
      </w:pPr>
      <w:r w:rsidRPr="00B75B70">
        <w:rPr>
          <w:rFonts w:cstheme="minorHAnsi"/>
          <w:szCs w:val="24"/>
          <w:lang w:val="es-ES"/>
        </w:rPr>
        <w:t>La Conferencia Mundial de Desarrollo de las Telecomunicaciones (CMDT-25), celebrada en Bakú (Azerbaiyán), del 17 al 28 de noviembre de 2025, adoptó la Declaración de Bakú y el Plan de Acción de Bakú (PAB), que contiene 30 Iniciativas Regionales (</w:t>
      </w:r>
      <w:r w:rsidR="002B7E07">
        <w:rPr>
          <w:rFonts w:cstheme="minorHAnsi"/>
          <w:szCs w:val="24"/>
          <w:lang w:val="es-ES"/>
        </w:rPr>
        <w:t>cinco</w:t>
      </w:r>
      <w:r w:rsidRPr="00B75B70">
        <w:rPr>
          <w:rFonts w:cstheme="minorHAnsi"/>
          <w:szCs w:val="24"/>
          <w:lang w:val="es-ES"/>
        </w:rPr>
        <w:t xml:space="preserve"> Iniciativas Regionales por región del UIT-D)</w:t>
      </w:r>
      <w:r w:rsidRPr="00807BED">
        <w:rPr>
          <w:rFonts w:cstheme="minorHAnsi"/>
          <w:szCs w:val="24"/>
          <w:lang w:val="es-ES"/>
        </w:rPr>
        <w:t xml:space="preserve">, </w:t>
      </w:r>
      <w:r>
        <w:rPr>
          <w:rFonts w:cstheme="minorHAnsi"/>
          <w:szCs w:val="24"/>
          <w:lang w:val="es-ES"/>
        </w:rPr>
        <w:t xml:space="preserve">destinadas a colmar las necesidades específicas de cada región a fin de avanzar en la transformación digital y acelerarla. </w:t>
      </w:r>
      <w:r w:rsidRPr="00807BED">
        <w:rPr>
          <w:rFonts w:cstheme="minorHAnsi"/>
          <w:szCs w:val="24"/>
          <w:lang w:val="es-ES"/>
        </w:rPr>
        <w:t>En el Anexo 1 se presenta un resumen de las IR adoptada</w:t>
      </w:r>
      <w:r>
        <w:rPr>
          <w:rFonts w:cstheme="minorHAnsi"/>
          <w:szCs w:val="24"/>
          <w:lang w:val="es-ES"/>
        </w:rPr>
        <w:t>s por la CMDT</w:t>
      </w:r>
      <w:r w:rsidRPr="00807BED">
        <w:rPr>
          <w:rFonts w:cstheme="minorHAnsi"/>
          <w:szCs w:val="24"/>
          <w:lang w:val="es-ES"/>
        </w:rPr>
        <w:t xml:space="preserve">-25, </w:t>
      </w:r>
      <w:r>
        <w:rPr>
          <w:rFonts w:cstheme="minorHAnsi"/>
          <w:szCs w:val="24"/>
          <w:lang w:val="es-ES"/>
        </w:rPr>
        <w:t>agrupadas por Prioridades del UIT-D, mostrando así las sinergias entre las regiones</w:t>
      </w:r>
      <w:r w:rsidRPr="00807BED">
        <w:rPr>
          <w:rFonts w:cstheme="minorHAnsi"/>
          <w:szCs w:val="24"/>
          <w:lang w:val="es-ES"/>
        </w:rPr>
        <w:t>.</w:t>
      </w:r>
    </w:p>
    <w:p w14:paraId="71B4B9D2" w14:textId="77777777" w:rsidR="00454176" w:rsidRPr="00807BED" w:rsidRDefault="00454176" w:rsidP="00454176">
      <w:pPr>
        <w:spacing w:after="120"/>
        <w:rPr>
          <w:rFonts w:cstheme="minorBidi"/>
          <w:lang w:val="es-ES"/>
        </w:rPr>
      </w:pPr>
      <w:r w:rsidRPr="00807BED">
        <w:rPr>
          <w:rFonts w:cstheme="minorBidi"/>
          <w:lang w:val="es-ES"/>
        </w:rPr>
        <w:t>Los proyectos del UIT-D son esenciales para avanzar en la implementación de los resultados de la CMDT-25, en particular me</w:t>
      </w:r>
      <w:r>
        <w:rPr>
          <w:rFonts w:cstheme="minorBidi"/>
          <w:lang w:val="es-ES"/>
        </w:rPr>
        <w:t xml:space="preserve">diante su contribución a la ejecución de las IR. </w:t>
      </w:r>
      <w:r w:rsidRPr="00807BED">
        <w:rPr>
          <w:rFonts w:cstheme="minorBidi"/>
          <w:lang w:val="es-ES"/>
        </w:rPr>
        <w:t xml:space="preserve">Así ha sido durante los anteriores ciclos de la CMDT, como se muestra en las Figuras 1 y 2, en las que </w:t>
      </w:r>
      <w:r>
        <w:rPr>
          <w:rFonts w:cstheme="minorBidi"/>
          <w:lang w:val="es-ES"/>
        </w:rPr>
        <w:t>se presenta el número de proyectos del UIT-D firmados durante cada ciclo y el total de fondos movilizados por esos proyectos (incluidos los fondos extrapresupuestarios y los fondos de la UIT</w:t>
      </w:r>
      <w:r w:rsidRPr="00807BED">
        <w:rPr>
          <w:rFonts w:cstheme="minorBidi"/>
          <w:lang w:val="es-ES"/>
        </w:rPr>
        <w:t>).</w:t>
      </w:r>
    </w:p>
    <w:p w14:paraId="4B1C345A" w14:textId="77777777" w:rsidR="00454176" w:rsidRPr="002B7E07" w:rsidRDefault="00454176" w:rsidP="002B7E07">
      <w:pPr>
        <w:pStyle w:val="Figuretitle"/>
        <w:keepNext w:val="0"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240" w:after="240"/>
        <w:rPr>
          <w:rFonts w:cstheme="minorHAnsi"/>
          <w:b w:val="0"/>
          <w:sz w:val="24"/>
          <w:szCs w:val="24"/>
          <w:lang w:val="es-ES"/>
        </w:rPr>
      </w:pPr>
      <w:r w:rsidRPr="002B7E07">
        <w:rPr>
          <w:rFonts w:cstheme="minorHAnsi"/>
          <w:sz w:val="24"/>
          <w:szCs w:val="24"/>
          <w:lang w:val="es-ES"/>
        </w:rPr>
        <w:t>Figura 1 – Número de nuevos proyectos firmados, por ciclo de la CMDT</w:t>
      </w:r>
    </w:p>
    <w:p w14:paraId="0B3672D8" w14:textId="6CB7830B" w:rsidR="00454176" w:rsidRPr="00BC6A92" w:rsidRDefault="00BC6A92" w:rsidP="00454176">
      <w:pPr>
        <w:spacing w:after="120"/>
        <w:jc w:val="center"/>
        <w:rPr>
          <w:rFonts w:cstheme="minorBidi"/>
          <w:sz w:val="20"/>
        </w:rPr>
      </w:pPr>
      <w:r w:rsidRPr="00BC6A92">
        <w:rPr>
          <w:rFonts w:cstheme="minorBidi"/>
          <w:sz w:val="20"/>
        </w:rPr>
        <w:drawing>
          <wp:inline distT="0" distB="0" distL="0" distR="0" wp14:anchorId="0DFCDF01" wp14:editId="23D70A96">
            <wp:extent cx="5613621" cy="1819375"/>
            <wp:effectExtent l="0" t="0" r="6350" b="9525"/>
            <wp:docPr id="510786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60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1394" cy="18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6CE2" w14:textId="77777777" w:rsidR="00454176" w:rsidRPr="00BC6A92" w:rsidRDefault="00454176" w:rsidP="00BC6A92">
      <w:pPr>
        <w:pStyle w:val="Figuretitle"/>
        <w:keepNext w:val="0"/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spacing w:before="480" w:after="240"/>
        <w:rPr>
          <w:rFonts w:cstheme="minorHAnsi"/>
          <w:sz w:val="24"/>
          <w:szCs w:val="24"/>
          <w:lang w:val="es-ES"/>
        </w:rPr>
      </w:pPr>
      <w:r w:rsidRPr="00BC6A92">
        <w:rPr>
          <w:rFonts w:cstheme="minorHAnsi"/>
          <w:sz w:val="24"/>
          <w:szCs w:val="24"/>
          <w:lang w:val="es-ES"/>
        </w:rPr>
        <w:t>Figura 2 – Fondos movilizados a través de nuevos proyectos firmados, por ciclo de la CMDT</w:t>
      </w:r>
    </w:p>
    <w:p w14:paraId="36BDFE95" w14:textId="617C2E1B" w:rsidR="00454176" w:rsidRDefault="003C39AA" w:rsidP="00454176">
      <w:pPr>
        <w:spacing w:after="120"/>
        <w:jc w:val="center"/>
        <w:rPr>
          <w:rFonts w:cstheme="minorBidi"/>
        </w:rPr>
      </w:pPr>
      <w:r w:rsidRPr="003C39AA">
        <w:rPr>
          <w:rFonts w:cstheme="minorBidi"/>
        </w:rPr>
        <w:drawing>
          <wp:inline distT="0" distB="0" distL="0" distR="0" wp14:anchorId="7401B86B" wp14:editId="6D5C3C1C">
            <wp:extent cx="5550010" cy="2025043"/>
            <wp:effectExtent l="0" t="0" r="0" b="0"/>
            <wp:docPr id="1029956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565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6187" cy="202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A3A6" w14:textId="36802E64" w:rsidR="00454176" w:rsidRPr="007B38DE" w:rsidRDefault="00454176" w:rsidP="00454176">
      <w:pPr>
        <w:spacing w:after="120"/>
        <w:rPr>
          <w:rFonts w:cstheme="minorHAnsi"/>
          <w:szCs w:val="24"/>
          <w:lang w:val="es-ES"/>
        </w:rPr>
      </w:pPr>
      <w:r w:rsidRPr="007B38DE">
        <w:rPr>
          <w:rFonts w:cstheme="minorHAnsi"/>
          <w:szCs w:val="24"/>
          <w:lang w:val="es-ES"/>
        </w:rPr>
        <w:t>Como se detalla en el Documento TDAG-26/8, estas cifras muestran que los proyectos del UIT-D se financian principalmente con fondos extrapresupuestarios de terceros (85-90</w:t>
      </w:r>
      <w:r w:rsidR="003C39AA">
        <w:rPr>
          <w:rFonts w:cstheme="minorHAnsi"/>
          <w:szCs w:val="24"/>
          <w:lang w:val="es-ES"/>
        </w:rPr>
        <w:t> </w:t>
      </w:r>
      <w:r w:rsidRPr="007B38DE">
        <w:rPr>
          <w:rFonts w:cstheme="minorHAnsi"/>
          <w:szCs w:val="24"/>
          <w:lang w:val="es-ES"/>
        </w:rPr>
        <w:t>%, dependiendo del ciclo de la CMDT) movilizados por la BDT, y que el 10-15</w:t>
      </w:r>
      <w:r w:rsidR="003C39AA">
        <w:rPr>
          <w:rFonts w:cstheme="minorHAnsi"/>
          <w:szCs w:val="24"/>
          <w:lang w:val="es-ES"/>
        </w:rPr>
        <w:t> </w:t>
      </w:r>
      <w:r w:rsidRPr="007B38DE">
        <w:rPr>
          <w:rFonts w:cstheme="minorHAnsi"/>
          <w:szCs w:val="24"/>
          <w:lang w:val="es-ES"/>
        </w:rPr>
        <w:t xml:space="preserve">% </w:t>
      </w:r>
      <w:r>
        <w:rPr>
          <w:rFonts w:cstheme="minorHAnsi"/>
          <w:szCs w:val="24"/>
          <w:lang w:val="es-ES"/>
        </w:rPr>
        <w:t xml:space="preserve">de la financiación restante procede del Fondo para el Desarrollo de las Tecnologías de la Información y la Comunicación (FD-TIC) de la </w:t>
      </w:r>
      <w:r>
        <w:rPr>
          <w:rFonts w:cstheme="minorHAnsi"/>
          <w:szCs w:val="24"/>
          <w:lang w:val="es-ES"/>
        </w:rPr>
        <w:lastRenderedPageBreak/>
        <w:t>UIT</w:t>
      </w:r>
      <w:r w:rsidRPr="00D15BCA">
        <w:rPr>
          <w:rStyle w:val="FootnoteReference"/>
          <w:rFonts w:cstheme="minorHAnsi"/>
          <w:szCs w:val="24"/>
        </w:rPr>
        <w:footnoteReference w:id="2"/>
      </w:r>
      <w:r w:rsidRPr="007B38DE">
        <w:rPr>
          <w:rFonts w:cstheme="minorHAnsi"/>
          <w:szCs w:val="24"/>
          <w:lang w:val="es-ES"/>
        </w:rPr>
        <w:t xml:space="preserve"> o</w:t>
      </w:r>
      <w:r>
        <w:rPr>
          <w:rFonts w:cstheme="minorHAnsi"/>
          <w:szCs w:val="24"/>
          <w:lang w:val="es-ES"/>
        </w:rPr>
        <w:t xml:space="preserve"> de los fondos atribuidos por el Consejo de la UIT en apoyo de las anteriores Iniciativas Regionales de la CMDT</w:t>
      </w:r>
      <w:r w:rsidRPr="007B38DE">
        <w:rPr>
          <w:rFonts w:cstheme="minorHAnsi"/>
          <w:szCs w:val="24"/>
          <w:lang w:val="es-ES"/>
        </w:rPr>
        <w:t>.</w:t>
      </w:r>
    </w:p>
    <w:p w14:paraId="44DAF471" w14:textId="6E8086EB" w:rsidR="00454176" w:rsidRPr="007B38DE" w:rsidRDefault="00454176" w:rsidP="00454176">
      <w:pPr>
        <w:spacing w:after="120"/>
        <w:rPr>
          <w:rFonts w:cstheme="minorHAnsi"/>
          <w:szCs w:val="24"/>
          <w:lang w:val="es-ES"/>
        </w:rPr>
      </w:pPr>
      <w:r w:rsidRPr="007B38DE">
        <w:rPr>
          <w:rFonts w:cstheme="minorHAnsi"/>
          <w:szCs w:val="24"/>
          <w:lang w:val="es-ES"/>
        </w:rPr>
        <w:t>Conviene señalar que, dado que la UIT no es una institución de financiación, la viabilidad de la firma de nuevos proyectos depende en gr</w:t>
      </w:r>
      <w:r>
        <w:rPr>
          <w:rFonts w:cstheme="minorHAnsi"/>
          <w:szCs w:val="24"/>
          <w:lang w:val="es-ES"/>
        </w:rPr>
        <w:t xml:space="preserve">an medida de la disponibilidad de socios financieros que deseen financiar los trabajos de la UIT. </w:t>
      </w:r>
      <w:r w:rsidRPr="007B38DE">
        <w:rPr>
          <w:rFonts w:cstheme="minorHAnsi"/>
          <w:szCs w:val="24"/>
          <w:lang w:val="es-ES"/>
        </w:rPr>
        <w:t>Sin embargo, cada vez es mayor el número de donantes que exigen que los organismos que reciben fondos aporten un cierto nivel de cofinanc</w:t>
      </w:r>
      <w:r>
        <w:rPr>
          <w:rFonts w:cstheme="minorHAnsi"/>
          <w:szCs w:val="24"/>
          <w:lang w:val="es-ES"/>
        </w:rPr>
        <w:t xml:space="preserve">iación para garantizar la viabilidad de los nuevos proyectos. </w:t>
      </w:r>
      <w:r w:rsidRPr="007B38DE">
        <w:rPr>
          <w:rFonts w:cstheme="minorHAnsi"/>
          <w:szCs w:val="24"/>
          <w:lang w:val="es-ES"/>
        </w:rPr>
        <w:t>Por ese motivo el FD-TIC y los fondos atribuidos por el Consejo como soporte de las IR de la CMDT son tan importantes para aumentar la capacidad de mo</w:t>
      </w:r>
      <w:r>
        <w:rPr>
          <w:rFonts w:cstheme="minorHAnsi"/>
          <w:szCs w:val="24"/>
          <w:lang w:val="es-ES"/>
        </w:rPr>
        <w:t>vilización de recursos de la UIT y cumplir los requisitos impuestos por los socios financieros</w:t>
      </w:r>
      <w:r w:rsidRPr="007B38DE">
        <w:rPr>
          <w:rFonts w:cstheme="minorHAnsi"/>
          <w:szCs w:val="24"/>
          <w:lang w:val="es-ES"/>
        </w:rPr>
        <w:t>.</w:t>
      </w:r>
    </w:p>
    <w:p w14:paraId="1EE0646D" w14:textId="77777777" w:rsidR="00454176" w:rsidRPr="007B38DE" w:rsidRDefault="00454176" w:rsidP="00454176">
      <w:pPr>
        <w:spacing w:after="120"/>
        <w:rPr>
          <w:rFonts w:cstheme="minorHAnsi"/>
          <w:szCs w:val="24"/>
          <w:lang w:val="es-ES"/>
        </w:rPr>
      </w:pPr>
      <w:r w:rsidRPr="007B38DE">
        <w:rPr>
          <w:rFonts w:cstheme="minorHAnsi"/>
          <w:szCs w:val="24"/>
          <w:lang w:val="es-ES"/>
        </w:rPr>
        <w:t>A medida que la BDT avance en la implementación del Plan de Acción de Bakú, ser</w:t>
      </w:r>
      <w:r>
        <w:rPr>
          <w:rFonts w:cstheme="minorHAnsi"/>
          <w:szCs w:val="24"/>
          <w:lang w:val="es-ES"/>
        </w:rPr>
        <w:t>á</w:t>
      </w:r>
      <w:r w:rsidRPr="007B38DE">
        <w:rPr>
          <w:rFonts w:cstheme="minorHAnsi"/>
          <w:szCs w:val="24"/>
          <w:lang w:val="es-ES"/>
        </w:rPr>
        <w:t xml:space="preserve"> importante garantizar que la UIT sigue disponiendo de financiación suficiente para respaldar la firma de nuevos pr</w:t>
      </w:r>
      <w:r>
        <w:rPr>
          <w:rFonts w:cstheme="minorHAnsi"/>
          <w:szCs w:val="24"/>
          <w:lang w:val="es-ES"/>
        </w:rPr>
        <w:t>oyectos con contribuyan a la ejecución de las nuevas IR</w:t>
      </w:r>
      <w:r w:rsidRPr="007B38DE">
        <w:rPr>
          <w:rFonts w:cstheme="minorHAnsi"/>
          <w:szCs w:val="24"/>
          <w:lang w:val="es-ES"/>
        </w:rPr>
        <w:t>.</w:t>
      </w:r>
    </w:p>
    <w:p w14:paraId="2179671E" w14:textId="3FECE322" w:rsidR="00454176" w:rsidRPr="00A66729" w:rsidRDefault="002B7E07" w:rsidP="002B7E07">
      <w:pPr>
        <w:pStyle w:val="Heading1"/>
        <w:rPr>
          <w:rFonts w:cstheme="minorHAnsi"/>
          <w:b w:val="0"/>
          <w:szCs w:val="24"/>
          <w:lang w:val="es-ES"/>
        </w:rPr>
      </w:pPr>
      <w:r>
        <w:rPr>
          <w:rFonts w:cstheme="minorHAnsi"/>
          <w:szCs w:val="24"/>
          <w:lang w:val="es-ES"/>
        </w:rPr>
        <w:t>2</w:t>
      </w:r>
      <w:r>
        <w:rPr>
          <w:rFonts w:cstheme="minorHAnsi"/>
          <w:szCs w:val="24"/>
          <w:lang w:val="es-ES"/>
        </w:rPr>
        <w:tab/>
      </w:r>
      <w:r w:rsidR="00454176" w:rsidRPr="00A66729">
        <w:rPr>
          <w:rFonts w:cstheme="minorHAnsi"/>
          <w:szCs w:val="24"/>
          <w:lang w:val="es-ES"/>
        </w:rPr>
        <w:t>Anteriores atribuciones de fondos en pro de la implementación de</w:t>
      </w:r>
      <w:r w:rsidR="00454176">
        <w:rPr>
          <w:rFonts w:cstheme="minorHAnsi"/>
          <w:szCs w:val="24"/>
          <w:lang w:val="es-ES"/>
        </w:rPr>
        <w:t xml:space="preserve"> las Iniciativas Regionales de la CMDT</w:t>
      </w:r>
      <w:r w:rsidR="00454176" w:rsidRPr="00A66729">
        <w:rPr>
          <w:rFonts w:cstheme="minorHAnsi"/>
          <w:szCs w:val="24"/>
          <w:lang w:val="es-ES"/>
        </w:rPr>
        <w:t xml:space="preserve"> </w:t>
      </w:r>
    </w:p>
    <w:p w14:paraId="4975A23F" w14:textId="77777777" w:rsidR="00454176" w:rsidRPr="00A66729" w:rsidRDefault="00454176" w:rsidP="00454176">
      <w:pPr>
        <w:spacing w:after="120"/>
        <w:rPr>
          <w:rFonts w:cstheme="minorHAnsi"/>
          <w:szCs w:val="24"/>
          <w:lang w:val="es-ES"/>
        </w:rPr>
      </w:pPr>
      <w:r w:rsidRPr="00A66729">
        <w:rPr>
          <w:rFonts w:cstheme="minorHAnsi"/>
          <w:szCs w:val="24"/>
          <w:lang w:val="es-ES"/>
        </w:rPr>
        <w:t>En los dos últimos ciclos de la CMDT los Miembros de la UIT aprobaron las atribuciones de fondos siguientes para la puesta en ma</w:t>
      </w:r>
      <w:r>
        <w:rPr>
          <w:rFonts w:cstheme="minorHAnsi"/>
          <w:szCs w:val="24"/>
          <w:lang w:val="es-ES"/>
        </w:rPr>
        <w:t>rcha de nuevos proyectos en pro de la implementación de las IR de la CMDT</w:t>
      </w:r>
      <w:r w:rsidRPr="00A66729">
        <w:rPr>
          <w:rFonts w:cstheme="minorHAnsi"/>
          <w:szCs w:val="24"/>
          <w:lang w:val="es-ES"/>
        </w:rPr>
        <w:t>:</w:t>
      </w:r>
    </w:p>
    <w:p w14:paraId="40DE1524" w14:textId="5020BA13" w:rsidR="00454176" w:rsidRPr="00A66729" w:rsidRDefault="003C39AA" w:rsidP="003C39AA">
      <w:pPr>
        <w:pStyle w:val="enumlev1"/>
        <w:rPr>
          <w:lang w:val="es-ES"/>
        </w:rPr>
      </w:pPr>
      <w:r w:rsidRPr="003C39AA">
        <w:rPr>
          <w:lang w:val="es-ES"/>
        </w:rPr>
        <w:t>–</w:t>
      </w:r>
      <w:r>
        <w:rPr>
          <w:lang w:val="es-ES"/>
        </w:rPr>
        <w:tab/>
      </w:r>
      <w:r w:rsidR="00454176" w:rsidRPr="00A66729">
        <w:rPr>
          <w:lang w:val="es-ES"/>
        </w:rPr>
        <w:t>En la reunión de 2018 del Consejo de la UIT los Miembros de la UIT aprobaron la atribuci</w:t>
      </w:r>
      <w:r w:rsidR="00454176">
        <w:rPr>
          <w:lang w:val="es-ES"/>
        </w:rPr>
        <w:t>ón de 5</w:t>
      </w:r>
      <w:r w:rsidR="0058222C">
        <w:rPr>
          <w:lang w:val="es-ES"/>
        </w:rPr>
        <w:t> </w:t>
      </w:r>
      <w:r w:rsidR="00454176">
        <w:rPr>
          <w:lang w:val="es-ES"/>
        </w:rPr>
        <w:t>millones</w:t>
      </w:r>
      <w:r w:rsidR="0058222C">
        <w:rPr>
          <w:lang w:val="es-ES"/>
        </w:rPr>
        <w:t> </w:t>
      </w:r>
      <w:r w:rsidR="00454176">
        <w:rPr>
          <w:lang w:val="es-ES"/>
        </w:rPr>
        <w:t>CHF</w:t>
      </w:r>
      <w:r w:rsidR="00454176" w:rsidRPr="00D15BCA">
        <w:rPr>
          <w:rStyle w:val="FootnoteReference"/>
          <w:rFonts w:cstheme="minorHAnsi"/>
          <w:szCs w:val="24"/>
        </w:rPr>
        <w:footnoteReference w:id="3"/>
      </w:r>
      <w:r w:rsidR="00454176" w:rsidRPr="00A66729">
        <w:rPr>
          <w:lang w:val="es-ES"/>
        </w:rPr>
        <w:t xml:space="preserve"> </w:t>
      </w:r>
      <w:r w:rsidR="00454176">
        <w:rPr>
          <w:lang w:val="es-ES"/>
        </w:rPr>
        <w:t xml:space="preserve">para la implementación de las IR de la CMDT-17. </w:t>
      </w:r>
      <w:r w:rsidR="00454176" w:rsidRPr="00A66729">
        <w:rPr>
          <w:lang w:val="es-ES"/>
        </w:rPr>
        <w:t>Estos fondos permitieron firmar 37 proyectos durante el ci</w:t>
      </w:r>
      <w:r w:rsidR="00454176">
        <w:rPr>
          <w:lang w:val="es-ES"/>
        </w:rPr>
        <w:t>clo, gracias a los que se movilizaron fondos por un total de 13,5</w:t>
      </w:r>
      <w:r>
        <w:rPr>
          <w:lang w:val="es-ES"/>
        </w:rPr>
        <w:t> </w:t>
      </w:r>
      <w:r w:rsidR="00454176">
        <w:rPr>
          <w:lang w:val="es-ES"/>
        </w:rPr>
        <w:t>millones</w:t>
      </w:r>
      <w:r>
        <w:rPr>
          <w:lang w:val="es-ES"/>
        </w:rPr>
        <w:t> </w:t>
      </w:r>
      <w:r w:rsidR="00454176">
        <w:rPr>
          <w:lang w:val="es-ES"/>
        </w:rPr>
        <w:t>CHF</w:t>
      </w:r>
      <w:r w:rsidR="00454176" w:rsidRPr="00D15BCA">
        <w:rPr>
          <w:rStyle w:val="FootnoteReference"/>
          <w:rFonts w:cstheme="minorHAnsi"/>
          <w:szCs w:val="24"/>
        </w:rPr>
        <w:footnoteReference w:id="4"/>
      </w:r>
      <w:r w:rsidR="00454176" w:rsidRPr="00A66729">
        <w:rPr>
          <w:lang w:val="es-ES"/>
        </w:rPr>
        <w:t>.</w:t>
      </w:r>
    </w:p>
    <w:p w14:paraId="22DDE025" w14:textId="3F99FE13" w:rsidR="00454176" w:rsidRPr="00A66729" w:rsidRDefault="003C39AA" w:rsidP="003C39AA">
      <w:pPr>
        <w:pStyle w:val="enumlev1"/>
        <w:rPr>
          <w:rFonts w:cstheme="minorHAnsi"/>
          <w:szCs w:val="24"/>
          <w:lang w:val="es-ES"/>
        </w:rPr>
      </w:pPr>
      <w:r w:rsidRPr="003C39AA">
        <w:rPr>
          <w:lang w:val="es-ES"/>
        </w:rPr>
        <w:t>–</w:t>
      </w:r>
      <w:r>
        <w:rPr>
          <w:lang w:val="es-ES"/>
        </w:rPr>
        <w:tab/>
      </w:r>
      <w:r w:rsidR="00454176" w:rsidRPr="00A66729">
        <w:rPr>
          <w:rFonts w:cstheme="minorHAnsi"/>
          <w:szCs w:val="24"/>
          <w:lang w:val="es-ES"/>
        </w:rPr>
        <w:t>En la reunión de 2023 del Consejo de la UIT los Miembros de la UIT aprobaron la atribución de 3</w:t>
      </w:r>
      <w:r>
        <w:rPr>
          <w:rFonts w:cstheme="minorHAnsi"/>
          <w:szCs w:val="24"/>
          <w:lang w:val="es-ES"/>
        </w:rPr>
        <w:t> </w:t>
      </w:r>
      <w:r w:rsidR="00454176" w:rsidRPr="00A66729">
        <w:rPr>
          <w:rFonts w:cstheme="minorHAnsi"/>
          <w:szCs w:val="24"/>
          <w:lang w:val="es-ES"/>
        </w:rPr>
        <w:t>millones</w:t>
      </w:r>
      <w:r>
        <w:rPr>
          <w:rFonts w:cstheme="minorHAnsi"/>
          <w:szCs w:val="24"/>
          <w:lang w:val="es-ES"/>
        </w:rPr>
        <w:t> </w:t>
      </w:r>
      <w:r w:rsidR="00454176" w:rsidRPr="00A66729">
        <w:rPr>
          <w:rFonts w:cstheme="minorHAnsi"/>
          <w:szCs w:val="24"/>
          <w:lang w:val="es-ES"/>
        </w:rPr>
        <w:t xml:space="preserve">CHF como financiación inicial de </w:t>
      </w:r>
      <w:r w:rsidR="00454176">
        <w:rPr>
          <w:rFonts w:cstheme="minorHAnsi"/>
          <w:szCs w:val="24"/>
          <w:lang w:val="es-ES"/>
        </w:rPr>
        <w:t xml:space="preserve">las IR. </w:t>
      </w:r>
      <w:r w:rsidR="00454176" w:rsidRPr="00EE5B14">
        <w:rPr>
          <w:rFonts w:cstheme="minorHAnsi"/>
          <w:szCs w:val="24"/>
          <w:lang w:val="es-ES"/>
        </w:rPr>
        <w:t>Esos fondos permitieron firmar 26 nuevos proyectos durante el pasado ciclo, gracias a los que se movilizaron fondos por un total de 37</w:t>
      </w:r>
      <w:r>
        <w:rPr>
          <w:rFonts w:cstheme="minorHAnsi"/>
          <w:szCs w:val="24"/>
          <w:lang w:val="es-ES"/>
        </w:rPr>
        <w:t> </w:t>
      </w:r>
      <w:r w:rsidR="00454176" w:rsidRPr="00EE5B14">
        <w:rPr>
          <w:rFonts w:cstheme="minorHAnsi"/>
          <w:szCs w:val="24"/>
          <w:lang w:val="es-ES"/>
        </w:rPr>
        <w:t>millones</w:t>
      </w:r>
      <w:r>
        <w:rPr>
          <w:rFonts w:cstheme="minorHAnsi"/>
          <w:szCs w:val="24"/>
          <w:lang w:val="es-ES"/>
        </w:rPr>
        <w:t> </w:t>
      </w:r>
      <w:r w:rsidR="00454176" w:rsidRPr="00EE5B14">
        <w:rPr>
          <w:rFonts w:cstheme="minorHAnsi"/>
          <w:szCs w:val="24"/>
          <w:lang w:val="es-ES"/>
        </w:rPr>
        <w:t xml:space="preserve">USD. </w:t>
      </w:r>
      <w:r w:rsidR="00454176" w:rsidRPr="00A66729">
        <w:rPr>
          <w:rFonts w:cstheme="minorHAnsi"/>
          <w:szCs w:val="24"/>
          <w:lang w:val="es-ES"/>
        </w:rPr>
        <w:t>Cabe señalar que el importe atribuido en 2023 fue inferior al serlo igualmente el periodo de implementación del ciclo de la CMDT-22 (</w:t>
      </w:r>
      <w:r>
        <w:rPr>
          <w:rFonts w:cstheme="minorHAnsi"/>
          <w:szCs w:val="24"/>
          <w:lang w:val="es-ES"/>
        </w:rPr>
        <w:t>tres</w:t>
      </w:r>
      <w:r w:rsidR="00454176" w:rsidRPr="00A66729">
        <w:rPr>
          <w:rFonts w:cstheme="minorHAnsi"/>
          <w:szCs w:val="24"/>
          <w:lang w:val="es-ES"/>
        </w:rPr>
        <w:t xml:space="preserve"> años).</w:t>
      </w:r>
    </w:p>
    <w:p w14:paraId="34ECABA8" w14:textId="077D0D0B" w:rsidR="00454176" w:rsidRPr="00A66729" w:rsidRDefault="00454176" w:rsidP="00454176">
      <w:pPr>
        <w:spacing w:after="120"/>
        <w:rPr>
          <w:rFonts w:cstheme="minorBidi"/>
          <w:lang w:val="es-ES"/>
        </w:rPr>
      </w:pPr>
      <w:r w:rsidRPr="00A66729">
        <w:rPr>
          <w:rFonts w:cstheme="minorBidi"/>
          <w:lang w:val="es-ES"/>
        </w:rPr>
        <w:t xml:space="preserve">El número de proyectos y el importe de los fondos firmados durante los dos últimos ciclos de la CMDT suponen un aumento consecuente de los </w:t>
      </w:r>
      <w:r>
        <w:rPr>
          <w:rFonts w:cstheme="minorBidi"/>
          <w:lang w:val="es-ES"/>
        </w:rPr>
        <w:t xml:space="preserve">recursos movilizados por la BDT en proyectos si se comparan con los del periodo de la CMDT-17 (véanse las Figuras 1 y 2), lo que demuestra la importancia que reviste disponer de instrumentos financieros durante la fase de identificación de nuevos proyectos para la UIT, como confirma el hecho de que el </w:t>
      </w:r>
      <w:r w:rsidRPr="00A66729">
        <w:rPr>
          <w:rFonts w:cstheme="minorBidi"/>
          <w:lang w:val="es-ES"/>
        </w:rPr>
        <w:t>23</w:t>
      </w:r>
      <w:r w:rsidR="003C39AA">
        <w:rPr>
          <w:rFonts w:cstheme="minorBidi"/>
          <w:lang w:val="es-ES"/>
        </w:rPr>
        <w:t> </w:t>
      </w:r>
      <w:r w:rsidRPr="00A66729">
        <w:rPr>
          <w:rFonts w:cstheme="minorBidi"/>
          <w:lang w:val="es-ES"/>
        </w:rPr>
        <w:t xml:space="preserve">% </w:t>
      </w:r>
      <w:r>
        <w:rPr>
          <w:rFonts w:cstheme="minorBidi"/>
          <w:lang w:val="es-ES"/>
        </w:rPr>
        <w:t>de los nuevos proyectos firmados por la UIT durante el periodo de la CMDT-22 beneficiaron de los fondos de la UIT</w:t>
      </w:r>
      <w:r w:rsidRPr="00A66729">
        <w:rPr>
          <w:rFonts w:cstheme="minorBidi"/>
          <w:lang w:val="es-ES"/>
        </w:rPr>
        <w:t xml:space="preserve">. </w:t>
      </w:r>
    </w:p>
    <w:p w14:paraId="7682190E" w14:textId="787DF1C6" w:rsidR="00454176" w:rsidRPr="00A66729" w:rsidRDefault="002B7E07" w:rsidP="002B7E07">
      <w:pPr>
        <w:pStyle w:val="Heading1"/>
        <w:rPr>
          <w:rFonts w:cstheme="minorHAnsi"/>
          <w:b w:val="0"/>
          <w:bCs/>
          <w:szCs w:val="24"/>
          <w:lang w:val="es-ES"/>
        </w:rPr>
      </w:pPr>
      <w:r>
        <w:rPr>
          <w:rFonts w:cstheme="minorHAnsi"/>
          <w:bCs/>
          <w:szCs w:val="24"/>
          <w:lang w:val="es-ES"/>
        </w:rPr>
        <w:t>3</w:t>
      </w:r>
      <w:r>
        <w:rPr>
          <w:rFonts w:cstheme="minorHAnsi"/>
          <w:bCs/>
          <w:szCs w:val="24"/>
          <w:lang w:val="es-ES"/>
        </w:rPr>
        <w:tab/>
      </w:r>
      <w:r w:rsidR="00454176" w:rsidRPr="00A66729">
        <w:rPr>
          <w:rFonts w:cstheme="minorHAnsi"/>
          <w:bCs/>
          <w:szCs w:val="24"/>
          <w:lang w:val="es-ES"/>
        </w:rPr>
        <w:t xml:space="preserve">Propuestas por considerar </w:t>
      </w:r>
    </w:p>
    <w:p w14:paraId="780823CC" w14:textId="77777777" w:rsidR="00454176" w:rsidRPr="00A66729" w:rsidRDefault="00454176" w:rsidP="00454176">
      <w:pPr>
        <w:spacing w:after="120"/>
        <w:rPr>
          <w:rFonts w:cstheme="minorBidi"/>
          <w:lang w:val="es-ES"/>
        </w:rPr>
      </w:pPr>
      <w:r w:rsidRPr="00A66729">
        <w:rPr>
          <w:rFonts w:cstheme="minorBidi"/>
          <w:lang w:val="es-ES"/>
        </w:rPr>
        <w:t>La experiencia obtenida durante los dos anteriores ciclos de la CMDT demuestra que los fondos at</w:t>
      </w:r>
      <w:r>
        <w:rPr>
          <w:rFonts w:cstheme="minorBidi"/>
          <w:lang w:val="es-ES"/>
        </w:rPr>
        <w:t>r</w:t>
      </w:r>
      <w:r w:rsidRPr="00A66729">
        <w:rPr>
          <w:rFonts w:cstheme="minorBidi"/>
          <w:lang w:val="es-ES"/>
        </w:rPr>
        <w:t>ibuidos por el Consejo en pro de la implementación de las IR son esenciales para aumentar el número de proy</w:t>
      </w:r>
      <w:r>
        <w:rPr>
          <w:rFonts w:cstheme="minorBidi"/>
          <w:lang w:val="es-ES"/>
        </w:rPr>
        <w:t>ectos del UIT-D firmados en cada ciclo, movilizar recursos adicionales en apoyo de los Estados Miembros de la UIT y avanzar en la consecución de los objetivos de las IR</w:t>
      </w:r>
      <w:r w:rsidRPr="00A66729">
        <w:rPr>
          <w:rFonts w:cstheme="minorBidi"/>
          <w:lang w:val="es-ES"/>
        </w:rPr>
        <w:t>.</w:t>
      </w:r>
    </w:p>
    <w:p w14:paraId="6B5230BC" w14:textId="39D9B076" w:rsidR="00454176" w:rsidRPr="00FB15A4" w:rsidRDefault="00454176" w:rsidP="00454176">
      <w:pPr>
        <w:spacing w:after="120"/>
        <w:rPr>
          <w:rFonts w:cstheme="minorBidi"/>
          <w:lang w:val="es-ES"/>
        </w:rPr>
      </w:pPr>
      <w:r w:rsidRPr="00FB15A4">
        <w:rPr>
          <w:rFonts w:cstheme="minorBidi"/>
          <w:lang w:val="es-ES"/>
        </w:rPr>
        <w:lastRenderedPageBreak/>
        <w:t>Habida cuenta de todo ello, la BDT recomienda que el Consejo de la UIT considere la posibilidad de atribuir 5,85</w:t>
      </w:r>
      <w:r w:rsidR="0018277B">
        <w:rPr>
          <w:rFonts w:cstheme="minorBidi"/>
          <w:lang w:val="es-ES"/>
        </w:rPr>
        <w:t> </w:t>
      </w:r>
      <w:r>
        <w:rPr>
          <w:rFonts w:cstheme="minorBidi"/>
          <w:lang w:val="es-ES"/>
        </w:rPr>
        <w:t>CHF distribuidos a lo largo de los próximos cuatro años en apoyo de las nuevas IR adoptadas por la CMDT</w:t>
      </w:r>
      <w:r w:rsidRPr="00FB15A4">
        <w:rPr>
          <w:rFonts w:cstheme="minorBidi"/>
          <w:lang w:val="es-ES"/>
        </w:rPr>
        <w:t xml:space="preserve">-25. A fin de poder identificar y firmar un número considerable de proyectos a lo largo del próximo ciclo, el </w:t>
      </w:r>
      <w:r>
        <w:rPr>
          <w:rFonts w:cstheme="minorBidi"/>
          <w:lang w:val="es-ES"/>
        </w:rPr>
        <w:t xml:space="preserve">Consejo podría considerar la distribución siguiente. </w:t>
      </w:r>
      <w:r w:rsidRPr="00FB15A4">
        <w:rPr>
          <w:rFonts w:cstheme="minorBidi"/>
          <w:lang w:val="es-ES"/>
        </w:rPr>
        <w:t xml:space="preserve">Dado que el periodo de implementación será de </w:t>
      </w:r>
      <w:r w:rsidR="0018277B">
        <w:rPr>
          <w:rFonts w:cstheme="minorBidi"/>
          <w:lang w:val="es-ES"/>
        </w:rPr>
        <w:t>cuatro</w:t>
      </w:r>
      <w:r w:rsidRPr="00FB15A4">
        <w:rPr>
          <w:rFonts w:cstheme="minorBidi"/>
          <w:lang w:val="es-ES"/>
        </w:rPr>
        <w:t xml:space="preserve"> años (2026-2030), los</w:t>
      </w:r>
      <w:r>
        <w:rPr>
          <w:rFonts w:cstheme="minorBidi"/>
          <w:lang w:val="es-ES"/>
        </w:rPr>
        <w:t xml:space="preserve"> fondos atribuidos deberían ser más importantes que los atribuidos durante el ciclo de </w:t>
      </w:r>
      <w:r w:rsidR="0018277B">
        <w:rPr>
          <w:rFonts w:cstheme="minorBidi"/>
          <w:lang w:val="es-ES"/>
        </w:rPr>
        <w:t>tres</w:t>
      </w:r>
      <w:r>
        <w:rPr>
          <w:rFonts w:cstheme="minorBidi"/>
          <w:lang w:val="es-ES"/>
        </w:rPr>
        <w:t xml:space="preserve"> años (2023-2025) de la CMDT-22</w:t>
      </w:r>
      <w:r w:rsidRPr="00FB15A4">
        <w:rPr>
          <w:rFonts w:cstheme="minorBidi"/>
          <w:lang w:val="es-ES"/>
        </w:rPr>
        <w:t>.</w:t>
      </w:r>
    </w:p>
    <w:p w14:paraId="4B247E3A" w14:textId="77777777" w:rsidR="00454176" w:rsidRPr="00FB15A4" w:rsidRDefault="00454176" w:rsidP="00454176">
      <w:pPr>
        <w:spacing w:after="120"/>
        <w:rPr>
          <w:rFonts w:cstheme="minorBidi"/>
          <w:lang w:val="es-ES"/>
        </w:rPr>
      </w:pP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2"/>
        <w:gridCol w:w="1940"/>
        <w:gridCol w:w="1940"/>
        <w:gridCol w:w="1941"/>
      </w:tblGrid>
      <w:tr w:rsidR="00454176" w:rsidRPr="00D15BCA" w14:paraId="756E18AB" w14:textId="77777777" w:rsidTr="00567F79">
        <w:trPr>
          <w:tblHeader/>
          <w:jc w:val="center"/>
        </w:trPr>
        <w:tc>
          <w:tcPr>
            <w:tcW w:w="3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B607E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Propuesta</w:t>
            </w:r>
          </w:p>
        </w:tc>
        <w:tc>
          <w:tcPr>
            <w:tcW w:w="1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1B16B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2026-2027</w:t>
            </w:r>
          </w:p>
        </w:tc>
        <w:tc>
          <w:tcPr>
            <w:tcW w:w="1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02213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2028-2029</w:t>
            </w:r>
            <w:r w:rsidRPr="0018277B">
              <w:rPr>
                <w:rFonts w:eastAsia="Times New Roman" w:cs="Times New Roman"/>
                <w:sz w:val="22"/>
                <w:lang w:val="fr-FR"/>
              </w:rPr>
              <w:footnoteReference w:id="5"/>
            </w:r>
          </w:p>
        </w:tc>
        <w:tc>
          <w:tcPr>
            <w:tcW w:w="1941" w:type="dxa"/>
            <w:vAlign w:val="center"/>
          </w:tcPr>
          <w:p w14:paraId="11A80254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TOTAL</w:t>
            </w:r>
            <w:r w:rsidRPr="0018277B">
              <w:rPr>
                <w:rFonts w:eastAsia="Times New Roman" w:cs="Times New Roman"/>
                <w:sz w:val="22"/>
                <w:lang w:val="fr-FR"/>
              </w:rPr>
              <w:br/>
              <w:t>(2026-2029)</w:t>
            </w:r>
          </w:p>
        </w:tc>
      </w:tr>
      <w:tr w:rsidR="00454176" w:rsidRPr="00D15BCA" w14:paraId="28A0F1BD" w14:textId="77777777" w:rsidTr="00567F79">
        <w:trPr>
          <w:trHeight w:val="969"/>
          <w:jc w:val="center"/>
        </w:trPr>
        <w:tc>
          <w:tcPr>
            <w:tcW w:w="3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55541" w14:textId="704D2223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Atribución de 45</w:t>
            </w:r>
            <w:r w:rsidR="0018277B">
              <w:rPr>
                <w:rFonts w:eastAsia="Times New Roman"/>
                <w:sz w:val="22"/>
                <w:lang w:val="fr-FR"/>
              </w:rPr>
              <w:t> </w:t>
            </w:r>
            <w:r w:rsidRPr="0018277B">
              <w:rPr>
                <w:rFonts w:eastAsia="Times New Roman"/>
                <w:sz w:val="22"/>
                <w:lang w:val="fr-FR"/>
              </w:rPr>
              <w:t>000 CHF a cada IR en 2026-2027 y de 150</w:t>
            </w:r>
            <w:r w:rsidR="0018277B">
              <w:rPr>
                <w:rFonts w:eastAsia="Times New Roman"/>
                <w:sz w:val="22"/>
                <w:lang w:val="fr-FR"/>
              </w:rPr>
              <w:t> </w:t>
            </w:r>
            <w:r w:rsidRPr="0018277B">
              <w:rPr>
                <w:rFonts w:eastAsia="Times New Roman"/>
                <w:sz w:val="22"/>
                <w:lang w:val="fr-FR"/>
              </w:rPr>
              <w:t>000 a cada IR en 2028-2029</w:t>
            </w:r>
          </w:p>
        </w:tc>
        <w:tc>
          <w:tcPr>
            <w:tcW w:w="1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5F47" w14:textId="222A0712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1,35</w:t>
            </w:r>
            <w:r w:rsidR="0018277B">
              <w:rPr>
                <w:rFonts w:eastAsia="Times New Roman"/>
                <w:sz w:val="22"/>
                <w:lang w:val="fr-FR"/>
              </w:rPr>
              <w:t> </w:t>
            </w:r>
            <w:r w:rsidRPr="0018277B">
              <w:rPr>
                <w:rFonts w:eastAsia="Times New Roman"/>
                <w:sz w:val="22"/>
                <w:lang w:val="fr-FR"/>
              </w:rPr>
              <w:t>millones CHF</w:t>
            </w:r>
          </w:p>
        </w:tc>
        <w:tc>
          <w:tcPr>
            <w:tcW w:w="19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F744" w14:textId="4C97D0C1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4,5</w:t>
            </w:r>
            <w:r w:rsidR="0018277B">
              <w:rPr>
                <w:rFonts w:eastAsia="Times New Roman"/>
                <w:sz w:val="22"/>
                <w:lang w:val="fr-FR"/>
              </w:rPr>
              <w:t> </w:t>
            </w:r>
            <w:r w:rsidRPr="0018277B">
              <w:rPr>
                <w:rFonts w:eastAsia="Times New Roman"/>
                <w:sz w:val="22"/>
                <w:lang w:val="fr-FR"/>
              </w:rPr>
              <w:t>millones CHF</w:t>
            </w:r>
          </w:p>
        </w:tc>
        <w:tc>
          <w:tcPr>
            <w:tcW w:w="1941" w:type="dxa"/>
            <w:vAlign w:val="center"/>
          </w:tcPr>
          <w:p w14:paraId="1375C8B1" w14:textId="1397EC3D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b/>
                <w:bCs/>
                <w:sz w:val="22"/>
                <w:lang w:val="fr-FR"/>
              </w:rPr>
            </w:pPr>
            <w:r w:rsidRPr="0018277B">
              <w:rPr>
                <w:rFonts w:eastAsia="Times New Roman"/>
                <w:b/>
                <w:bCs/>
                <w:sz w:val="22"/>
                <w:lang w:val="fr-FR"/>
              </w:rPr>
              <w:t>5,85</w:t>
            </w:r>
            <w:r w:rsidR="0018277B" w:rsidRPr="0018277B">
              <w:rPr>
                <w:rFonts w:eastAsia="Times New Roman"/>
                <w:b/>
                <w:bCs/>
                <w:sz w:val="22"/>
                <w:lang w:val="fr-FR"/>
              </w:rPr>
              <w:t> </w:t>
            </w:r>
            <w:r w:rsidRPr="0018277B">
              <w:rPr>
                <w:rFonts w:eastAsia="Times New Roman"/>
                <w:b/>
                <w:bCs/>
                <w:sz w:val="22"/>
                <w:lang w:val="fr-FR"/>
              </w:rPr>
              <w:t>millones CHF</w:t>
            </w:r>
          </w:p>
        </w:tc>
      </w:tr>
    </w:tbl>
    <w:p w14:paraId="4166A56B" w14:textId="0EC3AEBE" w:rsidR="00454176" w:rsidRPr="00FB15A4" w:rsidDel="0059254F" w:rsidRDefault="00454176" w:rsidP="00454176">
      <w:pPr>
        <w:rPr>
          <w:rFonts w:cstheme="minorBidi"/>
          <w:lang w:val="es-ES"/>
        </w:rPr>
      </w:pPr>
      <w:r w:rsidRPr="00FB15A4">
        <w:rPr>
          <w:rFonts w:cstheme="minorBidi"/>
          <w:lang w:val="es-ES"/>
        </w:rPr>
        <w:t>La atribución de fondos propuesta refleja la situación de financiación ideal en la que podrían lograrse efectos notables si la BDT debe movilizar más recursos para financiar proyectos con ma</w:t>
      </w:r>
      <w:r>
        <w:rPr>
          <w:rFonts w:cstheme="minorBidi"/>
          <w:lang w:val="es-ES"/>
        </w:rPr>
        <w:t xml:space="preserve">yor repercusión. </w:t>
      </w:r>
      <w:r w:rsidRPr="00FB15A4">
        <w:rPr>
          <w:rFonts w:cstheme="minorBidi"/>
          <w:lang w:val="es-ES"/>
        </w:rPr>
        <w:t>Durante los dos primeros años del ciclo (2026-</w:t>
      </w:r>
      <w:r w:rsidR="0018277B">
        <w:rPr>
          <w:rFonts w:cstheme="minorBidi"/>
          <w:lang w:val="es-ES"/>
        </w:rPr>
        <w:t>20</w:t>
      </w:r>
      <w:r w:rsidRPr="00FB15A4">
        <w:rPr>
          <w:rFonts w:cstheme="minorBidi"/>
          <w:lang w:val="es-ES"/>
        </w:rPr>
        <w:t>27) la financiación será menor (45</w:t>
      </w:r>
      <w:r w:rsidR="0018277B">
        <w:rPr>
          <w:rFonts w:cstheme="minorBidi"/>
          <w:lang w:val="es-ES"/>
        </w:rPr>
        <w:t> </w:t>
      </w:r>
      <w:r w:rsidRPr="00FB15A4">
        <w:rPr>
          <w:rFonts w:cstheme="minorBidi"/>
          <w:lang w:val="es-ES"/>
        </w:rPr>
        <w:t>000</w:t>
      </w:r>
      <w:r w:rsidR="0018277B">
        <w:rPr>
          <w:rFonts w:cstheme="minorBidi"/>
          <w:lang w:val="es-ES"/>
        </w:rPr>
        <w:t> </w:t>
      </w:r>
      <w:r w:rsidRPr="00FB15A4">
        <w:rPr>
          <w:rFonts w:cstheme="minorBidi"/>
          <w:lang w:val="es-ES"/>
        </w:rPr>
        <w:t>CHF por IR), pues será entonces cuando</w:t>
      </w:r>
      <w:r>
        <w:rPr>
          <w:rFonts w:cstheme="minorBidi"/>
          <w:lang w:val="es-ES"/>
        </w:rPr>
        <w:t xml:space="preserve"> se lleve a cabo la fase de identificación de proyectos y de implicación de socios financieros</w:t>
      </w:r>
      <w:r w:rsidRPr="00FB15A4">
        <w:rPr>
          <w:rFonts w:cstheme="minorBidi"/>
          <w:lang w:val="es-ES"/>
        </w:rPr>
        <w:t xml:space="preserve">. </w:t>
      </w:r>
    </w:p>
    <w:p w14:paraId="19E4D7D5" w14:textId="5DDBEBD4" w:rsidR="00454176" w:rsidRPr="00FB15A4" w:rsidRDefault="00454176" w:rsidP="00454176">
      <w:pPr>
        <w:overflowPunct/>
        <w:autoSpaceDE/>
        <w:autoSpaceDN/>
        <w:adjustRightInd/>
        <w:spacing w:after="120"/>
        <w:textAlignment w:val="auto"/>
        <w:rPr>
          <w:rFonts w:cstheme="minorBidi"/>
          <w:lang w:val="es-ES"/>
        </w:rPr>
      </w:pPr>
      <w:r w:rsidRPr="00FB15A4">
        <w:rPr>
          <w:rFonts w:cstheme="minorBidi"/>
          <w:lang w:val="es-ES"/>
        </w:rPr>
        <w:t>Durante la segunda parte del ciclo (2028-</w:t>
      </w:r>
      <w:r w:rsidR="0018277B">
        <w:rPr>
          <w:rFonts w:cstheme="minorBidi"/>
          <w:lang w:val="es-ES"/>
        </w:rPr>
        <w:t>20</w:t>
      </w:r>
      <w:r w:rsidRPr="00FB15A4">
        <w:rPr>
          <w:rFonts w:cstheme="minorBidi"/>
          <w:lang w:val="es-ES"/>
        </w:rPr>
        <w:t>29) la atribución de fondos será más importante (150</w:t>
      </w:r>
      <w:r w:rsidR="0018277B">
        <w:rPr>
          <w:rFonts w:cstheme="minorBidi"/>
          <w:lang w:val="es-ES"/>
        </w:rPr>
        <w:t> </w:t>
      </w:r>
      <w:r w:rsidRPr="00FB15A4">
        <w:rPr>
          <w:rFonts w:cstheme="minorBidi"/>
          <w:lang w:val="es-ES"/>
        </w:rPr>
        <w:t>000</w:t>
      </w:r>
      <w:r w:rsidR="0018277B">
        <w:rPr>
          <w:rFonts w:cstheme="minorBidi"/>
          <w:lang w:val="es-ES"/>
        </w:rPr>
        <w:t> </w:t>
      </w:r>
      <w:r w:rsidRPr="00FB15A4">
        <w:rPr>
          <w:rFonts w:cstheme="minorBidi"/>
          <w:lang w:val="es-ES"/>
        </w:rPr>
        <w:t>CHF) para poder formalizar l</w:t>
      </w:r>
      <w:r>
        <w:rPr>
          <w:rFonts w:cstheme="minorBidi"/>
          <w:lang w:val="es-ES"/>
        </w:rPr>
        <w:t xml:space="preserve">os </w:t>
      </w:r>
      <w:r w:rsidRPr="00FB15A4">
        <w:rPr>
          <w:rFonts w:cstheme="minorBidi"/>
          <w:lang w:val="es-ES"/>
        </w:rPr>
        <w:t>proyectos de media o gran escala</w:t>
      </w:r>
      <w:r w:rsidRPr="6FC753DD">
        <w:rPr>
          <w:rStyle w:val="FootnoteReference"/>
          <w:rFonts w:cstheme="minorBidi"/>
        </w:rPr>
        <w:footnoteReference w:id="6"/>
      </w:r>
      <w:r w:rsidRPr="00FB15A4">
        <w:rPr>
          <w:rFonts w:cstheme="minorBidi"/>
          <w:lang w:val="es-ES"/>
        </w:rPr>
        <w:t xml:space="preserve"> </w:t>
      </w:r>
      <w:r>
        <w:rPr>
          <w:rFonts w:cstheme="minorBidi"/>
          <w:lang w:val="es-ES"/>
        </w:rPr>
        <w:t>identificados durante los primeros dos años y que requieran un plazo más largo para el diseño de propuestas de proyectos y la finalización de los acuerdos con los socios</w:t>
      </w:r>
      <w:r w:rsidRPr="00FB15A4">
        <w:rPr>
          <w:rFonts w:cstheme="minorBidi"/>
          <w:lang w:val="es-ES"/>
        </w:rPr>
        <w:t xml:space="preserve">. </w:t>
      </w:r>
    </w:p>
    <w:p w14:paraId="7B38D7AC" w14:textId="7C9CF0C1" w:rsidR="00454176" w:rsidRPr="00FB15A4" w:rsidRDefault="00454176" w:rsidP="00454176">
      <w:pPr>
        <w:overflowPunct/>
        <w:autoSpaceDE/>
        <w:autoSpaceDN/>
        <w:adjustRightInd/>
        <w:spacing w:after="120"/>
        <w:textAlignment w:val="auto"/>
        <w:rPr>
          <w:rFonts w:cstheme="minorHAnsi"/>
          <w:szCs w:val="24"/>
          <w:lang w:val="es-ES"/>
        </w:rPr>
      </w:pPr>
      <w:r w:rsidRPr="00FB15A4">
        <w:rPr>
          <w:rFonts w:cstheme="minorHAnsi"/>
          <w:szCs w:val="24"/>
          <w:lang w:val="es-ES"/>
        </w:rPr>
        <w:t>La experiencia acumulada desde 2028 – con cerca de 200 proyectos firmados por un valor total superior a 143</w:t>
      </w:r>
      <w:r w:rsidR="0018277B">
        <w:rPr>
          <w:rFonts w:cstheme="minorHAnsi"/>
          <w:szCs w:val="24"/>
          <w:lang w:val="es-ES"/>
        </w:rPr>
        <w:t> </w:t>
      </w:r>
      <w:r w:rsidRPr="00FB15A4">
        <w:rPr>
          <w:rFonts w:cstheme="minorHAnsi"/>
          <w:szCs w:val="24"/>
          <w:lang w:val="es-ES"/>
        </w:rPr>
        <w:t>millones</w:t>
      </w:r>
      <w:r w:rsidR="0018277B">
        <w:rPr>
          <w:rFonts w:cstheme="minorHAnsi"/>
          <w:szCs w:val="24"/>
          <w:lang w:val="es-ES"/>
        </w:rPr>
        <w:t> </w:t>
      </w:r>
      <w:r w:rsidRPr="00FB15A4">
        <w:rPr>
          <w:rFonts w:cstheme="minorHAnsi"/>
          <w:szCs w:val="24"/>
          <w:lang w:val="es-ES"/>
        </w:rPr>
        <w:t>USD – muestra que la atribución de fondos iniciales es fundamental para atraer fondos extrapresupues</w:t>
      </w:r>
      <w:r>
        <w:rPr>
          <w:rFonts w:cstheme="minorHAnsi"/>
          <w:szCs w:val="24"/>
          <w:lang w:val="es-ES"/>
        </w:rPr>
        <w:t>tarios para financiar los trabajos de la UIT, atraer a nuevos socios y aumentar la repercusión de la UIT en el terreno</w:t>
      </w:r>
      <w:r w:rsidRPr="00FB15A4">
        <w:rPr>
          <w:rFonts w:cstheme="minorHAnsi"/>
          <w:szCs w:val="24"/>
          <w:lang w:val="es-ES"/>
        </w:rPr>
        <w:t>.</w:t>
      </w:r>
    </w:p>
    <w:p w14:paraId="4EB6E4C2" w14:textId="57E24F88" w:rsidR="00454176" w:rsidRPr="00EE5B14" w:rsidRDefault="002B7E07" w:rsidP="002B7E07">
      <w:pPr>
        <w:pStyle w:val="Heading1"/>
        <w:rPr>
          <w:rFonts w:cstheme="minorHAnsi"/>
          <w:b w:val="0"/>
          <w:bCs/>
          <w:szCs w:val="24"/>
          <w:lang w:val="es-ES"/>
        </w:rPr>
      </w:pPr>
      <w:r>
        <w:rPr>
          <w:rFonts w:cstheme="minorHAnsi"/>
          <w:bCs/>
          <w:szCs w:val="24"/>
          <w:lang w:val="es-ES"/>
        </w:rPr>
        <w:t>4</w:t>
      </w:r>
      <w:r>
        <w:rPr>
          <w:rFonts w:cstheme="minorHAnsi"/>
          <w:bCs/>
          <w:szCs w:val="24"/>
          <w:lang w:val="es-ES"/>
        </w:rPr>
        <w:tab/>
      </w:r>
      <w:r w:rsidR="00454176" w:rsidRPr="00EE5B14">
        <w:rPr>
          <w:rFonts w:cstheme="minorHAnsi"/>
          <w:bCs/>
          <w:szCs w:val="24"/>
          <w:lang w:val="es-ES"/>
        </w:rPr>
        <w:t>Conclusión</w:t>
      </w:r>
    </w:p>
    <w:p w14:paraId="5972C94E" w14:textId="77777777" w:rsidR="00454176" w:rsidRPr="00E91FC4" w:rsidRDefault="00454176" w:rsidP="00454176">
      <w:pPr>
        <w:spacing w:after="120"/>
        <w:rPr>
          <w:rFonts w:cstheme="minorBidi"/>
          <w:lang w:val="es-ES"/>
        </w:rPr>
      </w:pPr>
      <w:r w:rsidRPr="00E91FC4">
        <w:rPr>
          <w:rFonts w:cstheme="minorBidi"/>
          <w:lang w:val="es-ES"/>
        </w:rPr>
        <w:t>La BDT ya ha empezado a implementar las IR en 2026 estableciendo una coherencia entre el proceso de planificación operacional y la identificación, el diseño y la implementación de</w:t>
      </w:r>
      <w:r>
        <w:rPr>
          <w:rFonts w:cstheme="minorBidi"/>
          <w:lang w:val="es-ES"/>
        </w:rPr>
        <w:t xml:space="preserve"> los proyectos del UIT-D. </w:t>
      </w:r>
      <w:r w:rsidRPr="00E91FC4">
        <w:rPr>
          <w:rFonts w:cstheme="minorBidi"/>
          <w:lang w:val="es-ES"/>
        </w:rPr>
        <w:t>Este enfoque coordinado garantizará que los trabajos realizados durante los próximos cuatro años se pr</w:t>
      </w:r>
      <w:r>
        <w:rPr>
          <w:rFonts w:cstheme="minorBidi"/>
          <w:lang w:val="es-ES"/>
        </w:rPr>
        <w:t>esentan de manera global y que se aprovechan las sinergias entre regiones y áreas de trabajo</w:t>
      </w:r>
      <w:r w:rsidRPr="00E91FC4">
        <w:rPr>
          <w:rFonts w:cstheme="minorBidi"/>
          <w:lang w:val="es-ES"/>
        </w:rPr>
        <w:t xml:space="preserve">. </w:t>
      </w:r>
    </w:p>
    <w:p w14:paraId="23A1A595" w14:textId="77777777" w:rsidR="00454176" w:rsidRPr="00E91FC4" w:rsidRDefault="00454176" w:rsidP="00454176">
      <w:pPr>
        <w:spacing w:after="120"/>
        <w:rPr>
          <w:rFonts w:cstheme="minorBidi"/>
          <w:lang w:val="es-ES"/>
        </w:rPr>
      </w:pPr>
      <w:r w:rsidRPr="00E91FC4">
        <w:rPr>
          <w:rFonts w:cstheme="minorBidi"/>
          <w:lang w:val="es-ES"/>
        </w:rPr>
        <w:t xml:space="preserve">Sin embargo, para estar a la altura de las ambiciones de la CMDT-25, la UIT necesitará recursos adicionales, pues la implementación efectiva de </w:t>
      </w:r>
      <w:r>
        <w:rPr>
          <w:rFonts w:cstheme="minorBidi"/>
          <w:lang w:val="es-ES"/>
        </w:rPr>
        <w:t xml:space="preserve">las IR se verá limitada si para ello no se atribuyen fondos. </w:t>
      </w:r>
      <w:r w:rsidRPr="00E91FC4">
        <w:rPr>
          <w:rFonts w:cstheme="minorBidi"/>
          <w:lang w:val="es-ES"/>
        </w:rPr>
        <w:t>Además, también resultará difícil movilizar recursos sin contar con financiación inicial, habida cuenta de las mayor</w:t>
      </w:r>
      <w:r>
        <w:rPr>
          <w:rFonts w:cstheme="minorBidi"/>
          <w:lang w:val="es-ES"/>
        </w:rPr>
        <w:t>es</w:t>
      </w:r>
      <w:r w:rsidRPr="00E91FC4">
        <w:rPr>
          <w:rFonts w:cstheme="minorBidi"/>
          <w:lang w:val="es-ES"/>
        </w:rPr>
        <w:t xml:space="preserve"> exigencias de los donantes par</w:t>
      </w:r>
      <w:r>
        <w:rPr>
          <w:rFonts w:cstheme="minorBidi"/>
          <w:lang w:val="es-ES"/>
        </w:rPr>
        <w:t>a que los organismos receptores cofinancien los nuevos proyectos propuestos</w:t>
      </w:r>
      <w:r w:rsidRPr="00E91FC4">
        <w:rPr>
          <w:rFonts w:cstheme="minorBidi"/>
          <w:lang w:val="es-ES"/>
        </w:rPr>
        <w:t xml:space="preserve">. </w:t>
      </w:r>
    </w:p>
    <w:p w14:paraId="0B59FC5B" w14:textId="77777777" w:rsidR="00454176" w:rsidRDefault="00454176" w:rsidP="00454176">
      <w:pPr>
        <w:spacing w:after="120"/>
        <w:rPr>
          <w:rFonts w:cstheme="minorBidi"/>
          <w:lang w:val="es-ES"/>
        </w:rPr>
      </w:pPr>
      <w:r w:rsidRPr="00E91FC4">
        <w:rPr>
          <w:rFonts w:cstheme="minorBidi"/>
          <w:lang w:val="es-ES"/>
        </w:rPr>
        <w:t>Habida cuenta de todo lo anterior, se invita al GADT a considerar la propuesta presentada en este documento y a solicitar al Consejo de la UIT la atribución de los fond</w:t>
      </w:r>
      <w:r>
        <w:rPr>
          <w:rFonts w:cstheme="minorBidi"/>
          <w:lang w:val="es-ES"/>
        </w:rPr>
        <w:t>os propuestos durante los próximos cuatro años en pro de la implementación de las Iniciativas Regionales</w:t>
      </w:r>
      <w:r w:rsidRPr="00E91FC4">
        <w:rPr>
          <w:rFonts w:cstheme="minorBidi"/>
          <w:lang w:val="es-ES"/>
        </w:rPr>
        <w:t xml:space="preserve">. </w:t>
      </w:r>
    </w:p>
    <w:p w14:paraId="09A6CAAB" w14:textId="77777777" w:rsidR="00454176" w:rsidRPr="00E91FC4" w:rsidRDefault="00454176" w:rsidP="00454176">
      <w:pPr>
        <w:spacing w:after="120"/>
        <w:rPr>
          <w:rFonts w:cstheme="minorBidi"/>
          <w:lang w:val="es-ES"/>
        </w:rPr>
      </w:pPr>
    </w:p>
    <w:p w14:paraId="1632DD84" w14:textId="77777777" w:rsidR="00454176" w:rsidRPr="00E91FC4" w:rsidRDefault="00454176" w:rsidP="00454176">
      <w:pPr>
        <w:pStyle w:val="AnnexNo"/>
        <w:keepNext w:val="0"/>
        <w:keepLines w:val="0"/>
        <w:spacing w:before="120" w:after="120"/>
        <w:rPr>
          <w:rFonts w:cstheme="minorHAnsi"/>
          <w:lang w:val="es-ES"/>
        </w:rPr>
        <w:sectPr w:rsidR="00454176" w:rsidRPr="00E91FC4" w:rsidSect="00454176">
          <w:headerReference w:type="default" r:id="rId14"/>
          <w:headerReference w:type="first" r:id="rId15"/>
          <w:footerReference w:type="first" r:id="rId16"/>
          <w:pgSz w:w="11907" w:h="16840" w:code="9"/>
          <w:pgMar w:top="1418" w:right="1134" w:bottom="1134" w:left="1134" w:header="720" w:footer="720" w:gutter="0"/>
          <w:cols w:space="720"/>
          <w:titlePg/>
          <w:docGrid w:linePitch="326"/>
        </w:sectPr>
      </w:pPr>
    </w:p>
    <w:p w14:paraId="3868DC1B" w14:textId="282D1DF2" w:rsidR="00454176" w:rsidRPr="0018277B" w:rsidRDefault="00454176" w:rsidP="0018277B">
      <w:pPr>
        <w:pStyle w:val="AnnexNo"/>
        <w:spacing w:after="240"/>
        <w:rPr>
          <w:b/>
          <w:bCs/>
          <w:lang w:val="es-ES"/>
        </w:rPr>
      </w:pPr>
      <w:r w:rsidRPr="0018277B">
        <w:rPr>
          <w:b/>
          <w:bCs/>
          <w:lang w:val="es-ES"/>
        </w:rPr>
        <w:lastRenderedPageBreak/>
        <w:t>Anexo 1</w:t>
      </w:r>
      <w:r w:rsidR="0018277B" w:rsidRPr="0018277B">
        <w:rPr>
          <w:b/>
          <w:bCs/>
          <w:lang w:val="es-ES"/>
        </w:rPr>
        <w:br/>
      </w:r>
      <w:r w:rsidR="0018277B" w:rsidRPr="0018277B">
        <w:rPr>
          <w:b/>
          <w:bCs/>
          <w:lang w:val="es-ES"/>
        </w:rPr>
        <w:br/>
      </w:r>
      <w:r w:rsidR="0018277B" w:rsidRPr="0018277B">
        <w:rPr>
          <w:b/>
          <w:bCs/>
          <w:caps w:val="0"/>
          <w:lang w:val="es-ES"/>
        </w:rPr>
        <w:t>Esferas de interés que permiten crear sinergias entre las regiones en la ejecución de las iniciativas regionales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141"/>
        <w:gridCol w:w="1343"/>
        <w:gridCol w:w="1343"/>
        <w:gridCol w:w="1344"/>
        <w:gridCol w:w="1343"/>
        <w:gridCol w:w="1343"/>
        <w:gridCol w:w="1421"/>
      </w:tblGrid>
      <w:tr w:rsidR="00454176" w14:paraId="7C94C5B7" w14:textId="77777777" w:rsidTr="00567F79">
        <w:trPr>
          <w:jc w:val="center"/>
        </w:trPr>
        <w:tc>
          <w:tcPr>
            <w:tcW w:w="5918" w:type="dxa"/>
            <w:shd w:val="clear" w:color="auto" w:fill="D9D9D9" w:themeFill="background1" w:themeFillShade="D9"/>
            <w:vAlign w:val="center"/>
          </w:tcPr>
          <w:p w14:paraId="29D0D8C4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Prioridades del UIT-D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4C18B2B1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África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6A8C01D2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Américas</w:t>
            </w:r>
          </w:p>
        </w:tc>
        <w:tc>
          <w:tcPr>
            <w:tcW w:w="1295" w:type="dxa"/>
            <w:shd w:val="clear" w:color="auto" w:fill="D9D9D9" w:themeFill="background1" w:themeFillShade="D9"/>
            <w:vAlign w:val="center"/>
          </w:tcPr>
          <w:p w14:paraId="182EC71C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Región Árabe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55992D46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Asia-Pacífico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706AC7CB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CEI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</w:tcPr>
          <w:p w14:paraId="4B7FB021" w14:textId="77777777" w:rsidR="00454176" w:rsidRPr="0018277B" w:rsidRDefault="00454176" w:rsidP="0018277B">
            <w:pPr>
              <w:pStyle w:val="Tablehead"/>
              <w:tabs>
                <w:tab w:val="clear" w:pos="1871"/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eastAsia="Times New Roman" w:cs="Times New Roman"/>
                <w:sz w:val="22"/>
                <w:lang w:val="fr-FR"/>
              </w:rPr>
            </w:pPr>
            <w:r w:rsidRPr="0018277B">
              <w:rPr>
                <w:rFonts w:eastAsia="Times New Roman" w:cs="Times New Roman"/>
                <w:sz w:val="22"/>
                <w:lang w:val="fr-FR"/>
              </w:rPr>
              <w:t>Europa</w:t>
            </w:r>
          </w:p>
        </w:tc>
      </w:tr>
      <w:tr w:rsidR="00454176" w14:paraId="132B22B0" w14:textId="77777777" w:rsidTr="00567F79">
        <w:trPr>
          <w:jc w:val="center"/>
        </w:trPr>
        <w:tc>
          <w:tcPr>
            <w:tcW w:w="5918" w:type="dxa"/>
            <w:vAlign w:val="center"/>
          </w:tcPr>
          <w:p w14:paraId="7271F49D" w14:textId="77777777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1 – Conectividad asequible</w:t>
            </w:r>
          </w:p>
        </w:tc>
        <w:tc>
          <w:tcPr>
            <w:tcW w:w="1294" w:type="dxa"/>
            <w:vAlign w:val="center"/>
          </w:tcPr>
          <w:p w14:paraId="18C2240C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AFR1</w:t>
            </w:r>
          </w:p>
        </w:tc>
        <w:tc>
          <w:tcPr>
            <w:tcW w:w="1294" w:type="dxa"/>
            <w:vAlign w:val="center"/>
          </w:tcPr>
          <w:p w14:paraId="6AEDA152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AMS1</w:t>
            </w:r>
          </w:p>
        </w:tc>
        <w:tc>
          <w:tcPr>
            <w:tcW w:w="1295" w:type="dxa"/>
            <w:vAlign w:val="center"/>
          </w:tcPr>
          <w:p w14:paraId="3952B323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ARB1</w:t>
            </w:r>
          </w:p>
          <w:p w14:paraId="34AF125E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ARB3</w:t>
            </w:r>
          </w:p>
        </w:tc>
        <w:tc>
          <w:tcPr>
            <w:tcW w:w="1294" w:type="dxa"/>
            <w:vAlign w:val="center"/>
          </w:tcPr>
          <w:p w14:paraId="3B607305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ASP3</w:t>
            </w:r>
          </w:p>
        </w:tc>
        <w:tc>
          <w:tcPr>
            <w:tcW w:w="1294" w:type="dxa"/>
            <w:vAlign w:val="center"/>
          </w:tcPr>
          <w:p w14:paraId="7E295C9B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CEI1</w:t>
            </w:r>
          </w:p>
        </w:tc>
        <w:tc>
          <w:tcPr>
            <w:tcW w:w="1369" w:type="dxa"/>
            <w:vAlign w:val="center"/>
          </w:tcPr>
          <w:p w14:paraId="13D2A5B1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EUR1</w:t>
            </w:r>
          </w:p>
        </w:tc>
      </w:tr>
      <w:tr w:rsidR="00454176" w14:paraId="3702A9A9" w14:textId="77777777" w:rsidTr="00567F79">
        <w:trPr>
          <w:jc w:val="center"/>
        </w:trPr>
        <w:tc>
          <w:tcPr>
            <w:tcW w:w="5918" w:type="dxa"/>
            <w:vAlign w:val="center"/>
          </w:tcPr>
          <w:p w14:paraId="78DE73EE" w14:textId="77777777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2 – Transformación digital</w:t>
            </w:r>
          </w:p>
        </w:tc>
        <w:tc>
          <w:tcPr>
            <w:tcW w:w="1294" w:type="dxa"/>
            <w:vAlign w:val="center"/>
          </w:tcPr>
          <w:p w14:paraId="091261EF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AFR2</w:t>
            </w:r>
          </w:p>
          <w:p w14:paraId="2143B3AA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AFR4</w:t>
            </w:r>
          </w:p>
        </w:tc>
        <w:tc>
          <w:tcPr>
            <w:tcW w:w="1294" w:type="dxa"/>
            <w:vAlign w:val="center"/>
          </w:tcPr>
          <w:p w14:paraId="3D50502F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AMS2</w:t>
            </w:r>
          </w:p>
          <w:p w14:paraId="4D20E33B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AMS3</w:t>
            </w:r>
          </w:p>
        </w:tc>
        <w:tc>
          <w:tcPr>
            <w:tcW w:w="1295" w:type="dxa"/>
            <w:vAlign w:val="center"/>
          </w:tcPr>
          <w:p w14:paraId="01BA2534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ARB2</w:t>
            </w:r>
          </w:p>
          <w:p w14:paraId="5D31FC67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ARB4</w:t>
            </w:r>
          </w:p>
        </w:tc>
        <w:tc>
          <w:tcPr>
            <w:tcW w:w="1294" w:type="dxa"/>
            <w:vAlign w:val="center"/>
          </w:tcPr>
          <w:p w14:paraId="61ACE451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ASP1</w:t>
            </w:r>
          </w:p>
          <w:p w14:paraId="40BFF3A8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ASP2</w:t>
            </w:r>
          </w:p>
        </w:tc>
        <w:tc>
          <w:tcPr>
            <w:tcW w:w="1294" w:type="dxa"/>
            <w:vAlign w:val="center"/>
          </w:tcPr>
          <w:p w14:paraId="1EF35404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CEI5</w:t>
            </w:r>
          </w:p>
        </w:tc>
        <w:tc>
          <w:tcPr>
            <w:tcW w:w="1369" w:type="dxa"/>
            <w:vAlign w:val="center"/>
          </w:tcPr>
          <w:p w14:paraId="77EAEB13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EUR2</w:t>
            </w:r>
          </w:p>
          <w:p w14:paraId="0A493F00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EUR5</w:t>
            </w:r>
          </w:p>
        </w:tc>
      </w:tr>
      <w:tr w:rsidR="00454176" w14:paraId="6759781B" w14:textId="77777777" w:rsidTr="00567F79">
        <w:trPr>
          <w:jc w:val="center"/>
        </w:trPr>
        <w:tc>
          <w:tcPr>
            <w:tcW w:w="5918" w:type="dxa"/>
            <w:vAlign w:val="center"/>
          </w:tcPr>
          <w:p w14:paraId="7C3376E2" w14:textId="77777777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3 – Entorno político y normativo habilitador</w:t>
            </w:r>
          </w:p>
        </w:tc>
        <w:tc>
          <w:tcPr>
            <w:tcW w:w="1294" w:type="dxa"/>
            <w:vAlign w:val="center"/>
          </w:tcPr>
          <w:p w14:paraId="5D64A8AC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AFR5</w:t>
            </w:r>
          </w:p>
        </w:tc>
        <w:tc>
          <w:tcPr>
            <w:tcW w:w="1294" w:type="dxa"/>
            <w:vAlign w:val="center"/>
          </w:tcPr>
          <w:p w14:paraId="79A7AFF6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AMS5</w:t>
            </w:r>
          </w:p>
        </w:tc>
        <w:tc>
          <w:tcPr>
            <w:tcW w:w="1295" w:type="dxa"/>
            <w:vAlign w:val="center"/>
          </w:tcPr>
          <w:p w14:paraId="31167CA2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  <w:tc>
          <w:tcPr>
            <w:tcW w:w="1294" w:type="dxa"/>
            <w:vAlign w:val="center"/>
          </w:tcPr>
          <w:p w14:paraId="46B82DE4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ASP4</w:t>
            </w:r>
          </w:p>
        </w:tc>
        <w:tc>
          <w:tcPr>
            <w:tcW w:w="1294" w:type="dxa"/>
            <w:vAlign w:val="center"/>
          </w:tcPr>
          <w:p w14:paraId="22C551E8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CEI2</w:t>
            </w:r>
          </w:p>
          <w:p w14:paraId="06E3EF1A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CEI4</w:t>
            </w:r>
          </w:p>
        </w:tc>
        <w:tc>
          <w:tcPr>
            <w:tcW w:w="1369" w:type="dxa"/>
            <w:vAlign w:val="center"/>
          </w:tcPr>
          <w:p w14:paraId="7158664C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</w:p>
        </w:tc>
      </w:tr>
      <w:tr w:rsidR="00454176" w14:paraId="00FA71FF" w14:textId="77777777" w:rsidTr="00567F79">
        <w:trPr>
          <w:jc w:val="center"/>
        </w:trPr>
        <w:tc>
          <w:tcPr>
            <w:tcW w:w="5918" w:type="dxa"/>
            <w:vAlign w:val="center"/>
          </w:tcPr>
          <w:p w14:paraId="6E617F72" w14:textId="77777777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4 – Movilización de recursos y cooperación internacional</w:t>
            </w:r>
          </w:p>
        </w:tc>
        <w:tc>
          <w:tcPr>
            <w:tcW w:w="1294" w:type="dxa"/>
            <w:vAlign w:val="center"/>
          </w:tcPr>
          <w:p w14:paraId="2D6317E0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  <w:tc>
          <w:tcPr>
            <w:tcW w:w="1294" w:type="dxa"/>
          </w:tcPr>
          <w:p w14:paraId="4D97AFBC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  <w:tc>
          <w:tcPr>
            <w:tcW w:w="1295" w:type="dxa"/>
          </w:tcPr>
          <w:p w14:paraId="4F3DA473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  <w:tc>
          <w:tcPr>
            <w:tcW w:w="1294" w:type="dxa"/>
          </w:tcPr>
          <w:p w14:paraId="0ADAB1DD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  <w:tc>
          <w:tcPr>
            <w:tcW w:w="1294" w:type="dxa"/>
          </w:tcPr>
          <w:p w14:paraId="02E615D9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  <w:tc>
          <w:tcPr>
            <w:tcW w:w="1369" w:type="dxa"/>
          </w:tcPr>
          <w:p w14:paraId="4FE0DFE7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**</w:t>
            </w:r>
          </w:p>
        </w:tc>
      </w:tr>
      <w:tr w:rsidR="00454176" w14:paraId="59418F8D" w14:textId="77777777" w:rsidTr="00567F79">
        <w:trPr>
          <w:jc w:val="center"/>
        </w:trPr>
        <w:tc>
          <w:tcPr>
            <w:tcW w:w="5918" w:type="dxa"/>
            <w:vAlign w:val="center"/>
          </w:tcPr>
          <w:p w14:paraId="22F3FC49" w14:textId="77777777" w:rsidR="00454176" w:rsidRPr="0018277B" w:rsidRDefault="00454176" w:rsidP="0018277B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5 – TIC inclusivas y seguras para el desarrollo sostenible</w:t>
            </w:r>
          </w:p>
        </w:tc>
        <w:tc>
          <w:tcPr>
            <w:tcW w:w="1294" w:type="dxa"/>
            <w:vAlign w:val="center"/>
          </w:tcPr>
          <w:p w14:paraId="05223C4A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AFR3</w:t>
            </w:r>
          </w:p>
        </w:tc>
        <w:tc>
          <w:tcPr>
            <w:tcW w:w="1294" w:type="dxa"/>
            <w:vAlign w:val="center"/>
          </w:tcPr>
          <w:p w14:paraId="0D6F919B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AMS4</w:t>
            </w:r>
          </w:p>
        </w:tc>
        <w:tc>
          <w:tcPr>
            <w:tcW w:w="1295" w:type="dxa"/>
            <w:vAlign w:val="center"/>
          </w:tcPr>
          <w:p w14:paraId="0C31914F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ARB5</w:t>
            </w:r>
          </w:p>
        </w:tc>
        <w:tc>
          <w:tcPr>
            <w:tcW w:w="1294" w:type="dxa"/>
            <w:vAlign w:val="center"/>
          </w:tcPr>
          <w:p w14:paraId="64A0430D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ASP5</w:t>
            </w:r>
          </w:p>
        </w:tc>
        <w:tc>
          <w:tcPr>
            <w:tcW w:w="1294" w:type="dxa"/>
            <w:vAlign w:val="center"/>
          </w:tcPr>
          <w:p w14:paraId="73392685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CEI3</w:t>
            </w:r>
          </w:p>
        </w:tc>
        <w:tc>
          <w:tcPr>
            <w:tcW w:w="1369" w:type="dxa"/>
            <w:vAlign w:val="center"/>
          </w:tcPr>
          <w:p w14:paraId="7287A7E9" w14:textId="77777777" w:rsidR="00454176" w:rsidRPr="0018277B" w:rsidRDefault="00454176" w:rsidP="005F134A">
            <w:pPr>
              <w:pStyle w:val="Tabletext"/>
              <w:tabs>
                <w:tab w:val="clear" w:pos="1871"/>
                <w:tab w:val="left" w:pos="567"/>
                <w:tab w:val="left" w:pos="1701"/>
                <w:tab w:val="left" w:pos="2835"/>
              </w:tabs>
              <w:jc w:val="center"/>
              <w:rPr>
                <w:rFonts w:eastAsia="Times New Roman"/>
                <w:sz w:val="22"/>
                <w:lang w:val="fr-FR"/>
              </w:rPr>
            </w:pPr>
            <w:r w:rsidRPr="0018277B">
              <w:rPr>
                <w:rFonts w:eastAsia="Times New Roman"/>
                <w:sz w:val="22"/>
                <w:lang w:val="fr-FR"/>
              </w:rPr>
              <w:t>EUR4</w:t>
            </w:r>
          </w:p>
        </w:tc>
      </w:tr>
    </w:tbl>
    <w:p w14:paraId="432D0271" w14:textId="77777777" w:rsidR="00454176" w:rsidRPr="00514943" w:rsidRDefault="00454176" w:rsidP="00454176">
      <w:pPr>
        <w:spacing w:after="120"/>
        <w:rPr>
          <w:rFonts w:cstheme="minorHAnsi"/>
          <w:sz w:val="20"/>
        </w:rPr>
      </w:pPr>
      <w:r w:rsidRPr="00514943">
        <w:rPr>
          <w:rFonts w:cstheme="minorHAnsi"/>
          <w:sz w:val="20"/>
        </w:rPr>
        <w:t>Not</w:t>
      </w:r>
      <w:r>
        <w:rPr>
          <w:rFonts w:cstheme="minorHAnsi"/>
          <w:sz w:val="20"/>
        </w:rPr>
        <w:t>a</w:t>
      </w:r>
      <w:r w:rsidRPr="00514943">
        <w:rPr>
          <w:rFonts w:cstheme="minorHAnsi"/>
          <w:sz w:val="20"/>
        </w:rPr>
        <w:t xml:space="preserve">: </w:t>
      </w:r>
    </w:p>
    <w:p w14:paraId="30C38A4F" w14:textId="77777777" w:rsidR="00454176" w:rsidRPr="00BB27C7" w:rsidRDefault="00454176" w:rsidP="00454176">
      <w:pPr>
        <w:spacing w:after="120"/>
        <w:rPr>
          <w:rFonts w:cstheme="minorBidi"/>
          <w:i/>
          <w:sz w:val="20"/>
          <w:szCs w:val="16"/>
          <w:lang w:val="es-ES"/>
        </w:rPr>
      </w:pPr>
      <w:r w:rsidRPr="00EE5B14">
        <w:rPr>
          <w:rFonts w:cstheme="minorBidi"/>
          <w:i/>
          <w:sz w:val="20"/>
          <w:szCs w:val="16"/>
          <w:lang w:val="es-ES"/>
        </w:rPr>
        <w:t xml:space="preserve">(*) Lista indicativa de esferas de interés basada en los títulos de cada Iniciativa Regional. </w:t>
      </w:r>
      <w:r w:rsidRPr="00BB27C7">
        <w:rPr>
          <w:rFonts w:cstheme="minorBidi"/>
          <w:i/>
          <w:sz w:val="20"/>
          <w:szCs w:val="16"/>
          <w:lang w:val="es-ES"/>
        </w:rPr>
        <w:t>Pueden consultarse más detalles sobre las Iniciativas Regionales en la Parte III del Plan de Acción de Bakú.</w:t>
      </w:r>
    </w:p>
    <w:p w14:paraId="589DC9B2" w14:textId="77777777" w:rsidR="00454176" w:rsidRPr="00BB27C7" w:rsidRDefault="00454176" w:rsidP="00454176">
      <w:pPr>
        <w:spacing w:after="120"/>
        <w:rPr>
          <w:rFonts w:cstheme="minorHAnsi"/>
          <w:i/>
          <w:color w:val="000000" w:themeColor="text1"/>
          <w:sz w:val="20"/>
          <w:lang w:val="es-ES"/>
        </w:rPr>
      </w:pPr>
      <w:r w:rsidRPr="00BB27C7">
        <w:rPr>
          <w:rFonts w:cstheme="minorHAnsi"/>
          <w:i/>
          <w:sz w:val="20"/>
          <w:lang w:val="es-ES"/>
        </w:rPr>
        <w:t xml:space="preserve">(**) Todas las Iniciativas Regionales contribuyen a la </w:t>
      </w:r>
      <w:r>
        <w:rPr>
          <w:rFonts w:cstheme="minorHAnsi"/>
          <w:i/>
          <w:sz w:val="20"/>
          <w:lang w:val="es-ES"/>
        </w:rPr>
        <w:t>Prioridad 4 del UIT-D – Movilización de recursos y cooperación internacional</w:t>
      </w:r>
      <w:r w:rsidRPr="00BB27C7">
        <w:rPr>
          <w:rFonts w:cstheme="minorHAnsi"/>
          <w:i/>
          <w:color w:val="000000" w:themeColor="text1"/>
          <w:sz w:val="20"/>
          <w:lang w:val="es-ES"/>
        </w:rPr>
        <w:t>.</w:t>
      </w:r>
    </w:p>
    <w:p w14:paraId="44B29D89" w14:textId="77777777" w:rsidR="00454176" w:rsidRPr="002B7E07" w:rsidRDefault="00454176" w:rsidP="00411C49">
      <w:pPr>
        <w:pStyle w:val="Reasons"/>
        <w:rPr>
          <w:lang w:val="es-ES"/>
        </w:rPr>
      </w:pPr>
    </w:p>
    <w:p w14:paraId="13527B9F" w14:textId="77777777" w:rsidR="00454176" w:rsidRDefault="00454176">
      <w:pPr>
        <w:jc w:val="center"/>
      </w:pPr>
      <w:r>
        <w:t>______________</w:t>
      </w:r>
    </w:p>
    <w:sectPr w:rsidR="00454176" w:rsidSect="0018277B">
      <w:headerReference w:type="default" r:id="rId17"/>
      <w:headerReference w:type="first" r:id="rId18"/>
      <w:footerReference w:type="first" r:id="rId19"/>
      <w:pgSz w:w="16840" w:h="11907" w:orient="landscape" w:code="9"/>
      <w:pgMar w:top="1134" w:right="1418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35F2" w14:textId="77777777" w:rsidR="00454176" w:rsidRDefault="00454176">
      <w:r>
        <w:separator/>
      </w:r>
    </w:p>
    <w:p w14:paraId="336F3206" w14:textId="77777777" w:rsidR="00454176" w:rsidRDefault="00454176"/>
  </w:endnote>
  <w:endnote w:type="continuationSeparator" w:id="0">
    <w:p w14:paraId="3E047EAF" w14:textId="77777777" w:rsidR="00454176" w:rsidRDefault="00454176">
      <w:r>
        <w:continuationSeparator/>
      </w:r>
    </w:p>
    <w:p w14:paraId="4D7CD451" w14:textId="77777777" w:rsidR="00454176" w:rsidRDefault="00454176"/>
  </w:endnote>
  <w:endnote w:type="continuationNotice" w:id="1">
    <w:p w14:paraId="56C06289" w14:textId="77777777" w:rsidR="00454176" w:rsidRDefault="00454176">
      <w:pPr>
        <w:spacing w:before="0"/>
      </w:pPr>
    </w:p>
    <w:p w14:paraId="2D90FCE2" w14:textId="77777777" w:rsidR="00454176" w:rsidRDefault="00454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454176" w:rsidRPr="002B7E07" w14:paraId="778BA2F2" w14:textId="77777777">
      <w:tc>
        <w:tcPr>
          <w:tcW w:w="1526" w:type="dxa"/>
          <w:tcBorders>
            <w:top w:val="single" w:sz="4" w:space="0" w:color="000000"/>
          </w:tcBorders>
        </w:tcPr>
        <w:p w14:paraId="2AD4CC76" w14:textId="77777777" w:rsidR="00454176" w:rsidRPr="004D495C" w:rsidRDefault="00454176" w:rsidP="00063FD4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40B494F9" w14:textId="77777777" w:rsidR="00454176" w:rsidRPr="00063FD4" w:rsidRDefault="00454176" w:rsidP="00063FD4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063FD4">
            <w:rPr>
              <w:sz w:val="18"/>
              <w:szCs w:val="18"/>
            </w:rPr>
            <w:t>Name/Organization/Entity: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6AC3E095" w14:textId="2FF4568D" w:rsidR="00454176" w:rsidRPr="00807BED" w:rsidRDefault="00454176" w:rsidP="00063FD4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807BED">
            <w:rPr>
              <w:sz w:val="18"/>
              <w:szCs w:val="18"/>
              <w:lang w:val="es-ES"/>
            </w:rPr>
            <w:t>Sr.</w:t>
          </w:r>
          <w:r w:rsidR="002B7E07">
            <w:rPr>
              <w:sz w:val="18"/>
              <w:szCs w:val="18"/>
              <w:lang w:val="es-ES"/>
            </w:rPr>
            <w:t> </w:t>
          </w:r>
          <w:r w:rsidRPr="00807BED">
            <w:rPr>
              <w:sz w:val="18"/>
              <w:szCs w:val="18"/>
              <w:lang w:val="es-ES"/>
            </w:rPr>
            <w:t xml:space="preserve">Marco Obiso, Jefe </w:t>
          </w:r>
          <w:r w:rsidRPr="00807BED">
            <w:rPr>
              <w:i/>
              <w:iCs/>
              <w:sz w:val="18"/>
              <w:szCs w:val="18"/>
              <w:lang w:val="es-ES"/>
            </w:rPr>
            <w:t>a.i.</w:t>
          </w:r>
          <w:r w:rsidRPr="00807BED">
            <w:rPr>
              <w:sz w:val="18"/>
              <w:szCs w:val="18"/>
              <w:lang w:val="es-ES"/>
            </w:rPr>
            <w:t>, Proyectos, Asociaciones y Competencias Digitales, Oficina de De</w:t>
          </w:r>
          <w:r>
            <w:rPr>
              <w:sz w:val="18"/>
              <w:szCs w:val="18"/>
              <w:lang w:val="es-ES"/>
            </w:rPr>
            <w:t>sarrollo de las Telecomunicaciones</w:t>
          </w:r>
        </w:p>
      </w:tc>
    </w:tr>
    <w:tr w:rsidR="00454176" w:rsidRPr="004D495C" w14:paraId="76DA6143" w14:textId="77777777">
      <w:tc>
        <w:tcPr>
          <w:tcW w:w="1526" w:type="dxa"/>
        </w:tcPr>
        <w:p w14:paraId="42F7108E" w14:textId="77777777" w:rsidR="00454176" w:rsidRPr="00807BED" w:rsidRDefault="00454176" w:rsidP="00063FD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s-ES"/>
            </w:rPr>
          </w:pPr>
        </w:p>
      </w:tc>
      <w:tc>
        <w:tcPr>
          <w:tcW w:w="2410" w:type="dxa"/>
        </w:tcPr>
        <w:p w14:paraId="1B42EE21" w14:textId="77777777" w:rsidR="00454176" w:rsidRPr="00063FD4" w:rsidRDefault="00454176" w:rsidP="00063F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063FD4">
            <w:rPr>
              <w:sz w:val="18"/>
              <w:szCs w:val="18"/>
            </w:rPr>
            <w:t>Phone number:</w:t>
          </w:r>
        </w:p>
      </w:tc>
      <w:tc>
        <w:tcPr>
          <w:tcW w:w="5987" w:type="dxa"/>
        </w:tcPr>
        <w:p w14:paraId="71B639F5" w14:textId="77777777" w:rsidR="00454176" w:rsidRPr="00063FD4" w:rsidRDefault="00454176" w:rsidP="00063F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105B9">
            <w:rPr>
              <w:sz w:val="18"/>
              <w:szCs w:val="18"/>
            </w:rPr>
            <w:t>+41</w:t>
          </w:r>
          <w:r>
            <w:rPr>
              <w:sz w:val="18"/>
              <w:szCs w:val="18"/>
            </w:rPr>
            <w:t xml:space="preserve"> </w:t>
          </w:r>
          <w:r w:rsidRPr="009105B9">
            <w:rPr>
              <w:sz w:val="18"/>
              <w:szCs w:val="18"/>
            </w:rPr>
            <w:t>227306760</w:t>
          </w:r>
        </w:p>
      </w:tc>
    </w:tr>
    <w:tr w:rsidR="00454176" w:rsidRPr="004D495C" w14:paraId="4D27DF30" w14:textId="77777777">
      <w:tc>
        <w:tcPr>
          <w:tcW w:w="1526" w:type="dxa"/>
        </w:tcPr>
        <w:p w14:paraId="32D251E2" w14:textId="77777777" w:rsidR="00454176" w:rsidRPr="004D495C" w:rsidRDefault="00454176" w:rsidP="00063FD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499C1F65" w14:textId="77777777" w:rsidR="00454176" w:rsidRPr="00063FD4" w:rsidRDefault="00454176" w:rsidP="00063F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063FD4">
            <w:rPr>
              <w:sz w:val="18"/>
              <w:szCs w:val="18"/>
            </w:rPr>
            <w:t>E-mail:</w:t>
          </w:r>
        </w:p>
      </w:tc>
      <w:tc>
        <w:tcPr>
          <w:tcW w:w="5987" w:type="dxa"/>
        </w:tcPr>
        <w:p w14:paraId="056D4CCC" w14:textId="77777777" w:rsidR="00454176" w:rsidRPr="00063FD4" w:rsidRDefault="00454176" w:rsidP="00063FD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Pr="00C81AAC">
              <w:rPr>
                <w:rStyle w:val="Hyperlink"/>
                <w:sz w:val="18"/>
                <w:szCs w:val="18"/>
              </w:rPr>
              <w:t>marco.obiso</w:t>
            </w:r>
            <w:r w:rsidRPr="00C81AAC">
              <w:rPr>
                <w:rStyle w:val="Hyperlink"/>
                <w:sz w:val="18"/>
                <w:szCs w:val="18"/>
                <w:lang w:val="en-US"/>
              </w:rPr>
              <w:t>@itu.int</w:t>
            </w:r>
          </w:hyperlink>
          <w:r w:rsidRPr="00063FD4"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0DAA0D4E" w14:textId="77777777" w:rsidR="00454176" w:rsidRPr="00602CFD" w:rsidRDefault="00454176" w:rsidP="00602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078C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BEF9" w14:textId="77777777" w:rsidR="00454176" w:rsidRPr="0054377E" w:rsidRDefault="00454176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5EA94AC" w14:textId="77777777" w:rsidR="00454176" w:rsidRDefault="00454176" w:rsidP="0054377E">
      <w:pPr>
        <w:spacing w:before="0"/>
      </w:pPr>
      <w:r>
        <w:continuationSeparator/>
      </w:r>
    </w:p>
    <w:p w14:paraId="03565B90" w14:textId="77777777" w:rsidR="00454176" w:rsidRDefault="00454176"/>
  </w:footnote>
  <w:footnote w:type="continuationNotice" w:id="1">
    <w:p w14:paraId="4F7933D5" w14:textId="77777777" w:rsidR="00454176" w:rsidRDefault="00454176">
      <w:pPr>
        <w:spacing w:before="0"/>
      </w:pPr>
    </w:p>
    <w:p w14:paraId="77C6617F" w14:textId="77777777" w:rsidR="00454176" w:rsidRDefault="00454176"/>
  </w:footnote>
  <w:footnote w:id="2">
    <w:p w14:paraId="2C6E257F" w14:textId="312C671B" w:rsidR="00454176" w:rsidRPr="007B38DE" w:rsidRDefault="00454176" w:rsidP="00454176">
      <w:pPr>
        <w:pStyle w:val="FootnoteText"/>
        <w:spacing w:before="0"/>
        <w:rPr>
          <w:i/>
          <w:sz w:val="20"/>
          <w:lang w:val="es-ES"/>
        </w:rPr>
      </w:pPr>
      <w:r w:rsidRPr="000C0948">
        <w:rPr>
          <w:rStyle w:val="FootnoteReference"/>
          <w:i/>
          <w:sz w:val="20"/>
        </w:rPr>
        <w:footnoteRef/>
      </w:r>
      <w:r w:rsidR="0018277B">
        <w:rPr>
          <w:i/>
          <w:sz w:val="20"/>
          <w:lang w:val="es-ES"/>
        </w:rPr>
        <w:tab/>
      </w:r>
      <w:r w:rsidRPr="007B38DE">
        <w:rPr>
          <w:i/>
          <w:sz w:val="20"/>
          <w:lang w:val="es-ES"/>
        </w:rPr>
        <w:t xml:space="preserve">El informe más reciente sobre las actividades del FD-TIC presentado al Consejo de la UIT puede consultarse en </w:t>
      </w:r>
      <w:hyperlink r:id="rId1" w:history="1">
        <w:r w:rsidR="0018277B">
          <w:rPr>
            <w:rStyle w:val="Hyperlink"/>
            <w:i/>
            <w:sz w:val="20"/>
            <w:lang w:val="es-ES"/>
          </w:rPr>
          <w:t>https://www.itu.int/md/S25-CL-C-0034/es</w:t>
        </w:r>
      </w:hyperlink>
    </w:p>
  </w:footnote>
  <w:footnote w:id="3">
    <w:p w14:paraId="18A153CD" w14:textId="09778915" w:rsidR="00454176" w:rsidRPr="00A66729" w:rsidRDefault="00454176" w:rsidP="00454176">
      <w:pPr>
        <w:pStyle w:val="FootnoteText"/>
        <w:spacing w:before="0"/>
        <w:rPr>
          <w:i/>
          <w:sz w:val="20"/>
          <w:lang w:val="es-ES"/>
        </w:rPr>
      </w:pPr>
      <w:r w:rsidRPr="000C0948">
        <w:rPr>
          <w:rStyle w:val="FootnoteReference"/>
          <w:i/>
          <w:sz w:val="20"/>
        </w:rPr>
        <w:footnoteRef/>
      </w:r>
      <w:r w:rsidR="0018277B">
        <w:rPr>
          <w:i/>
          <w:sz w:val="20"/>
          <w:lang w:val="es-ES"/>
        </w:rPr>
        <w:tab/>
      </w:r>
      <w:r w:rsidRPr="00A66729">
        <w:rPr>
          <w:i/>
          <w:sz w:val="20"/>
          <w:lang w:val="es-ES"/>
        </w:rPr>
        <w:t xml:space="preserve">Véase más información </w:t>
      </w:r>
      <w:r>
        <w:rPr>
          <w:i/>
          <w:sz w:val="20"/>
          <w:lang w:val="es-ES"/>
        </w:rPr>
        <w:t xml:space="preserve">en </w:t>
      </w:r>
      <w:r w:rsidRPr="00A66729">
        <w:rPr>
          <w:i/>
          <w:sz w:val="20"/>
          <w:lang w:val="es-ES"/>
        </w:rPr>
        <w:t>el Resumen de los debates del Consejo de 2018.</w:t>
      </w:r>
    </w:p>
  </w:footnote>
  <w:footnote w:id="4">
    <w:p w14:paraId="0018B113" w14:textId="1ABB1A53" w:rsidR="00454176" w:rsidRPr="00A66729" w:rsidRDefault="00454176" w:rsidP="00454176">
      <w:pPr>
        <w:pStyle w:val="FootnoteText"/>
        <w:spacing w:before="0"/>
        <w:rPr>
          <w:i/>
          <w:sz w:val="20"/>
          <w:lang w:val="es-ES"/>
        </w:rPr>
      </w:pPr>
      <w:r w:rsidRPr="000C0948">
        <w:rPr>
          <w:rStyle w:val="FootnoteReference"/>
          <w:i/>
          <w:sz w:val="20"/>
        </w:rPr>
        <w:footnoteRef/>
      </w:r>
      <w:r w:rsidR="0018277B">
        <w:rPr>
          <w:i/>
          <w:sz w:val="20"/>
          <w:lang w:val="es-ES"/>
        </w:rPr>
        <w:tab/>
      </w:r>
      <w:r w:rsidRPr="00A66729">
        <w:rPr>
          <w:i/>
          <w:sz w:val="20"/>
          <w:lang w:val="es-ES"/>
        </w:rPr>
        <w:t xml:space="preserve">Véase más información sobre esos proyectos en el </w:t>
      </w:r>
      <w:r>
        <w:rPr>
          <w:i/>
          <w:sz w:val="20"/>
          <w:lang w:val="es-ES"/>
        </w:rPr>
        <w:t>Documento</w:t>
      </w:r>
      <w:r w:rsidRPr="00A66729">
        <w:rPr>
          <w:i/>
          <w:sz w:val="20"/>
          <w:lang w:val="es-ES"/>
        </w:rPr>
        <w:t xml:space="preserve"> </w:t>
      </w:r>
      <w:hyperlink r:id="rId2" w:history="1">
        <w:r w:rsidRPr="00A66729">
          <w:rPr>
            <w:rStyle w:val="Hyperlink"/>
            <w:i/>
            <w:sz w:val="20"/>
            <w:lang w:val="es-ES"/>
          </w:rPr>
          <w:t>TDAG-</w:t>
        </w:r>
        <w:r w:rsidRPr="00A66729">
          <w:rPr>
            <w:rStyle w:val="Hyperlink"/>
            <w:i/>
            <w:sz w:val="20"/>
            <w:lang w:val="es-ES"/>
          </w:rPr>
          <w:t>2</w:t>
        </w:r>
        <w:r w:rsidRPr="00A66729">
          <w:rPr>
            <w:rStyle w:val="Hyperlink"/>
            <w:i/>
            <w:sz w:val="20"/>
            <w:lang w:val="es-ES"/>
          </w:rPr>
          <w:t>3/25</w:t>
        </w:r>
      </w:hyperlink>
    </w:p>
  </w:footnote>
  <w:footnote w:id="5">
    <w:p w14:paraId="4E4DD1F6" w14:textId="755151ED" w:rsidR="00454176" w:rsidRPr="00E91FC4" w:rsidRDefault="00454176" w:rsidP="00454176">
      <w:pPr>
        <w:pStyle w:val="FootnoteText"/>
        <w:spacing w:before="0"/>
        <w:rPr>
          <w:i/>
          <w:sz w:val="20"/>
          <w:lang w:val="es-ES"/>
        </w:rPr>
      </w:pPr>
      <w:r w:rsidRPr="000C0948">
        <w:rPr>
          <w:rStyle w:val="FootnoteReference"/>
          <w:i/>
          <w:sz w:val="20"/>
        </w:rPr>
        <w:footnoteRef/>
      </w:r>
      <w:r w:rsidR="0018277B">
        <w:rPr>
          <w:i/>
          <w:sz w:val="20"/>
          <w:lang w:val="es-ES"/>
        </w:rPr>
        <w:tab/>
      </w:r>
      <w:r w:rsidRPr="00E91FC4">
        <w:rPr>
          <w:i/>
          <w:sz w:val="20"/>
          <w:lang w:val="es-ES"/>
        </w:rPr>
        <w:t xml:space="preserve">Atribución de fondos propuesta en el </w:t>
      </w:r>
      <w:r>
        <w:rPr>
          <w:i/>
          <w:sz w:val="20"/>
          <w:lang w:val="es-ES"/>
        </w:rPr>
        <w:t>Plan Financiero de la UIT para</w:t>
      </w:r>
      <w:r w:rsidRPr="00E91FC4">
        <w:rPr>
          <w:i/>
          <w:sz w:val="20"/>
          <w:lang w:val="es-ES"/>
        </w:rPr>
        <w:t xml:space="preserve"> 2028-2030 </w:t>
      </w:r>
    </w:p>
  </w:footnote>
  <w:footnote w:id="6">
    <w:p w14:paraId="1A7C9CB8" w14:textId="500C3342" w:rsidR="00454176" w:rsidRPr="00E91FC4" w:rsidRDefault="00454176" w:rsidP="0018277B">
      <w:pPr>
        <w:pStyle w:val="FootnoteText"/>
        <w:tabs>
          <w:tab w:val="clear" w:pos="255"/>
          <w:tab w:val="left" w:pos="426"/>
        </w:tabs>
        <w:spacing w:before="0"/>
        <w:ind w:left="284" w:hanging="284"/>
        <w:rPr>
          <w:i/>
          <w:iCs/>
          <w:sz w:val="20"/>
          <w:lang w:val="es-ES"/>
        </w:rPr>
      </w:pPr>
      <w:r w:rsidRPr="000C0948">
        <w:rPr>
          <w:rStyle w:val="FootnoteReference"/>
          <w:i/>
          <w:sz w:val="20"/>
        </w:rPr>
        <w:footnoteRef/>
      </w:r>
      <w:r w:rsidR="0018277B">
        <w:rPr>
          <w:i/>
          <w:sz w:val="20"/>
          <w:lang w:val="es-ES"/>
        </w:rPr>
        <w:tab/>
      </w:r>
      <w:r w:rsidRPr="00E91FC4">
        <w:rPr>
          <w:i/>
          <w:sz w:val="20"/>
          <w:lang w:val="es-ES"/>
        </w:rPr>
        <w:t>Los proyectos del UIT-D se consideran de pequeña escala cuando su valor es inferior a 100</w:t>
      </w:r>
      <w:r w:rsidR="0018277B">
        <w:rPr>
          <w:i/>
          <w:sz w:val="20"/>
          <w:lang w:val="es-ES"/>
        </w:rPr>
        <w:t> </w:t>
      </w:r>
      <w:r w:rsidRPr="00E91FC4">
        <w:rPr>
          <w:i/>
          <w:sz w:val="20"/>
          <w:lang w:val="es-ES"/>
        </w:rPr>
        <w:t>000</w:t>
      </w:r>
      <w:r w:rsidR="0018277B">
        <w:rPr>
          <w:i/>
          <w:sz w:val="20"/>
          <w:lang w:val="es-ES"/>
        </w:rPr>
        <w:t> </w:t>
      </w:r>
      <w:r w:rsidRPr="00E91FC4">
        <w:rPr>
          <w:i/>
          <w:sz w:val="20"/>
          <w:lang w:val="es-ES"/>
        </w:rPr>
        <w:t>CHF, de media escala cuando su valor oscila entre 100</w:t>
      </w:r>
      <w:r w:rsidR="0018277B">
        <w:rPr>
          <w:i/>
          <w:sz w:val="20"/>
          <w:lang w:val="es-ES"/>
        </w:rPr>
        <w:t> </w:t>
      </w:r>
      <w:r w:rsidRPr="00E91FC4">
        <w:rPr>
          <w:i/>
          <w:sz w:val="20"/>
          <w:lang w:val="es-ES"/>
        </w:rPr>
        <w:t>000 CHF y 150</w:t>
      </w:r>
      <w:r w:rsidR="0018277B">
        <w:rPr>
          <w:i/>
          <w:sz w:val="20"/>
          <w:lang w:val="es-ES"/>
        </w:rPr>
        <w:t> </w:t>
      </w:r>
      <w:r w:rsidRPr="00E91FC4">
        <w:rPr>
          <w:i/>
          <w:sz w:val="20"/>
          <w:lang w:val="es-ES"/>
        </w:rPr>
        <w:t>000</w:t>
      </w:r>
      <w:r w:rsidR="0018277B">
        <w:rPr>
          <w:i/>
          <w:sz w:val="20"/>
          <w:lang w:val="es-ES"/>
        </w:rPr>
        <w:t> </w:t>
      </w:r>
      <w:r w:rsidRPr="00E91FC4">
        <w:rPr>
          <w:i/>
          <w:sz w:val="20"/>
          <w:lang w:val="es-ES"/>
        </w:rPr>
        <w:t>CHF y de gran es</w:t>
      </w:r>
      <w:r>
        <w:rPr>
          <w:i/>
          <w:sz w:val="20"/>
          <w:lang w:val="es-ES"/>
        </w:rPr>
        <w:t>cala cuando su valor es superior a 500</w:t>
      </w:r>
      <w:r w:rsidR="0018277B">
        <w:rPr>
          <w:i/>
          <w:sz w:val="20"/>
          <w:lang w:val="es-ES"/>
        </w:rPr>
        <w:t> </w:t>
      </w:r>
      <w:r>
        <w:rPr>
          <w:i/>
          <w:sz w:val="20"/>
          <w:lang w:val="es-ES"/>
        </w:rPr>
        <w:t>000</w:t>
      </w:r>
      <w:r w:rsidR="0018277B">
        <w:rPr>
          <w:i/>
          <w:sz w:val="20"/>
          <w:lang w:val="es-ES"/>
        </w:rPr>
        <w:t> </w:t>
      </w:r>
      <w:r>
        <w:rPr>
          <w:i/>
          <w:sz w:val="20"/>
          <w:lang w:val="es-ES"/>
        </w:rPr>
        <w:t>CHF</w:t>
      </w:r>
      <w:r w:rsidRPr="00E91FC4">
        <w:rPr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F17F" w14:textId="56426DEE" w:rsidR="00454176" w:rsidRPr="00384712" w:rsidRDefault="00454176" w:rsidP="0039371E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after="60"/>
      <w:rPr>
        <w:smallCaps/>
        <w:spacing w:val="24"/>
        <w:sz w:val="22"/>
        <w:szCs w:val="22"/>
        <w:lang w:val="es-ES_tradnl"/>
      </w:rPr>
    </w:pPr>
    <w:r>
      <w:rPr>
        <w:sz w:val="22"/>
        <w:szCs w:val="22"/>
        <w:lang w:val="es-ES_tradnl"/>
      </w:rPr>
      <w:tab/>
      <w:t>TDAG-26</w:t>
    </w:r>
    <w:r w:rsidRPr="00FF089C">
      <w:rPr>
        <w:sz w:val="22"/>
        <w:szCs w:val="22"/>
        <w:lang w:val="es-ES_tradnl"/>
      </w:rPr>
      <w:t>/</w:t>
    </w:r>
    <w:r>
      <w:rPr>
        <w:sz w:val="22"/>
        <w:szCs w:val="22"/>
        <w:lang w:val="es-ES_tradnl"/>
      </w:rPr>
      <w:t>19</w:t>
    </w:r>
    <w:r w:rsidRPr="00FF089C">
      <w:rPr>
        <w:sz w:val="22"/>
        <w:szCs w:val="22"/>
        <w:lang w:val="es-ES_tradnl"/>
      </w:rPr>
      <w:t>-</w:t>
    </w:r>
    <w:r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 xml:space="preserve">Page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F9D7E" w14:textId="4846F541" w:rsidR="00454176" w:rsidRPr="00454176" w:rsidRDefault="00454176" w:rsidP="00454176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after="60"/>
      <w:rPr>
        <w:smallCaps/>
        <w:spacing w:val="24"/>
        <w:sz w:val="22"/>
        <w:szCs w:val="22"/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4E80" w14:textId="77777777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095901">
      <w:rPr>
        <w:sz w:val="22"/>
        <w:szCs w:val="22"/>
        <w:lang w:val="es-ES_tradnl"/>
      </w:rPr>
      <w:t>[</w:t>
    </w:r>
    <w:r w:rsidR="0081159E">
      <w:rPr>
        <w:sz w:val="22"/>
        <w:szCs w:val="22"/>
        <w:lang w:val="es-ES_tradnl"/>
      </w:rPr>
      <w:t>x</w:t>
    </w:r>
    <w:r w:rsidR="00B97C6E">
      <w:rPr>
        <w:sz w:val="22"/>
        <w:szCs w:val="22"/>
        <w:lang w:val="es-ES_tradnl"/>
      </w:rPr>
      <w:t>]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B993" w14:textId="6B95C626" w:rsidR="00454176" w:rsidRPr="00454176" w:rsidRDefault="00454176" w:rsidP="005F134A">
    <w:pPr>
      <w:tabs>
        <w:tab w:val="clear" w:pos="1134"/>
        <w:tab w:val="clear" w:pos="1871"/>
        <w:tab w:val="clear" w:pos="2268"/>
        <w:tab w:val="center" w:pos="7088"/>
        <w:tab w:val="left" w:pos="13183"/>
        <w:tab w:val="right" w:pos="13750"/>
      </w:tabs>
      <w:ind w:right="1"/>
      <w:rPr>
        <w:smallCaps/>
        <w:spacing w:val="24"/>
        <w:sz w:val="22"/>
        <w:szCs w:val="22"/>
        <w:lang w:val="es-ES_tradnl"/>
      </w:rPr>
    </w:pPr>
    <w:r>
      <w:rPr>
        <w:sz w:val="22"/>
        <w:szCs w:val="22"/>
        <w:lang w:val="es-ES_tradnl"/>
      </w:rPr>
      <w:tab/>
      <w:t>TDAG-26</w:t>
    </w:r>
    <w:r w:rsidRPr="00FF089C">
      <w:rPr>
        <w:sz w:val="22"/>
        <w:szCs w:val="22"/>
        <w:lang w:val="es-ES_tradnl"/>
      </w:rPr>
      <w:t>/</w:t>
    </w:r>
    <w:r>
      <w:rPr>
        <w:sz w:val="22"/>
        <w:szCs w:val="22"/>
        <w:lang w:val="es-ES_tradnl"/>
      </w:rPr>
      <w:t>19</w:t>
    </w:r>
    <w:r w:rsidRPr="00FF089C">
      <w:rPr>
        <w:sz w:val="22"/>
        <w:szCs w:val="22"/>
        <w:lang w:val="es-ES_tradnl"/>
      </w:rPr>
      <w:t>-</w:t>
    </w:r>
    <w:r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 xml:space="preserve">Page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>
      <w:rPr>
        <w:sz w:val="22"/>
        <w:szCs w:val="22"/>
      </w:rPr>
      <w:t>5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19355B"/>
    <w:multiLevelType w:val="hybridMultilevel"/>
    <w:tmpl w:val="40C42B32"/>
    <w:lvl w:ilvl="0" w:tplc="3C5E5B2C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AA6B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A404B3"/>
    <w:multiLevelType w:val="hybridMultilevel"/>
    <w:tmpl w:val="EA22C228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3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4"/>
  </w:num>
  <w:num w:numId="8" w16cid:durableId="362947223">
    <w:abstractNumId w:val="14"/>
  </w:num>
  <w:num w:numId="9" w16cid:durableId="458111764">
    <w:abstractNumId w:val="6"/>
  </w:num>
  <w:num w:numId="10" w16cid:durableId="1195534353">
    <w:abstractNumId w:val="13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4"/>
  </w:num>
  <w:num w:numId="18" w16cid:durableId="1354573477">
    <w:abstractNumId w:val="36"/>
  </w:num>
  <w:num w:numId="19" w16cid:durableId="435754545">
    <w:abstractNumId w:val="19"/>
  </w:num>
  <w:num w:numId="20" w16cid:durableId="1066875134">
    <w:abstractNumId w:val="30"/>
  </w:num>
  <w:num w:numId="21" w16cid:durableId="1689939216">
    <w:abstractNumId w:val="29"/>
  </w:num>
  <w:num w:numId="22" w16cid:durableId="1257783837">
    <w:abstractNumId w:val="45"/>
  </w:num>
  <w:num w:numId="23" w16cid:durableId="970285242">
    <w:abstractNumId w:val="25"/>
  </w:num>
  <w:num w:numId="24" w16cid:durableId="1876889861">
    <w:abstractNumId w:val="18"/>
  </w:num>
  <w:num w:numId="25" w16cid:durableId="138228398">
    <w:abstractNumId w:val="21"/>
  </w:num>
  <w:num w:numId="26" w16cid:durableId="1871145006">
    <w:abstractNumId w:val="22"/>
  </w:num>
  <w:num w:numId="27" w16cid:durableId="1946108508">
    <w:abstractNumId w:val="26"/>
  </w:num>
  <w:num w:numId="28" w16cid:durableId="1629045729">
    <w:abstractNumId w:val="10"/>
  </w:num>
  <w:num w:numId="29" w16cid:durableId="2010906637">
    <w:abstractNumId w:val="27"/>
  </w:num>
  <w:num w:numId="30" w16cid:durableId="290525213">
    <w:abstractNumId w:val="43"/>
  </w:num>
  <w:num w:numId="31" w16cid:durableId="191966975">
    <w:abstractNumId w:val="28"/>
  </w:num>
  <w:num w:numId="32" w16cid:durableId="2014406757">
    <w:abstractNumId w:val="34"/>
  </w:num>
  <w:num w:numId="33" w16cid:durableId="648558829">
    <w:abstractNumId w:val="20"/>
  </w:num>
  <w:num w:numId="34" w16cid:durableId="2071807613">
    <w:abstractNumId w:val="9"/>
  </w:num>
  <w:num w:numId="35" w16cid:durableId="271744889">
    <w:abstractNumId w:val="37"/>
  </w:num>
  <w:num w:numId="36" w16cid:durableId="1457527817">
    <w:abstractNumId w:val="24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7"/>
  </w:num>
  <w:num w:numId="41" w16cid:durableId="447436251">
    <w:abstractNumId w:val="46"/>
  </w:num>
  <w:num w:numId="42" w16cid:durableId="655766109">
    <w:abstractNumId w:val="17"/>
  </w:num>
  <w:num w:numId="43" w16cid:durableId="577523632">
    <w:abstractNumId w:val="16"/>
  </w:num>
  <w:num w:numId="44" w16cid:durableId="1138063662">
    <w:abstractNumId w:val="42"/>
  </w:num>
  <w:num w:numId="45" w16cid:durableId="1989816660">
    <w:abstractNumId w:val="15"/>
  </w:num>
  <w:num w:numId="46" w16cid:durableId="1745301846">
    <w:abstractNumId w:val="23"/>
  </w:num>
  <w:num w:numId="47" w16cid:durableId="1915554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277B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0EDC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B7E07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39AA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4176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222C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134A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4B80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8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554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1B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C6A92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25520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,Listenabsatz Standard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,Listenabsatz Standard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tu.int/md/D22-TDAG30-C-0025/es" TargetMode="External"/><Relationship Id="rId1" Type="http://schemas.openxmlformats.org/officeDocument/2006/relationships/hyperlink" Target="https://www.itu.int/md/S25-CL-C-0034/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1763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10727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cp:lastModifiedBy>Spanish</cp:lastModifiedBy>
  <cp:revision>8</cp:revision>
  <cp:lastPrinted>2019-01-16T07:57:00Z</cp:lastPrinted>
  <dcterms:created xsi:type="dcterms:W3CDTF">2026-03-17T16:04:00Z</dcterms:created>
  <dcterms:modified xsi:type="dcterms:W3CDTF">2026-03-18T10:39:00Z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